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emf" ContentType="image/x-emf"/>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rFonts w:ascii="Times New Roman" w:hAnsi="Times New Roman" w:cs="Times New Roman"/>
          <w:b/>
          <w:bCs w:val="0"/>
          <w:color w:val="auto"/>
          <w:sz w:val="44"/>
          <w:szCs w:val="44"/>
        </w:rPr>
      </w:pPr>
      <w:bookmarkStart w:id="0" w:name="_Hlk92353085"/>
      <w:r>
        <w:rPr>
          <w:rFonts w:hint="eastAsia" w:ascii="Times New Roman" w:hAnsi="Times New Roman" w:cs="Times New Roman"/>
          <w:b/>
          <w:bCs w:val="0"/>
          <w:color w:val="auto"/>
          <w:sz w:val="44"/>
          <w:szCs w:val="44"/>
          <w:lang w:val="en-US" w:eastAsia="zh-CN"/>
        </w:rPr>
        <w:t>岳阳中展科技有限公司</w:t>
      </w:r>
      <w:r>
        <w:rPr>
          <w:rFonts w:hint="default" w:ascii="Times New Roman" w:hAnsi="Times New Roman" w:cs="Times New Roman"/>
          <w:b/>
          <w:bCs w:val="0"/>
          <w:color w:val="auto"/>
          <w:sz w:val="44"/>
          <w:szCs w:val="44"/>
        </w:rPr>
        <w:t>12.6kt/a特种胺项目</w:t>
      </w:r>
    </w:p>
    <w:p>
      <w:pPr>
        <w:spacing w:line="360" w:lineRule="auto"/>
        <w:jc w:val="center"/>
        <w:rPr>
          <w:rFonts w:ascii="Times New Roman" w:hAnsi="Times New Roman" w:cs="Times New Roman"/>
          <w:b/>
          <w:color w:val="auto"/>
          <w:sz w:val="48"/>
          <w:szCs w:val="48"/>
        </w:rPr>
      </w:pPr>
      <w:r>
        <w:rPr>
          <w:rFonts w:hint="default" w:ascii="Times New Roman" w:hAnsi="Times New Roman" w:cs="Times New Roman"/>
          <w:b/>
          <w:bCs w:val="0"/>
          <w:color w:val="auto"/>
          <w:sz w:val="44"/>
          <w:szCs w:val="44"/>
        </w:rPr>
        <w:t>竣工环境保护验收监测报告</w:t>
      </w:r>
    </w:p>
    <w:bookmarkEnd w:id="0"/>
    <w:p>
      <w:pPr>
        <w:spacing w:line="360" w:lineRule="auto"/>
        <w:jc w:val="center"/>
        <w:rPr>
          <w:rFonts w:ascii="Times New Roman" w:hAnsi="Times New Roman" w:cs="Times New Roman"/>
          <w:b/>
          <w:color w:val="auto"/>
          <w:sz w:val="32"/>
          <w:szCs w:val="28"/>
        </w:rPr>
      </w:pPr>
    </w:p>
    <w:p>
      <w:pPr>
        <w:spacing w:line="360" w:lineRule="auto"/>
        <w:jc w:val="center"/>
        <w:rPr>
          <w:rFonts w:ascii="Times New Roman" w:hAnsi="Times New Roman" w:cs="Times New Roman"/>
          <w:b/>
          <w:color w:val="auto"/>
          <w:sz w:val="32"/>
          <w:szCs w:val="28"/>
        </w:rPr>
      </w:pPr>
    </w:p>
    <w:p>
      <w:pPr>
        <w:spacing w:line="360" w:lineRule="auto"/>
        <w:jc w:val="center"/>
        <w:rPr>
          <w:rFonts w:ascii="Times New Roman" w:hAnsi="Times New Roman" w:cs="Times New Roman"/>
          <w:b/>
          <w:color w:val="auto"/>
          <w:sz w:val="32"/>
          <w:szCs w:val="28"/>
        </w:rPr>
      </w:pPr>
    </w:p>
    <w:p>
      <w:pPr>
        <w:spacing w:line="360" w:lineRule="auto"/>
        <w:jc w:val="center"/>
        <w:rPr>
          <w:rFonts w:ascii="Times New Roman" w:hAnsi="Times New Roman" w:cs="Times New Roman"/>
          <w:b/>
          <w:color w:val="auto"/>
          <w:sz w:val="32"/>
          <w:szCs w:val="28"/>
        </w:rPr>
      </w:pPr>
    </w:p>
    <w:p>
      <w:pPr>
        <w:spacing w:line="360" w:lineRule="auto"/>
        <w:jc w:val="center"/>
        <w:rPr>
          <w:rFonts w:ascii="Times New Roman" w:hAnsi="Times New Roman" w:cs="Times New Roman"/>
          <w:b/>
          <w:color w:val="auto"/>
          <w:sz w:val="32"/>
          <w:szCs w:val="28"/>
        </w:rPr>
      </w:pPr>
    </w:p>
    <w:p>
      <w:pPr>
        <w:spacing w:line="360" w:lineRule="auto"/>
        <w:jc w:val="center"/>
        <w:rPr>
          <w:rFonts w:ascii="Times New Roman" w:hAnsi="Times New Roman" w:cs="Times New Roman"/>
          <w:b/>
          <w:color w:val="auto"/>
          <w:sz w:val="32"/>
          <w:szCs w:val="28"/>
        </w:rPr>
      </w:pPr>
    </w:p>
    <w:p>
      <w:pPr>
        <w:spacing w:line="360" w:lineRule="auto"/>
        <w:jc w:val="center"/>
        <w:rPr>
          <w:rFonts w:ascii="Times New Roman" w:hAnsi="Times New Roman" w:cs="Times New Roman"/>
          <w:b/>
          <w:color w:val="auto"/>
          <w:sz w:val="32"/>
          <w:szCs w:val="28"/>
        </w:rPr>
      </w:pPr>
    </w:p>
    <w:p>
      <w:pPr>
        <w:spacing w:line="360" w:lineRule="auto"/>
        <w:jc w:val="center"/>
        <w:rPr>
          <w:rFonts w:ascii="Times New Roman" w:hAnsi="Times New Roman" w:cs="Times New Roman"/>
          <w:b/>
          <w:color w:val="auto"/>
          <w:sz w:val="32"/>
          <w:szCs w:val="28"/>
        </w:rPr>
      </w:pPr>
    </w:p>
    <w:p>
      <w:pPr>
        <w:spacing w:line="360" w:lineRule="auto"/>
        <w:jc w:val="center"/>
        <w:rPr>
          <w:rFonts w:ascii="Times New Roman" w:hAnsi="Times New Roman" w:cs="Times New Roman"/>
          <w:b/>
          <w:color w:val="auto"/>
          <w:sz w:val="32"/>
          <w:szCs w:val="28"/>
        </w:rPr>
      </w:pPr>
    </w:p>
    <w:p>
      <w:pPr>
        <w:spacing w:line="360" w:lineRule="auto"/>
        <w:jc w:val="center"/>
        <w:rPr>
          <w:rFonts w:ascii="Times New Roman" w:hAnsi="Times New Roman" w:cs="Times New Roman"/>
          <w:b/>
          <w:color w:val="auto"/>
          <w:sz w:val="32"/>
          <w:szCs w:val="28"/>
        </w:rPr>
      </w:pPr>
    </w:p>
    <w:p>
      <w:pPr>
        <w:spacing w:line="360" w:lineRule="auto"/>
        <w:jc w:val="center"/>
        <w:rPr>
          <w:rFonts w:ascii="Times New Roman" w:hAnsi="Times New Roman" w:cs="Times New Roman"/>
          <w:b/>
          <w:color w:val="auto"/>
          <w:sz w:val="32"/>
          <w:szCs w:val="28"/>
        </w:rPr>
      </w:pPr>
    </w:p>
    <w:p>
      <w:pPr>
        <w:spacing w:line="360" w:lineRule="auto"/>
        <w:jc w:val="center"/>
        <w:rPr>
          <w:rFonts w:ascii="Times New Roman" w:hAnsi="Times New Roman" w:cs="Times New Roman"/>
          <w:b/>
          <w:color w:val="auto"/>
          <w:sz w:val="32"/>
          <w:szCs w:val="28"/>
        </w:rPr>
      </w:pPr>
    </w:p>
    <w:p>
      <w:pPr>
        <w:spacing w:line="360" w:lineRule="auto"/>
        <w:ind w:firstLine="562" w:firstLineChars="200"/>
        <w:rPr>
          <w:rFonts w:ascii="Times New Roman" w:hAnsi="Times New Roman" w:cs="Times New Roman"/>
          <w:b/>
          <w:color w:val="auto"/>
          <w:sz w:val="28"/>
          <w:szCs w:val="28"/>
        </w:rPr>
      </w:pPr>
      <w:r>
        <w:rPr>
          <w:rFonts w:hint="default" w:ascii="Times New Roman" w:hAnsi="Times New Roman" w:cs="Times New Roman"/>
          <w:b/>
          <w:color w:val="auto"/>
          <w:sz w:val="28"/>
          <w:szCs w:val="28"/>
        </w:rPr>
        <w:t>建设单位：岳阳中展科技有限公司</w:t>
      </w:r>
    </w:p>
    <w:p>
      <w:pPr>
        <w:spacing w:line="360" w:lineRule="auto"/>
        <w:ind w:firstLine="562" w:firstLineChars="200"/>
        <w:rPr>
          <w:rFonts w:hint="default" w:ascii="Times New Roman" w:hAnsi="Times New Roman" w:cs="Times New Roman" w:eastAsiaTheme="minorEastAsia"/>
          <w:b/>
          <w:color w:val="auto"/>
          <w:sz w:val="28"/>
          <w:szCs w:val="28"/>
          <w:lang w:val="en-US" w:eastAsia="zh-CN"/>
        </w:rPr>
      </w:pPr>
      <w:r>
        <w:rPr>
          <w:rFonts w:hint="default" w:ascii="Times New Roman" w:hAnsi="Times New Roman" w:cs="Times New Roman"/>
          <w:b/>
          <w:color w:val="auto"/>
          <w:sz w:val="28"/>
          <w:szCs w:val="28"/>
        </w:rPr>
        <w:t>编制</w:t>
      </w:r>
      <w:r>
        <w:rPr>
          <w:rFonts w:hint="eastAsia" w:ascii="Times New Roman" w:hAnsi="Times New Roman" w:cs="Times New Roman"/>
          <w:b/>
          <w:color w:val="auto"/>
          <w:sz w:val="28"/>
          <w:szCs w:val="28"/>
          <w:lang w:val="en-US" w:eastAsia="zh-CN"/>
        </w:rPr>
        <w:t>单位</w:t>
      </w:r>
      <w:r>
        <w:rPr>
          <w:rFonts w:hint="default" w:ascii="Times New Roman" w:hAnsi="Times New Roman" w:cs="Times New Roman"/>
          <w:b/>
          <w:color w:val="auto"/>
          <w:sz w:val="28"/>
          <w:szCs w:val="28"/>
        </w:rPr>
        <w:t>：</w:t>
      </w:r>
      <w:r>
        <w:rPr>
          <w:rFonts w:hint="eastAsia" w:ascii="Times New Roman" w:hAnsi="Times New Roman" w:cs="Times New Roman"/>
          <w:b/>
          <w:color w:val="auto"/>
          <w:sz w:val="28"/>
          <w:szCs w:val="28"/>
          <w:lang w:val="en-US" w:eastAsia="zh-CN"/>
        </w:rPr>
        <w:t>湖南博咨环境技术咨询服务有限公司</w:t>
      </w:r>
    </w:p>
    <w:p>
      <w:pPr>
        <w:pStyle w:val="8"/>
        <w:rPr>
          <w:rFonts w:hint="default" w:eastAsiaTheme="majorEastAsia"/>
          <w:lang w:val="en-US" w:eastAsia="zh-CN"/>
        </w:rPr>
      </w:pPr>
      <w:r>
        <w:rPr>
          <w:rFonts w:hint="eastAsia"/>
          <w:lang w:val="en-US" w:eastAsia="zh-CN"/>
        </w:rPr>
        <w:t xml:space="preserve">  </w:t>
      </w:r>
    </w:p>
    <w:p/>
    <w:p>
      <w:pPr>
        <w:rPr>
          <w:rFonts w:ascii="Times New Roman" w:hAnsi="Times New Roman" w:eastAsia="宋体" w:cs="Times New Roman"/>
          <w:color w:val="auto"/>
          <w:sz w:val="28"/>
        </w:rPr>
      </w:pPr>
    </w:p>
    <w:p>
      <w:pPr>
        <w:rPr>
          <w:rFonts w:ascii="Times New Roman" w:hAnsi="Times New Roman" w:eastAsia="宋体" w:cs="Times New Roman"/>
          <w:color w:val="auto"/>
          <w:sz w:val="28"/>
        </w:rPr>
      </w:pPr>
    </w:p>
    <w:p>
      <w:pPr>
        <w:rPr>
          <w:rFonts w:ascii="Times New Roman" w:hAnsi="Times New Roman" w:eastAsia="宋体" w:cs="Times New Roman"/>
          <w:color w:val="auto"/>
          <w:sz w:val="28"/>
        </w:rPr>
      </w:pPr>
    </w:p>
    <w:p>
      <w:pPr>
        <w:rPr>
          <w:rFonts w:ascii="Times New Roman" w:hAnsi="Times New Roman" w:eastAsia="宋体" w:cs="Times New Roman"/>
          <w:color w:val="auto"/>
          <w:sz w:val="28"/>
        </w:rPr>
      </w:pPr>
    </w:p>
    <w:p>
      <w:pPr>
        <w:rPr>
          <w:rFonts w:ascii="Times New Roman" w:hAnsi="Times New Roman" w:eastAsia="宋体" w:cs="Times New Roman"/>
          <w:color w:val="auto"/>
          <w:sz w:val="28"/>
        </w:rPr>
      </w:pPr>
      <w:bookmarkStart w:id="231" w:name="_GoBack"/>
      <w:bookmarkEnd w:id="231"/>
      <w:r>
        <w:rPr>
          <w:rFonts w:ascii="Times New Roman" w:hAnsi="Times New Roman" w:eastAsia="宋体" w:cs="Times New Roman"/>
          <w:color w:val="auto"/>
          <w:sz w:val="28"/>
        </w:rPr>
        <w:t>建设单位法人代表:</w:t>
      </w:r>
      <w:r>
        <w:rPr>
          <w:rFonts w:ascii="Times New Roman" w:hAnsi="Times New Roman" w:eastAsia="宋体" w:cs="Times New Roman"/>
          <w:color w:val="auto"/>
          <w:sz w:val="28"/>
        </w:rPr>
        <w:tab/>
      </w:r>
      <w:r>
        <w:rPr>
          <w:rFonts w:hint="default" w:ascii="Times New Roman" w:hAnsi="Times New Roman" w:eastAsia="宋体" w:cs="Times New Roman"/>
          <w:color w:val="auto"/>
          <w:sz w:val="28"/>
        </w:rPr>
        <w:t xml:space="preserve"> 余志良</w:t>
      </w:r>
    </w:p>
    <w:p>
      <w:pPr>
        <w:spacing w:line="360" w:lineRule="auto"/>
        <w:rPr>
          <w:rFonts w:ascii="Times New Roman" w:hAnsi="Times New Roman" w:eastAsia="宋体" w:cs="Times New Roman"/>
          <w:color w:val="auto"/>
          <w:sz w:val="28"/>
        </w:rPr>
      </w:pPr>
      <w:r>
        <w:rPr>
          <w:rFonts w:ascii="Times New Roman" w:hAnsi="Times New Roman" w:eastAsia="宋体" w:cs="Times New Roman"/>
          <w:color w:val="auto"/>
          <w:sz w:val="28"/>
        </w:rPr>
        <w:t>项  目  负  责 人:</w:t>
      </w:r>
      <w:r>
        <w:rPr>
          <w:rFonts w:hint="default" w:ascii="Times New Roman" w:hAnsi="Times New Roman" w:eastAsia="宋体" w:cs="Times New Roman"/>
          <w:color w:val="auto"/>
          <w:sz w:val="28"/>
        </w:rPr>
        <w:t xml:space="preserve"> 熊良</w:t>
      </w:r>
    </w:p>
    <w:p>
      <w:pPr>
        <w:spacing w:line="360" w:lineRule="auto"/>
        <w:rPr>
          <w:rFonts w:ascii="Times New Roman" w:hAnsi="Times New Roman" w:eastAsia="宋体" w:cs="Times New Roman"/>
          <w:b/>
          <w:color w:val="auto"/>
          <w:sz w:val="28"/>
          <w:highlight w:val="cyan"/>
        </w:rPr>
      </w:pPr>
    </w:p>
    <w:p>
      <w:pPr>
        <w:spacing w:line="360" w:lineRule="auto"/>
        <w:rPr>
          <w:rFonts w:ascii="Times New Roman" w:hAnsi="Times New Roman" w:eastAsia="宋体" w:cs="Times New Roman"/>
          <w:b/>
          <w:color w:val="auto"/>
          <w:sz w:val="28"/>
          <w:highlight w:val="cyan"/>
        </w:rPr>
      </w:pPr>
    </w:p>
    <w:p>
      <w:pPr>
        <w:spacing w:line="360" w:lineRule="auto"/>
        <w:rPr>
          <w:rFonts w:ascii="Times New Roman" w:hAnsi="Times New Roman" w:eastAsia="宋体" w:cs="Times New Roman"/>
          <w:b/>
          <w:color w:val="auto"/>
          <w:sz w:val="28"/>
          <w:highlight w:val="cyan"/>
        </w:rPr>
      </w:pPr>
    </w:p>
    <w:p>
      <w:pPr>
        <w:spacing w:line="360" w:lineRule="auto"/>
        <w:rPr>
          <w:rFonts w:ascii="Times New Roman" w:hAnsi="Times New Roman" w:eastAsia="宋体" w:cs="Times New Roman"/>
          <w:b/>
          <w:color w:val="auto"/>
          <w:sz w:val="28"/>
          <w:highlight w:val="cyan"/>
        </w:rPr>
      </w:pPr>
    </w:p>
    <w:p>
      <w:pPr>
        <w:spacing w:line="360" w:lineRule="auto"/>
        <w:rPr>
          <w:rFonts w:ascii="Times New Roman" w:hAnsi="Times New Roman" w:eastAsia="宋体" w:cs="Times New Roman"/>
          <w:color w:val="auto"/>
          <w:sz w:val="28"/>
          <w:highlight w:val="cyan"/>
        </w:rPr>
      </w:pPr>
    </w:p>
    <w:p>
      <w:pPr>
        <w:spacing w:line="360" w:lineRule="auto"/>
        <w:rPr>
          <w:rFonts w:ascii="Times New Roman" w:hAnsi="Times New Roman" w:eastAsia="宋体" w:cs="Times New Roman"/>
          <w:color w:val="auto"/>
          <w:sz w:val="28"/>
          <w:highlight w:val="cyan"/>
        </w:rPr>
      </w:pPr>
    </w:p>
    <w:p>
      <w:pPr>
        <w:spacing w:line="360" w:lineRule="auto"/>
        <w:rPr>
          <w:rFonts w:ascii="Times New Roman" w:hAnsi="Times New Roman" w:eastAsia="宋体" w:cs="Times New Roman"/>
          <w:color w:val="auto"/>
          <w:sz w:val="28"/>
          <w:highlight w:val="cyan"/>
        </w:rPr>
      </w:pPr>
    </w:p>
    <w:p>
      <w:pPr>
        <w:spacing w:line="360" w:lineRule="auto"/>
        <w:rPr>
          <w:rFonts w:ascii="Times New Roman" w:hAnsi="Times New Roman" w:eastAsia="宋体" w:cs="Times New Roman"/>
          <w:color w:val="auto"/>
          <w:sz w:val="28"/>
          <w:highlight w:val="cyan"/>
        </w:rPr>
      </w:pPr>
    </w:p>
    <w:p>
      <w:pPr>
        <w:spacing w:line="360" w:lineRule="auto"/>
        <w:rPr>
          <w:rFonts w:ascii="Times New Roman" w:hAnsi="Times New Roman" w:eastAsia="宋体" w:cs="Times New Roman"/>
          <w:color w:val="auto"/>
          <w:sz w:val="28"/>
          <w:highlight w:val="cyan"/>
        </w:rPr>
      </w:pPr>
    </w:p>
    <w:p>
      <w:pPr>
        <w:spacing w:line="360" w:lineRule="auto"/>
        <w:rPr>
          <w:rFonts w:ascii="Times New Roman" w:hAnsi="Times New Roman" w:eastAsia="宋体" w:cs="Times New Roman"/>
          <w:color w:val="auto"/>
          <w:sz w:val="24"/>
        </w:rPr>
      </w:pPr>
      <w:r>
        <w:rPr>
          <w:rFonts w:ascii="Times New Roman" w:hAnsi="Times New Roman" w:eastAsia="宋体" w:cs="Times New Roman"/>
          <w:color w:val="auto"/>
          <w:sz w:val="24"/>
        </w:rPr>
        <w:t>建设单位</w:t>
      </w:r>
      <w:r>
        <w:rPr>
          <w:rFonts w:hint="default" w:ascii="Times New Roman" w:hAnsi="Times New Roman" w:eastAsia="宋体" w:cs="Times New Roman"/>
          <w:color w:val="auto"/>
          <w:sz w:val="24"/>
        </w:rPr>
        <w:t>：岳阳中展科技有限公司</w:t>
      </w:r>
      <w:r>
        <w:rPr>
          <w:rFonts w:ascii="Times New Roman" w:hAnsi="Times New Roman" w:eastAsia="宋体" w:cs="Times New Roman"/>
          <w:color w:val="auto"/>
          <w:sz w:val="24"/>
        </w:rPr>
        <w:t xml:space="preserve">      </w:t>
      </w:r>
    </w:p>
    <w:p>
      <w:pPr>
        <w:spacing w:line="360" w:lineRule="auto"/>
        <w:rPr>
          <w:rFonts w:ascii="Times New Roman" w:hAnsi="Times New Roman" w:cs="Times New Roman"/>
          <w:color w:val="auto"/>
          <w:sz w:val="24"/>
        </w:rPr>
      </w:pPr>
      <w:r>
        <w:rPr>
          <w:rFonts w:ascii="Times New Roman" w:hAnsi="Times New Roman" w:eastAsia="宋体" w:cs="Times New Roman"/>
          <w:color w:val="auto"/>
          <w:sz w:val="24"/>
        </w:rPr>
        <w:t>电话</w:t>
      </w:r>
      <w:r>
        <w:rPr>
          <w:rFonts w:hint="default" w:ascii="Times New Roman" w:hAnsi="Times New Roman" w:eastAsia="宋体" w:cs="Times New Roman"/>
          <w:color w:val="auto"/>
          <w:sz w:val="24"/>
        </w:rPr>
        <w:t>：</w:t>
      </w:r>
      <w:r>
        <w:rPr>
          <w:rFonts w:ascii="Times New Roman" w:hAnsi="Times New Roman" w:cs="Times New Roman"/>
          <w:color w:val="auto"/>
          <w:sz w:val="20"/>
        </w:rPr>
        <w:t xml:space="preserve"> </w:t>
      </w:r>
      <w:r>
        <w:rPr>
          <w:rFonts w:ascii="Times New Roman" w:hAnsi="Times New Roman" w:cs="Times New Roman"/>
          <w:color w:val="auto"/>
          <w:kern w:val="0"/>
          <w:sz w:val="24"/>
          <w:szCs w:val="24"/>
        </w:rPr>
        <w:t>13</w:t>
      </w:r>
      <w:r>
        <w:rPr>
          <w:rFonts w:hint="default" w:ascii="Times New Roman" w:hAnsi="Times New Roman" w:cs="Times New Roman"/>
          <w:color w:val="auto"/>
          <w:kern w:val="0"/>
          <w:sz w:val="24"/>
          <w:szCs w:val="24"/>
        </w:rPr>
        <w:t>762061261</w:t>
      </w:r>
    </w:p>
    <w:p>
      <w:pPr>
        <w:spacing w:line="360" w:lineRule="auto"/>
        <w:rPr>
          <w:rFonts w:ascii="Times New Roman" w:hAnsi="Times New Roman" w:eastAsia="宋体" w:cs="Times New Roman"/>
          <w:color w:val="auto"/>
          <w:sz w:val="24"/>
        </w:rPr>
      </w:pPr>
      <w:r>
        <w:rPr>
          <w:rFonts w:ascii="Times New Roman" w:hAnsi="Times New Roman" w:eastAsia="宋体" w:cs="Times New Roman"/>
          <w:color w:val="auto"/>
          <w:sz w:val="24"/>
        </w:rPr>
        <w:t>传真</w:t>
      </w:r>
      <w:r>
        <w:rPr>
          <w:rFonts w:hint="default" w:ascii="Times New Roman" w:hAnsi="Times New Roman" w:eastAsia="宋体" w:cs="Times New Roman"/>
          <w:color w:val="auto"/>
          <w:sz w:val="24"/>
        </w:rPr>
        <w:t>：/</w:t>
      </w:r>
    </w:p>
    <w:p>
      <w:pPr>
        <w:spacing w:line="360" w:lineRule="auto"/>
        <w:rPr>
          <w:rFonts w:ascii="Times New Roman" w:hAnsi="Times New Roman" w:cs="Times New Roman"/>
          <w:color w:val="auto"/>
          <w:kern w:val="0"/>
          <w:sz w:val="24"/>
          <w:szCs w:val="24"/>
        </w:rPr>
      </w:pPr>
      <w:r>
        <w:rPr>
          <w:rFonts w:ascii="Times New Roman" w:hAnsi="Times New Roman" w:eastAsia="宋体" w:cs="Times New Roman"/>
          <w:color w:val="auto"/>
          <w:sz w:val="24"/>
        </w:rPr>
        <w:t>邮编</w:t>
      </w:r>
      <w:r>
        <w:rPr>
          <w:rFonts w:hint="default" w:ascii="Times New Roman" w:hAnsi="Times New Roman" w:eastAsia="宋体" w:cs="Times New Roman"/>
          <w:color w:val="auto"/>
          <w:sz w:val="24"/>
        </w:rPr>
        <w:t>：</w:t>
      </w:r>
      <w:r>
        <w:rPr>
          <w:rFonts w:ascii="Times New Roman" w:hAnsi="Times New Roman" w:cs="Times New Roman"/>
          <w:color w:val="auto"/>
          <w:kern w:val="0"/>
          <w:sz w:val="24"/>
          <w:szCs w:val="24"/>
        </w:rPr>
        <w:t>414001</w:t>
      </w:r>
    </w:p>
    <w:p>
      <w:pPr>
        <w:spacing w:line="360" w:lineRule="auto"/>
        <w:rPr>
          <w:rFonts w:ascii="Times New Roman" w:hAnsi="Times New Roman" w:eastAsia="宋体" w:cs="Times New Roman"/>
          <w:b/>
          <w:color w:val="auto"/>
          <w:sz w:val="28"/>
          <w:szCs w:val="32"/>
        </w:rPr>
        <w:sectPr>
          <w:footerReference r:id="rId3"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ascii="Times New Roman" w:hAnsi="Times New Roman" w:eastAsia="宋体" w:cs="Times New Roman"/>
          <w:color w:val="auto"/>
          <w:sz w:val="24"/>
        </w:rPr>
        <w:t>地址</w:t>
      </w:r>
      <w:r>
        <w:rPr>
          <w:rFonts w:hint="default" w:ascii="Times New Roman" w:hAnsi="Times New Roman" w:eastAsia="宋体" w:cs="Times New Roman"/>
          <w:color w:val="auto"/>
          <w:sz w:val="24"/>
        </w:rPr>
        <w:t>：</w:t>
      </w:r>
      <w:r>
        <w:rPr>
          <w:rFonts w:hint="default" w:ascii="Times New Roman" w:hAnsi="Times New Roman" w:cs="Times New Roman"/>
          <w:color w:val="auto"/>
          <w:kern w:val="0"/>
          <w:sz w:val="24"/>
          <w:szCs w:val="20"/>
        </w:rPr>
        <w:t>湖南岳阳绿色化工产业园云溪片区西北角</w:t>
      </w:r>
    </w:p>
    <w:p>
      <w:pPr>
        <w:spacing w:line="480" w:lineRule="auto"/>
        <w:ind w:firstLine="643" w:firstLineChars="200"/>
        <w:jc w:val="center"/>
        <w:rPr>
          <w:rFonts w:ascii="Times New Roman" w:hAnsi="Times New Roman" w:cs="Times New Roman"/>
          <w:b/>
          <w:color w:val="auto"/>
          <w:sz w:val="32"/>
          <w:szCs w:val="32"/>
        </w:rPr>
      </w:pPr>
      <w:r>
        <w:rPr>
          <w:rFonts w:hint="default" w:ascii="Times New Roman" w:hAnsi="Times New Roman" w:cs="Times New Roman"/>
          <w:b/>
          <w:color w:val="auto"/>
          <w:sz w:val="32"/>
          <w:szCs w:val="32"/>
        </w:rPr>
        <w:t>目录</w:t>
      </w:r>
    </w:p>
    <w:p>
      <w:pPr>
        <w:pStyle w:val="22"/>
        <w:tabs>
          <w:tab w:val="right" w:leader="dot" w:pos="8306"/>
        </w:tabs>
        <w:rPr>
          <w:color w:val="auto"/>
        </w:rPr>
      </w:pPr>
      <w:r>
        <w:rPr>
          <w:rFonts w:ascii="Times New Roman" w:hAnsi="Times New Roman" w:eastAsia="宋体" w:cs="Times New Roman"/>
          <w:color w:val="auto"/>
          <w:sz w:val="24"/>
          <w:szCs w:val="24"/>
        </w:rPr>
        <w:fldChar w:fldCharType="begin"/>
      </w:r>
      <w:r>
        <w:rPr>
          <w:rFonts w:ascii="Times New Roman" w:hAnsi="Times New Roman" w:eastAsia="宋体" w:cs="Times New Roman"/>
          <w:color w:val="auto"/>
          <w:sz w:val="24"/>
          <w:szCs w:val="24"/>
        </w:rPr>
        <w:instrText xml:space="preserve"> TOC \o "1-3" \h \z \u </w:instrText>
      </w:r>
      <w:r>
        <w:rPr>
          <w:rFonts w:ascii="Times New Roman" w:hAnsi="Times New Roman" w:eastAsia="宋体" w:cs="Times New Roman"/>
          <w:color w:val="auto"/>
          <w:sz w:val="24"/>
          <w:szCs w:val="24"/>
        </w:rPr>
        <w:fldChar w:fldCharType="separate"/>
      </w: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_Toc10530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2"/>
        </w:rPr>
        <w:t>1、项目概况</w:t>
      </w:r>
      <w:r>
        <w:rPr>
          <w:color w:val="auto"/>
        </w:rPr>
        <w:tab/>
      </w:r>
      <w:r>
        <w:rPr>
          <w:color w:val="auto"/>
        </w:rPr>
        <w:fldChar w:fldCharType="begin"/>
      </w:r>
      <w:r>
        <w:rPr>
          <w:color w:val="auto"/>
        </w:rPr>
        <w:instrText xml:space="preserve"> PAGEREF _Toc10530 </w:instrText>
      </w:r>
      <w:r>
        <w:rPr>
          <w:color w:val="auto"/>
        </w:rPr>
        <w:fldChar w:fldCharType="separate"/>
      </w:r>
      <w:r>
        <w:rPr>
          <w:color w:val="auto"/>
        </w:rPr>
        <w:t>1</w:t>
      </w:r>
      <w:r>
        <w:rPr>
          <w:color w:val="auto"/>
        </w:rPr>
        <w:fldChar w:fldCharType="end"/>
      </w:r>
      <w:r>
        <w:rPr>
          <w:rFonts w:ascii="Times New Roman" w:hAnsi="Times New Roman" w:eastAsia="宋体" w:cs="Times New Roman"/>
          <w:color w:val="auto"/>
          <w:szCs w:val="24"/>
        </w:rPr>
        <w:fldChar w:fldCharType="end"/>
      </w:r>
    </w:p>
    <w:p>
      <w:pPr>
        <w:pStyle w:val="22"/>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_Toc14073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2"/>
        </w:rPr>
        <w:t>2、验收依据</w:t>
      </w:r>
      <w:r>
        <w:rPr>
          <w:color w:val="auto"/>
        </w:rPr>
        <w:tab/>
      </w:r>
      <w:r>
        <w:rPr>
          <w:color w:val="auto"/>
        </w:rPr>
        <w:fldChar w:fldCharType="begin"/>
      </w:r>
      <w:r>
        <w:rPr>
          <w:color w:val="auto"/>
        </w:rPr>
        <w:instrText xml:space="preserve"> PAGEREF _Toc14073 </w:instrText>
      </w:r>
      <w:r>
        <w:rPr>
          <w:color w:val="auto"/>
        </w:rPr>
        <w:fldChar w:fldCharType="separate"/>
      </w:r>
      <w:r>
        <w:rPr>
          <w:color w:val="auto"/>
        </w:rPr>
        <w:t>2</w:t>
      </w:r>
      <w:r>
        <w:rPr>
          <w:color w:val="auto"/>
        </w:rPr>
        <w:fldChar w:fldCharType="end"/>
      </w:r>
      <w:r>
        <w:rPr>
          <w:rFonts w:ascii="Times New Roman" w:hAnsi="Times New Roman" w:eastAsia="宋体" w:cs="Times New Roman"/>
          <w:color w:val="auto"/>
          <w:szCs w:val="24"/>
        </w:rPr>
        <w:fldChar w:fldCharType="end"/>
      </w:r>
    </w:p>
    <w:p>
      <w:pPr>
        <w:pStyle w:val="23"/>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_Toc15842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0"/>
        </w:rPr>
        <w:t>2</w:t>
      </w:r>
      <w:r>
        <w:rPr>
          <w:rFonts w:ascii="Times New Roman" w:hAnsi="Times New Roman" w:cs="Times New Roman"/>
          <w:color w:val="auto"/>
          <w:szCs w:val="30"/>
        </w:rPr>
        <w:t>.1</w:t>
      </w:r>
      <w:r>
        <w:rPr>
          <w:rFonts w:hint="default" w:ascii="Times New Roman" w:hAnsi="Times New Roman" w:cs="Times New Roman"/>
          <w:color w:val="auto"/>
          <w:szCs w:val="30"/>
        </w:rPr>
        <w:t>建设项目环境保护相关法律、法规和规章制度</w:t>
      </w:r>
      <w:r>
        <w:rPr>
          <w:color w:val="auto"/>
        </w:rPr>
        <w:tab/>
      </w:r>
      <w:r>
        <w:rPr>
          <w:color w:val="auto"/>
        </w:rPr>
        <w:fldChar w:fldCharType="begin"/>
      </w:r>
      <w:r>
        <w:rPr>
          <w:color w:val="auto"/>
        </w:rPr>
        <w:instrText xml:space="preserve"> PAGEREF _Toc15842 </w:instrText>
      </w:r>
      <w:r>
        <w:rPr>
          <w:color w:val="auto"/>
        </w:rPr>
        <w:fldChar w:fldCharType="separate"/>
      </w:r>
      <w:r>
        <w:rPr>
          <w:color w:val="auto"/>
        </w:rPr>
        <w:t>2</w:t>
      </w:r>
      <w:r>
        <w:rPr>
          <w:color w:val="auto"/>
        </w:rPr>
        <w:fldChar w:fldCharType="end"/>
      </w:r>
      <w:r>
        <w:rPr>
          <w:rFonts w:ascii="Times New Roman" w:hAnsi="Times New Roman" w:eastAsia="宋体" w:cs="Times New Roman"/>
          <w:color w:val="auto"/>
          <w:szCs w:val="24"/>
        </w:rPr>
        <w:fldChar w:fldCharType="end"/>
      </w:r>
    </w:p>
    <w:p>
      <w:pPr>
        <w:pStyle w:val="23"/>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_Toc5767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0"/>
        </w:rPr>
        <w:t>2</w:t>
      </w:r>
      <w:r>
        <w:rPr>
          <w:rFonts w:ascii="Times New Roman" w:hAnsi="Times New Roman" w:cs="Times New Roman"/>
          <w:color w:val="auto"/>
          <w:szCs w:val="30"/>
        </w:rPr>
        <w:t>.2</w:t>
      </w:r>
      <w:r>
        <w:rPr>
          <w:rFonts w:hint="default" w:ascii="Times New Roman" w:hAnsi="Times New Roman" w:cs="Times New Roman"/>
          <w:color w:val="auto"/>
          <w:szCs w:val="30"/>
        </w:rPr>
        <w:t>建设项目竣工环境保护验收技术规范</w:t>
      </w:r>
      <w:r>
        <w:rPr>
          <w:color w:val="auto"/>
        </w:rPr>
        <w:tab/>
      </w:r>
      <w:r>
        <w:rPr>
          <w:color w:val="auto"/>
        </w:rPr>
        <w:fldChar w:fldCharType="begin"/>
      </w:r>
      <w:r>
        <w:rPr>
          <w:color w:val="auto"/>
        </w:rPr>
        <w:instrText xml:space="preserve"> PAGEREF _Toc5767 </w:instrText>
      </w:r>
      <w:r>
        <w:rPr>
          <w:color w:val="auto"/>
        </w:rPr>
        <w:fldChar w:fldCharType="separate"/>
      </w:r>
      <w:r>
        <w:rPr>
          <w:color w:val="auto"/>
        </w:rPr>
        <w:t>2</w:t>
      </w:r>
      <w:r>
        <w:rPr>
          <w:color w:val="auto"/>
        </w:rPr>
        <w:fldChar w:fldCharType="end"/>
      </w:r>
      <w:r>
        <w:rPr>
          <w:rFonts w:ascii="Times New Roman" w:hAnsi="Times New Roman" w:eastAsia="宋体" w:cs="Times New Roman"/>
          <w:color w:val="auto"/>
          <w:szCs w:val="24"/>
        </w:rPr>
        <w:fldChar w:fldCharType="end"/>
      </w:r>
    </w:p>
    <w:p>
      <w:pPr>
        <w:pStyle w:val="23"/>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_Toc2151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0"/>
        </w:rPr>
        <w:t>2</w:t>
      </w:r>
      <w:r>
        <w:rPr>
          <w:rFonts w:ascii="Times New Roman" w:hAnsi="Times New Roman" w:cs="Times New Roman"/>
          <w:color w:val="auto"/>
          <w:szCs w:val="30"/>
        </w:rPr>
        <w:t>.3</w:t>
      </w:r>
      <w:r>
        <w:rPr>
          <w:rFonts w:hint="default" w:ascii="Times New Roman" w:hAnsi="Times New Roman" w:cs="Times New Roman"/>
          <w:color w:val="auto"/>
          <w:szCs w:val="30"/>
        </w:rPr>
        <w:t>建设项目环境影响报告书及其审批部门审批决定</w:t>
      </w:r>
      <w:r>
        <w:rPr>
          <w:color w:val="auto"/>
        </w:rPr>
        <w:tab/>
      </w:r>
      <w:r>
        <w:rPr>
          <w:color w:val="auto"/>
        </w:rPr>
        <w:fldChar w:fldCharType="begin"/>
      </w:r>
      <w:r>
        <w:rPr>
          <w:color w:val="auto"/>
        </w:rPr>
        <w:instrText xml:space="preserve"> PAGEREF _Toc2151 </w:instrText>
      </w:r>
      <w:r>
        <w:rPr>
          <w:color w:val="auto"/>
        </w:rPr>
        <w:fldChar w:fldCharType="separate"/>
      </w:r>
      <w:r>
        <w:rPr>
          <w:color w:val="auto"/>
        </w:rPr>
        <w:t>2</w:t>
      </w:r>
      <w:r>
        <w:rPr>
          <w:color w:val="auto"/>
        </w:rPr>
        <w:fldChar w:fldCharType="end"/>
      </w:r>
      <w:r>
        <w:rPr>
          <w:rFonts w:ascii="Times New Roman" w:hAnsi="Times New Roman" w:eastAsia="宋体" w:cs="Times New Roman"/>
          <w:color w:val="auto"/>
          <w:szCs w:val="24"/>
        </w:rPr>
        <w:fldChar w:fldCharType="end"/>
      </w:r>
    </w:p>
    <w:p>
      <w:pPr>
        <w:pStyle w:val="22"/>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_Toc13194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2"/>
        </w:rPr>
        <w:t>3、项目建设情况</w:t>
      </w:r>
      <w:r>
        <w:rPr>
          <w:color w:val="auto"/>
        </w:rPr>
        <w:tab/>
      </w:r>
      <w:r>
        <w:rPr>
          <w:color w:val="auto"/>
        </w:rPr>
        <w:fldChar w:fldCharType="begin"/>
      </w:r>
      <w:r>
        <w:rPr>
          <w:color w:val="auto"/>
        </w:rPr>
        <w:instrText xml:space="preserve"> PAGEREF _Toc13194 </w:instrText>
      </w:r>
      <w:r>
        <w:rPr>
          <w:color w:val="auto"/>
        </w:rPr>
        <w:fldChar w:fldCharType="separate"/>
      </w:r>
      <w:r>
        <w:rPr>
          <w:color w:val="auto"/>
        </w:rPr>
        <w:t>2</w:t>
      </w:r>
      <w:r>
        <w:rPr>
          <w:color w:val="auto"/>
        </w:rPr>
        <w:fldChar w:fldCharType="end"/>
      </w:r>
      <w:r>
        <w:rPr>
          <w:rFonts w:ascii="Times New Roman" w:hAnsi="Times New Roman" w:eastAsia="宋体" w:cs="Times New Roman"/>
          <w:color w:val="auto"/>
          <w:szCs w:val="24"/>
        </w:rPr>
        <w:fldChar w:fldCharType="end"/>
      </w:r>
    </w:p>
    <w:p>
      <w:pPr>
        <w:pStyle w:val="23"/>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_Toc4939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0"/>
        </w:rPr>
        <w:t>3.1地理位置及平面布置</w:t>
      </w:r>
      <w:r>
        <w:rPr>
          <w:color w:val="auto"/>
        </w:rPr>
        <w:tab/>
      </w:r>
      <w:r>
        <w:rPr>
          <w:color w:val="auto"/>
        </w:rPr>
        <w:fldChar w:fldCharType="begin"/>
      </w:r>
      <w:r>
        <w:rPr>
          <w:color w:val="auto"/>
        </w:rPr>
        <w:instrText xml:space="preserve"> PAGEREF _Toc4939 </w:instrText>
      </w:r>
      <w:r>
        <w:rPr>
          <w:color w:val="auto"/>
        </w:rPr>
        <w:fldChar w:fldCharType="separate"/>
      </w:r>
      <w:r>
        <w:rPr>
          <w:color w:val="auto"/>
        </w:rPr>
        <w:t>2</w:t>
      </w:r>
      <w:r>
        <w:rPr>
          <w:color w:val="auto"/>
        </w:rPr>
        <w:fldChar w:fldCharType="end"/>
      </w:r>
      <w:r>
        <w:rPr>
          <w:rFonts w:ascii="Times New Roman" w:hAnsi="Times New Roman" w:eastAsia="宋体" w:cs="Times New Roman"/>
          <w:color w:val="auto"/>
          <w:szCs w:val="24"/>
        </w:rPr>
        <w:fldChar w:fldCharType="end"/>
      </w:r>
    </w:p>
    <w:p>
      <w:pPr>
        <w:pStyle w:val="23"/>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_Toc26172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0"/>
        </w:rPr>
        <w:t>3.2建设内容</w:t>
      </w:r>
      <w:r>
        <w:rPr>
          <w:color w:val="auto"/>
        </w:rPr>
        <w:tab/>
      </w:r>
      <w:r>
        <w:rPr>
          <w:color w:val="auto"/>
        </w:rPr>
        <w:fldChar w:fldCharType="begin"/>
      </w:r>
      <w:r>
        <w:rPr>
          <w:color w:val="auto"/>
        </w:rPr>
        <w:instrText xml:space="preserve"> PAGEREF _Toc26172 </w:instrText>
      </w:r>
      <w:r>
        <w:rPr>
          <w:color w:val="auto"/>
        </w:rPr>
        <w:fldChar w:fldCharType="separate"/>
      </w:r>
      <w:r>
        <w:rPr>
          <w:color w:val="auto"/>
        </w:rPr>
        <w:t>3</w:t>
      </w:r>
      <w:r>
        <w:rPr>
          <w:color w:val="auto"/>
        </w:rPr>
        <w:fldChar w:fldCharType="end"/>
      </w:r>
      <w:r>
        <w:rPr>
          <w:rFonts w:ascii="Times New Roman" w:hAnsi="Times New Roman" w:eastAsia="宋体" w:cs="Times New Roman"/>
          <w:color w:val="auto"/>
          <w:szCs w:val="24"/>
        </w:rPr>
        <w:fldChar w:fldCharType="end"/>
      </w:r>
    </w:p>
    <w:p>
      <w:pPr>
        <w:pStyle w:val="23"/>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_Toc5567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0"/>
        </w:rPr>
        <w:t>3.3主要生产设备</w:t>
      </w:r>
      <w:r>
        <w:rPr>
          <w:color w:val="auto"/>
        </w:rPr>
        <w:tab/>
      </w:r>
      <w:r>
        <w:rPr>
          <w:color w:val="auto"/>
        </w:rPr>
        <w:fldChar w:fldCharType="begin"/>
      </w:r>
      <w:r>
        <w:rPr>
          <w:color w:val="auto"/>
        </w:rPr>
        <w:instrText xml:space="preserve"> PAGEREF _Toc5567 </w:instrText>
      </w:r>
      <w:r>
        <w:rPr>
          <w:color w:val="auto"/>
        </w:rPr>
        <w:fldChar w:fldCharType="separate"/>
      </w:r>
      <w:r>
        <w:rPr>
          <w:color w:val="auto"/>
        </w:rPr>
        <w:t>6</w:t>
      </w:r>
      <w:r>
        <w:rPr>
          <w:color w:val="auto"/>
        </w:rPr>
        <w:fldChar w:fldCharType="end"/>
      </w:r>
      <w:r>
        <w:rPr>
          <w:rFonts w:ascii="Times New Roman" w:hAnsi="Times New Roman" w:eastAsia="宋体" w:cs="Times New Roman"/>
          <w:color w:val="auto"/>
          <w:szCs w:val="24"/>
        </w:rPr>
        <w:fldChar w:fldCharType="end"/>
      </w:r>
    </w:p>
    <w:p>
      <w:pPr>
        <w:pStyle w:val="23"/>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_Toc20832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0"/>
        </w:rPr>
        <w:t>3.</w:t>
      </w:r>
      <w:r>
        <w:rPr>
          <w:rFonts w:ascii="Times New Roman" w:hAnsi="Times New Roman" w:cs="Times New Roman"/>
          <w:color w:val="auto"/>
          <w:szCs w:val="30"/>
        </w:rPr>
        <w:t>4</w:t>
      </w:r>
      <w:r>
        <w:rPr>
          <w:rFonts w:hint="default" w:ascii="Times New Roman" w:hAnsi="Times New Roman" w:cs="Times New Roman"/>
          <w:color w:val="auto"/>
          <w:szCs w:val="30"/>
        </w:rPr>
        <w:t>主要产品</w:t>
      </w:r>
      <w:r>
        <w:rPr>
          <w:color w:val="auto"/>
        </w:rPr>
        <w:tab/>
      </w:r>
      <w:r>
        <w:rPr>
          <w:color w:val="auto"/>
        </w:rPr>
        <w:fldChar w:fldCharType="begin"/>
      </w:r>
      <w:r>
        <w:rPr>
          <w:color w:val="auto"/>
        </w:rPr>
        <w:instrText xml:space="preserve"> PAGEREF _Toc20832 </w:instrText>
      </w:r>
      <w:r>
        <w:rPr>
          <w:color w:val="auto"/>
        </w:rPr>
        <w:fldChar w:fldCharType="separate"/>
      </w:r>
      <w:r>
        <w:rPr>
          <w:color w:val="auto"/>
        </w:rPr>
        <w:t>8</w:t>
      </w:r>
      <w:r>
        <w:rPr>
          <w:color w:val="auto"/>
        </w:rPr>
        <w:fldChar w:fldCharType="end"/>
      </w:r>
      <w:r>
        <w:rPr>
          <w:rFonts w:ascii="Times New Roman" w:hAnsi="Times New Roman" w:eastAsia="宋体" w:cs="Times New Roman"/>
          <w:color w:val="auto"/>
          <w:szCs w:val="24"/>
        </w:rPr>
        <w:fldChar w:fldCharType="end"/>
      </w:r>
    </w:p>
    <w:p>
      <w:pPr>
        <w:pStyle w:val="23"/>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_Toc13934 </w:instrText>
      </w:r>
      <w:r>
        <w:rPr>
          <w:rFonts w:ascii="Times New Roman" w:hAnsi="Times New Roman" w:eastAsia="宋体" w:cs="Times New Roman"/>
          <w:color w:val="auto"/>
          <w:szCs w:val="24"/>
        </w:rPr>
        <w:fldChar w:fldCharType="separate"/>
      </w:r>
      <w:r>
        <w:rPr>
          <w:rFonts w:hint="eastAsia" w:ascii="Times New Roman" w:hAnsi="Times New Roman" w:cs="Times New Roman"/>
          <w:color w:val="auto"/>
          <w:szCs w:val="30"/>
          <w:lang w:val="en-US" w:eastAsia="zh-CN"/>
        </w:rPr>
        <w:t>3.5</w:t>
      </w:r>
      <w:r>
        <w:rPr>
          <w:rFonts w:hint="default" w:ascii="Times New Roman" w:hAnsi="Times New Roman" w:cs="Times New Roman"/>
          <w:color w:val="auto"/>
          <w:szCs w:val="30"/>
        </w:rPr>
        <w:t>主要原辅材料</w:t>
      </w:r>
      <w:r>
        <w:rPr>
          <w:color w:val="auto"/>
        </w:rPr>
        <w:tab/>
      </w:r>
      <w:r>
        <w:rPr>
          <w:color w:val="auto"/>
        </w:rPr>
        <w:fldChar w:fldCharType="begin"/>
      </w:r>
      <w:r>
        <w:rPr>
          <w:color w:val="auto"/>
        </w:rPr>
        <w:instrText xml:space="preserve"> PAGEREF _Toc13934 </w:instrText>
      </w:r>
      <w:r>
        <w:rPr>
          <w:color w:val="auto"/>
        </w:rPr>
        <w:fldChar w:fldCharType="separate"/>
      </w:r>
      <w:r>
        <w:rPr>
          <w:color w:val="auto"/>
        </w:rPr>
        <w:t>9</w:t>
      </w:r>
      <w:r>
        <w:rPr>
          <w:color w:val="auto"/>
        </w:rPr>
        <w:fldChar w:fldCharType="end"/>
      </w:r>
      <w:r>
        <w:rPr>
          <w:rFonts w:ascii="Times New Roman" w:hAnsi="Times New Roman" w:eastAsia="宋体" w:cs="Times New Roman"/>
          <w:color w:val="auto"/>
          <w:szCs w:val="24"/>
        </w:rPr>
        <w:fldChar w:fldCharType="end"/>
      </w:r>
    </w:p>
    <w:p>
      <w:pPr>
        <w:pStyle w:val="23"/>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_Toc7206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0"/>
        </w:rPr>
        <w:t>3.</w:t>
      </w:r>
      <w:r>
        <w:rPr>
          <w:rFonts w:hint="eastAsia" w:ascii="Times New Roman" w:hAnsi="Times New Roman" w:cs="Times New Roman"/>
          <w:color w:val="auto"/>
          <w:szCs w:val="30"/>
          <w:lang w:val="en-US" w:eastAsia="zh-CN"/>
        </w:rPr>
        <w:t>6</w:t>
      </w:r>
      <w:r>
        <w:rPr>
          <w:rFonts w:hint="default" w:ascii="Times New Roman" w:hAnsi="Times New Roman" w:cs="Times New Roman"/>
          <w:color w:val="auto"/>
          <w:szCs w:val="30"/>
        </w:rPr>
        <w:t>生产工艺</w:t>
      </w:r>
      <w:r>
        <w:rPr>
          <w:color w:val="auto"/>
        </w:rPr>
        <w:tab/>
      </w:r>
      <w:r>
        <w:rPr>
          <w:color w:val="auto"/>
        </w:rPr>
        <w:fldChar w:fldCharType="begin"/>
      </w:r>
      <w:r>
        <w:rPr>
          <w:color w:val="auto"/>
        </w:rPr>
        <w:instrText xml:space="preserve"> PAGEREF _Toc7206 </w:instrText>
      </w:r>
      <w:r>
        <w:rPr>
          <w:color w:val="auto"/>
        </w:rPr>
        <w:fldChar w:fldCharType="separate"/>
      </w:r>
      <w:r>
        <w:rPr>
          <w:color w:val="auto"/>
        </w:rPr>
        <w:t>10</w:t>
      </w:r>
      <w:r>
        <w:rPr>
          <w:color w:val="auto"/>
        </w:rPr>
        <w:fldChar w:fldCharType="end"/>
      </w:r>
      <w:r>
        <w:rPr>
          <w:rFonts w:ascii="Times New Roman" w:hAnsi="Times New Roman" w:eastAsia="宋体" w:cs="Times New Roman"/>
          <w:color w:val="auto"/>
          <w:szCs w:val="24"/>
        </w:rPr>
        <w:fldChar w:fldCharType="end"/>
      </w:r>
    </w:p>
    <w:p>
      <w:pPr>
        <w:pStyle w:val="16"/>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_Toc22089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28"/>
        </w:rPr>
        <w:t>3.</w:t>
      </w:r>
      <w:r>
        <w:rPr>
          <w:rFonts w:hint="eastAsia" w:ascii="Times New Roman" w:hAnsi="Times New Roman" w:cs="Times New Roman"/>
          <w:color w:val="auto"/>
          <w:szCs w:val="28"/>
          <w:lang w:val="en-US" w:eastAsia="zh-CN"/>
        </w:rPr>
        <w:t>6</w:t>
      </w:r>
      <w:r>
        <w:rPr>
          <w:rFonts w:hint="default" w:ascii="Times New Roman" w:hAnsi="Times New Roman" w:cs="Times New Roman"/>
          <w:color w:val="auto"/>
          <w:szCs w:val="28"/>
        </w:rPr>
        <w:t>.1DMP-30生产工艺及产污环节</w:t>
      </w:r>
      <w:r>
        <w:rPr>
          <w:color w:val="auto"/>
        </w:rPr>
        <w:tab/>
      </w:r>
      <w:r>
        <w:rPr>
          <w:color w:val="auto"/>
        </w:rPr>
        <w:fldChar w:fldCharType="begin"/>
      </w:r>
      <w:r>
        <w:rPr>
          <w:color w:val="auto"/>
        </w:rPr>
        <w:instrText xml:space="preserve"> PAGEREF _Toc22089 </w:instrText>
      </w:r>
      <w:r>
        <w:rPr>
          <w:color w:val="auto"/>
        </w:rPr>
        <w:fldChar w:fldCharType="separate"/>
      </w:r>
      <w:r>
        <w:rPr>
          <w:color w:val="auto"/>
        </w:rPr>
        <w:t>10</w:t>
      </w:r>
      <w:r>
        <w:rPr>
          <w:color w:val="auto"/>
        </w:rPr>
        <w:fldChar w:fldCharType="end"/>
      </w:r>
      <w:r>
        <w:rPr>
          <w:rFonts w:ascii="Times New Roman" w:hAnsi="Times New Roman" w:eastAsia="宋体" w:cs="Times New Roman"/>
          <w:color w:val="auto"/>
          <w:szCs w:val="24"/>
        </w:rPr>
        <w:fldChar w:fldCharType="end"/>
      </w:r>
    </w:p>
    <w:p>
      <w:pPr>
        <w:pStyle w:val="16"/>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_Toc10287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28"/>
        </w:rPr>
        <w:t>3.</w:t>
      </w:r>
      <w:r>
        <w:rPr>
          <w:rFonts w:hint="eastAsia" w:ascii="Times New Roman" w:hAnsi="Times New Roman" w:cs="Times New Roman"/>
          <w:color w:val="auto"/>
          <w:szCs w:val="28"/>
          <w:lang w:eastAsia="zh-CN"/>
        </w:rPr>
        <w:t>6</w:t>
      </w:r>
      <w:r>
        <w:rPr>
          <w:rFonts w:hint="default" w:ascii="Times New Roman" w:hAnsi="Times New Roman" w:cs="Times New Roman"/>
          <w:color w:val="auto"/>
          <w:szCs w:val="28"/>
        </w:rPr>
        <w:t>.2</w:t>
      </w:r>
      <w:r>
        <w:rPr>
          <w:rFonts w:ascii="Times New Roman" w:hAnsi="Times New Roman" w:cs="Times New Roman"/>
          <w:color w:val="auto"/>
          <w:szCs w:val="28"/>
        </w:rPr>
        <w:t>PPA生产工艺及产污环节</w:t>
      </w:r>
      <w:r>
        <w:rPr>
          <w:color w:val="auto"/>
        </w:rPr>
        <w:tab/>
      </w:r>
      <w:r>
        <w:rPr>
          <w:color w:val="auto"/>
        </w:rPr>
        <w:fldChar w:fldCharType="begin"/>
      </w:r>
      <w:r>
        <w:rPr>
          <w:color w:val="auto"/>
        </w:rPr>
        <w:instrText xml:space="preserve"> PAGEREF _Toc10287 </w:instrText>
      </w:r>
      <w:r>
        <w:rPr>
          <w:color w:val="auto"/>
        </w:rPr>
        <w:fldChar w:fldCharType="separate"/>
      </w:r>
      <w:r>
        <w:rPr>
          <w:color w:val="auto"/>
        </w:rPr>
        <w:t>14</w:t>
      </w:r>
      <w:r>
        <w:rPr>
          <w:color w:val="auto"/>
        </w:rPr>
        <w:fldChar w:fldCharType="end"/>
      </w:r>
      <w:r>
        <w:rPr>
          <w:rFonts w:ascii="Times New Roman" w:hAnsi="Times New Roman" w:eastAsia="宋体" w:cs="Times New Roman"/>
          <w:color w:val="auto"/>
          <w:szCs w:val="24"/>
        </w:rPr>
        <w:fldChar w:fldCharType="end"/>
      </w:r>
    </w:p>
    <w:p>
      <w:pPr>
        <w:pStyle w:val="16"/>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_Toc11006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28"/>
        </w:rPr>
        <w:t>3.</w:t>
      </w:r>
      <w:r>
        <w:rPr>
          <w:rFonts w:hint="eastAsia" w:ascii="Times New Roman" w:hAnsi="Times New Roman" w:cs="Times New Roman"/>
          <w:color w:val="auto"/>
          <w:szCs w:val="28"/>
          <w:lang w:eastAsia="zh-CN"/>
        </w:rPr>
        <w:t>6</w:t>
      </w:r>
      <w:r>
        <w:rPr>
          <w:rFonts w:hint="default" w:ascii="Times New Roman" w:hAnsi="Times New Roman" w:cs="Times New Roman"/>
          <w:color w:val="auto"/>
          <w:szCs w:val="28"/>
        </w:rPr>
        <w:t>.3</w:t>
      </w:r>
      <w:r>
        <w:rPr>
          <w:rFonts w:ascii="Times New Roman" w:hAnsi="Times New Roman" w:cs="Times New Roman"/>
          <w:color w:val="auto"/>
          <w:szCs w:val="28"/>
        </w:rPr>
        <w:t>改性胺固化剂生产工艺及产污环节</w:t>
      </w:r>
      <w:r>
        <w:rPr>
          <w:color w:val="auto"/>
        </w:rPr>
        <w:tab/>
      </w:r>
      <w:r>
        <w:rPr>
          <w:color w:val="auto"/>
        </w:rPr>
        <w:fldChar w:fldCharType="begin"/>
      </w:r>
      <w:r>
        <w:rPr>
          <w:color w:val="auto"/>
        </w:rPr>
        <w:instrText xml:space="preserve"> PAGEREF _Toc11006 </w:instrText>
      </w:r>
      <w:r>
        <w:rPr>
          <w:color w:val="auto"/>
        </w:rPr>
        <w:fldChar w:fldCharType="separate"/>
      </w:r>
      <w:r>
        <w:rPr>
          <w:color w:val="auto"/>
        </w:rPr>
        <w:t>18</w:t>
      </w:r>
      <w:r>
        <w:rPr>
          <w:color w:val="auto"/>
        </w:rPr>
        <w:fldChar w:fldCharType="end"/>
      </w:r>
      <w:r>
        <w:rPr>
          <w:rFonts w:ascii="Times New Roman" w:hAnsi="Times New Roman" w:eastAsia="宋体" w:cs="Times New Roman"/>
          <w:color w:val="auto"/>
          <w:szCs w:val="24"/>
        </w:rPr>
        <w:fldChar w:fldCharType="end"/>
      </w:r>
    </w:p>
    <w:p>
      <w:pPr>
        <w:pStyle w:val="16"/>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_Toc3261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28"/>
        </w:rPr>
        <w:t>3.</w:t>
      </w:r>
      <w:r>
        <w:rPr>
          <w:rFonts w:hint="eastAsia" w:ascii="Times New Roman" w:hAnsi="Times New Roman" w:cs="Times New Roman"/>
          <w:color w:val="auto"/>
          <w:szCs w:val="28"/>
          <w:lang w:eastAsia="zh-CN"/>
        </w:rPr>
        <w:t>6</w:t>
      </w:r>
      <w:r>
        <w:rPr>
          <w:rFonts w:hint="default" w:ascii="Times New Roman" w:hAnsi="Times New Roman" w:cs="Times New Roman"/>
          <w:color w:val="auto"/>
          <w:szCs w:val="28"/>
        </w:rPr>
        <w:t>.4</w:t>
      </w:r>
      <w:r>
        <w:rPr>
          <w:rFonts w:ascii="Times New Roman" w:hAnsi="Times New Roman" w:cs="Times New Roman"/>
          <w:color w:val="auto"/>
          <w:szCs w:val="28"/>
        </w:rPr>
        <w:t>聚酰胺固化剂生产工艺及产污环节</w:t>
      </w:r>
      <w:r>
        <w:rPr>
          <w:color w:val="auto"/>
        </w:rPr>
        <w:tab/>
      </w:r>
      <w:r>
        <w:rPr>
          <w:color w:val="auto"/>
        </w:rPr>
        <w:fldChar w:fldCharType="begin"/>
      </w:r>
      <w:r>
        <w:rPr>
          <w:color w:val="auto"/>
        </w:rPr>
        <w:instrText xml:space="preserve"> PAGEREF _Toc3261 </w:instrText>
      </w:r>
      <w:r>
        <w:rPr>
          <w:color w:val="auto"/>
        </w:rPr>
        <w:fldChar w:fldCharType="separate"/>
      </w:r>
      <w:r>
        <w:rPr>
          <w:color w:val="auto"/>
        </w:rPr>
        <w:t>20</w:t>
      </w:r>
      <w:r>
        <w:rPr>
          <w:color w:val="auto"/>
        </w:rPr>
        <w:fldChar w:fldCharType="end"/>
      </w:r>
      <w:r>
        <w:rPr>
          <w:rFonts w:ascii="Times New Roman" w:hAnsi="Times New Roman" w:eastAsia="宋体" w:cs="Times New Roman"/>
          <w:color w:val="auto"/>
          <w:szCs w:val="24"/>
        </w:rPr>
        <w:fldChar w:fldCharType="end"/>
      </w:r>
    </w:p>
    <w:p>
      <w:pPr>
        <w:pStyle w:val="16"/>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_Toc28139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28"/>
        </w:rPr>
        <w:t>3.</w:t>
      </w:r>
      <w:r>
        <w:rPr>
          <w:rFonts w:hint="eastAsia" w:ascii="Times New Roman" w:hAnsi="Times New Roman" w:cs="Times New Roman"/>
          <w:color w:val="auto"/>
          <w:szCs w:val="28"/>
          <w:lang w:eastAsia="zh-CN"/>
        </w:rPr>
        <w:t>6</w:t>
      </w:r>
      <w:r>
        <w:rPr>
          <w:rFonts w:hint="default" w:ascii="Times New Roman" w:hAnsi="Times New Roman" w:cs="Times New Roman"/>
          <w:color w:val="auto"/>
          <w:szCs w:val="28"/>
        </w:rPr>
        <w:t>.5</w:t>
      </w:r>
      <w:r>
        <w:rPr>
          <w:rFonts w:ascii="Times New Roman" w:hAnsi="Times New Roman" w:cs="Times New Roman"/>
          <w:color w:val="auto"/>
          <w:szCs w:val="28"/>
        </w:rPr>
        <w:t>实验室产污环节</w:t>
      </w:r>
      <w:r>
        <w:rPr>
          <w:color w:val="auto"/>
        </w:rPr>
        <w:tab/>
      </w:r>
      <w:r>
        <w:rPr>
          <w:color w:val="auto"/>
        </w:rPr>
        <w:fldChar w:fldCharType="begin"/>
      </w:r>
      <w:r>
        <w:rPr>
          <w:color w:val="auto"/>
        </w:rPr>
        <w:instrText xml:space="preserve"> PAGEREF _Toc28139 </w:instrText>
      </w:r>
      <w:r>
        <w:rPr>
          <w:color w:val="auto"/>
        </w:rPr>
        <w:fldChar w:fldCharType="separate"/>
      </w:r>
      <w:r>
        <w:rPr>
          <w:color w:val="auto"/>
        </w:rPr>
        <w:t>22</w:t>
      </w:r>
      <w:r>
        <w:rPr>
          <w:color w:val="auto"/>
        </w:rPr>
        <w:fldChar w:fldCharType="end"/>
      </w:r>
      <w:r>
        <w:rPr>
          <w:rFonts w:ascii="Times New Roman" w:hAnsi="Times New Roman" w:eastAsia="宋体" w:cs="Times New Roman"/>
          <w:color w:val="auto"/>
          <w:szCs w:val="24"/>
        </w:rPr>
        <w:fldChar w:fldCharType="end"/>
      </w:r>
    </w:p>
    <w:p>
      <w:pPr>
        <w:pStyle w:val="23"/>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_Toc10320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0"/>
        </w:rPr>
        <w:t>3.</w:t>
      </w:r>
      <w:r>
        <w:rPr>
          <w:rFonts w:hint="eastAsia" w:ascii="Times New Roman" w:hAnsi="Times New Roman" w:cs="Times New Roman"/>
          <w:color w:val="auto"/>
          <w:szCs w:val="30"/>
          <w:lang w:eastAsia="zh-CN"/>
        </w:rPr>
        <w:t>7</w:t>
      </w:r>
      <w:r>
        <w:rPr>
          <w:rFonts w:hint="default" w:ascii="Times New Roman" w:hAnsi="Times New Roman" w:cs="Times New Roman"/>
          <w:color w:val="auto"/>
          <w:szCs w:val="30"/>
        </w:rPr>
        <w:t>项目变动情况</w:t>
      </w:r>
      <w:r>
        <w:rPr>
          <w:color w:val="auto"/>
        </w:rPr>
        <w:tab/>
      </w:r>
      <w:r>
        <w:rPr>
          <w:color w:val="auto"/>
        </w:rPr>
        <w:fldChar w:fldCharType="begin"/>
      </w:r>
      <w:r>
        <w:rPr>
          <w:color w:val="auto"/>
        </w:rPr>
        <w:instrText xml:space="preserve"> PAGEREF _Toc10320 </w:instrText>
      </w:r>
      <w:r>
        <w:rPr>
          <w:color w:val="auto"/>
        </w:rPr>
        <w:fldChar w:fldCharType="separate"/>
      </w:r>
      <w:r>
        <w:rPr>
          <w:color w:val="auto"/>
        </w:rPr>
        <w:t>22</w:t>
      </w:r>
      <w:r>
        <w:rPr>
          <w:color w:val="auto"/>
        </w:rPr>
        <w:fldChar w:fldCharType="end"/>
      </w:r>
      <w:r>
        <w:rPr>
          <w:rFonts w:ascii="Times New Roman" w:hAnsi="Times New Roman" w:eastAsia="宋体" w:cs="Times New Roman"/>
          <w:color w:val="auto"/>
          <w:szCs w:val="24"/>
        </w:rPr>
        <w:fldChar w:fldCharType="end"/>
      </w:r>
    </w:p>
    <w:p>
      <w:pPr>
        <w:pStyle w:val="22"/>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_Toc19394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2"/>
        </w:rPr>
        <w:t>4、环境保护设施</w:t>
      </w:r>
      <w:r>
        <w:rPr>
          <w:color w:val="auto"/>
        </w:rPr>
        <w:tab/>
      </w:r>
      <w:r>
        <w:rPr>
          <w:color w:val="auto"/>
        </w:rPr>
        <w:fldChar w:fldCharType="begin"/>
      </w:r>
      <w:r>
        <w:rPr>
          <w:color w:val="auto"/>
        </w:rPr>
        <w:instrText xml:space="preserve"> PAGEREF _Toc19394 </w:instrText>
      </w:r>
      <w:r>
        <w:rPr>
          <w:color w:val="auto"/>
        </w:rPr>
        <w:fldChar w:fldCharType="separate"/>
      </w:r>
      <w:r>
        <w:rPr>
          <w:color w:val="auto"/>
        </w:rPr>
        <w:t>25</w:t>
      </w:r>
      <w:r>
        <w:rPr>
          <w:color w:val="auto"/>
        </w:rPr>
        <w:fldChar w:fldCharType="end"/>
      </w:r>
      <w:r>
        <w:rPr>
          <w:rFonts w:ascii="Times New Roman" w:hAnsi="Times New Roman" w:eastAsia="宋体" w:cs="Times New Roman"/>
          <w:color w:val="auto"/>
          <w:szCs w:val="24"/>
        </w:rPr>
        <w:fldChar w:fldCharType="end"/>
      </w:r>
    </w:p>
    <w:p>
      <w:pPr>
        <w:pStyle w:val="23"/>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_Toc25664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0"/>
        </w:rPr>
        <w:t>4.1  废气</w:t>
      </w:r>
      <w:r>
        <w:rPr>
          <w:color w:val="auto"/>
        </w:rPr>
        <w:tab/>
      </w:r>
      <w:r>
        <w:rPr>
          <w:color w:val="auto"/>
        </w:rPr>
        <w:fldChar w:fldCharType="begin"/>
      </w:r>
      <w:r>
        <w:rPr>
          <w:color w:val="auto"/>
        </w:rPr>
        <w:instrText xml:space="preserve"> PAGEREF _Toc25664 </w:instrText>
      </w:r>
      <w:r>
        <w:rPr>
          <w:color w:val="auto"/>
        </w:rPr>
        <w:fldChar w:fldCharType="separate"/>
      </w:r>
      <w:r>
        <w:rPr>
          <w:color w:val="auto"/>
        </w:rPr>
        <w:t>25</w:t>
      </w:r>
      <w:r>
        <w:rPr>
          <w:color w:val="auto"/>
        </w:rPr>
        <w:fldChar w:fldCharType="end"/>
      </w:r>
      <w:r>
        <w:rPr>
          <w:rFonts w:ascii="Times New Roman" w:hAnsi="Times New Roman" w:eastAsia="宋体" w:cs="Times New Roman"/>
          <w:color w:val="auto"/>
          <w:szCs w:val="24"/>
        </w:rPr>
        <w:fldChar w:fldCharType="end"/>
      </w:r>
    </w:p>
    <w:p>
      <w:pPr>
        <w:pStyle w:val="23"/>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_Toc25148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0"/>
        </w:rPr>
        <w:t>4.2  废水</w:t>
      </w:r>
      <w:r>
        <w:rPr>
          <w:color w:val="auto"/>
        </w:rPr>
        <w:tab/>
      </w:r>
      <w:r>
        <w:rPr>
          <w:color w:val="auto"/>
        </w:rPr>
        <w:fldChar w:fldCharType="begin"/>
      </w:r>
      <w:r>
        <w:rPr>
          <w:color w:val="auto"/>
        </w:rPr>
        <w:instrText xml:space="preserve"> PAGEREF _Toc25148 </w:instrText>
      </w:r>
      <w:r>
        <w:rPr>
          <w:color w:val="auto"/>
        </w:rPr>
        <w:fldChar w:fldCharType="separate"/>
      </w:r>
      <w:r>
        <w:rPr>
          <w:color w:val="auto"/>
        </w:rPr>
        <w:t>25</w:t>
      </w:r>
      <w:r>
        <w:rPr>
          <w:color w:val="auto"/>
        </w:rPr>
        <w:fldChar w:fldCharType="end"/>
      </w:r>
      <w:r>
        <w:rPr>
          <w:rFonts w:ascii="Times New Roman" w:hAnsi="Times New Roman" w:eastAsia="宋体" w:cs="Times New Roman"/>
          <w:color w:val="auto"/>
          <w:szCs w:val="24"/>
        </w:rPr>
        <w:fldChar w:fldCharType="end"/>
      </w:r>
    </w:p>
    <w:p>
      <w:pPr>
        <w:pStyle w:val="23"/>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_Toc25108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0"/>
        </w:rPr>
        <w:t>4.3  固体废物</w:t>
      </w:r>
      <w:r>
        <w:rPr>
          <w:color w:val="auto"/>
        </w:rPr>
        <w:tab/>
      </w:r>
      <w:r>
        <w:rPr>
          <w:color w:val="auto"/>
        </w:rPr>
        <w:fldChar w:fldCharType="begin"/>
      </w:r>
      <w:r>
        <w:rPr>
          <w:color w:val="auto"/>
        </w:rPr>
        <w:instrText xml:space="preserve"> PAGEREF _Toc25108 </w:instrText>
      </w:r>
      <w:r>
        <w:rPr>
          <w:color w:val="auto"/>
        </w:rPr>
        <w:fldChar w:fldCharType="separate"/>
      </w:r>
      <w:r>
        <w:rPr>
          <w:color w:val="auto"/>
        </w:rPr>
        <w:t>26</w:t>
      </w:r>
      <w:r>
        <w:rPr>
          <w:color w:val="auto"/>
        </w:rPr>
        <w:fldChar w:fldCharType="end"/>
      </w:r>
      <w:r>
        <w:rPr>
          <w:rFonts w:ascii="Times New Roman" w:hAnsi="Times New Roman" w:eastAsia="宋体" w:cs="Times New Roman"/>
          <w:color w:val="auto"/>
          <w:szCs w:val="24"/>
        </w:rPr>
        <w:fldChar w:fldCharType="end"/>
      </w:r>
    </w:p>
    <w:p>
      <w:pPr>
        <w:pStyle w:val="23"/>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_Toc17557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0"/>
        </w:rPr>
        <w:t>4.4  噪声</w:t>
      </w:r>
      <w:r>
        <w:rPr>
          <w:color w:val="auto"/>
        </w:rPr>
        <w:tab/>
      </w:r>
      <w:r>
        <w:rPr>
          <w:color w:val="auto"/>
        </w:rPr>
        <w:fldChar w:fldCharType="begin"/>
      </w:r>
      <w:r>
        <w:rPr>
          <w:color w:val="auto"/>
        </w:rPr>
        <w:instrText xml:space="preserve"> PAGEREF _Toc17557 </w:instrText>
      </w:r>
      <w:r>
        <w:rPr>
          <w:color w:val="auto"/>
        </w:rPr>
        <w:fldChar w:fldCharType="separate"/>
      </w:r>
      <w:r>
        <w:rPr>
          <w:color w:val="auto"/>
        </w:rPr>
        <w:t>27</w:t>
      </w:r>
      <w:r>
        <w:rPr>
          <w:color w:val="auto"/>
        </w:rPr>
        <w:fldChar w:fldCharType="end"/>
      </w:r>
      <w:r>
        <w:rPr>
          <w:rFonts w:ascii="Times New Roman" w:hAnsi="Times New Roman" w:eastAsia="宋体" w:cs="Times New Roman"/>
          <w:color w:val="auto"/>
          <w:szCs w:val="24"/>
        </w:rPr>
        <w:fldChar w:fldCharType="end"/>
      </w:r>
    </w:p>
    <w:p>
      <w:pPr>
        <w:pStyle w:val="23"/>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_Toc18599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0"/>
        </w:rPr>
        <w:t>4.5  环保设施投资及环评批复落实情况</w:t>
      </w:r>
      <w:r>
        <w:rPr>
          <w:color w:val="auto"/>
        </w:rPr>
        <w:tab/>
      </w:r>
      <w:r>
        <w:rPr>
          <w:color w:val="auto"/>
        </w:rPr>
        <w:fldChar w:fldCharType="begin"/>
      </w:r>
      <w:r>
        <w:rPr>
          <w:color w:val="auto"/>
        </w:rPr>
        <w:instrText xml:space="preserve"> PAGEREF _Toc18599 </w:instrText>
      </w:r>
      <w:r>
        <w:rPr>
          <w:color w:val="auto"/>
        </w:rPr>
        <w:fldChar w:fldCharType="separate"/>
      </w:r>
      <w:r>
        <w:rPr>
          <w:color w:val="auto"/>
        </w:rPr>
        <w:t>27</w:t>
      </w:r>
      <w:r>
        <w:rPr>
          <w:color w:val="auto"/>
        </w:rPr>
        <w:fldChar w:fldCharType="end"/>
      </w:r>
      <w:r>
        <w:rPr>
          <w:rFonts w:ascii="Times New Roman" w:hAnsi="Times New Roman" w:eastAsia="宋体" w:cs="Times New Roman"/>
          <w:color w:val="auto"/>
          <w:szCs w:val="24"/>
        </w:rPr>
        <w:fldChar w:fldCharType="end"/>
      </w:r>
    </w:p>
    <w:p>
      <w:pPr>
        <w:pStyle w:val="16"/>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_Toc1185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28"/>
        </w:rPr>
        <w:t>4.5.1环保设施投资</w:t>
      </w:r>
      <w:r>
        <w:rPr>
          <w:color w:val="auto"/>
        </w:rPr>
        <w:tab/>
      </w:r>
      <w:r>
        <w:rPr>
          <w:color w:val="auto"/>
        </w:rPr>
        <w:fldChar w:fldCharType="begin"/>
      </w:r>
      <w:r>
        <w:rPr>
          <w:color w:val="auto"/>
        </w:rPr>
        <w:instrText xml:space="preserve"> PAGEREF _Toc1185 </w:instrText>
      </w:r>
      <w:r>
        <w:rPr>
          <w:color w:val="auto"/>
        </w:rPr>
        <w:fldChar w:fldCharType="separate"/>
      </w:r>
      <w:r>
        <w:rPr>
          <w:color w:val="auto"/>
        </w:rPr>
        <w:t>28</w:t>
      </w:r>
      <w:r>
        <w:rPr>
          <w:color w:val="auto"/>
        </w:rPr>
        <w:fldChar w:fldCharType="end"/>
      </w:r>
      <w:r>
        <w:rPr>
          <w:rFonts w:ascii="Times New Roman" w:hAnsi="Times New Roman" w:eastAsia="宋体" w:cs="Times New Roman"/>
          <w:color w:val="auto"/>
          <w:szCs w:val="24"/>
        </w:rPr>
        <w:fldChar w:fldCharType="end"/>
      </w:r>
    </w:p>
    <w:p>
      <w:pPr>
        <w:pStyle w:val="16"/>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_Toc22360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28"/>
        </w:rPr>
        <w:t>4.5.2环评批复落实情况</w:t>
      </w:r>
      <w:r>
        <w:rPr>
          <w:color w:val="auto"/>
        </w:rPr>
        <w:tab/>
      </w:r>
      <w:r>
        <w:rPr>
          <w:color w:val="auto"/>
        </w:rPr>
        <w:fldChar w:fldCharType="begin"/>
      </w:r>
      <w:r>
        <w:rPr>
          <w:color w:val="auto"/>
        </w:rPr>
        <w:instrText xml:space="preserve"> PAGEREF _Toc22360 </w:instrText>
      </w:r>
      <w:r>
        <w:rPr>
          <w:color w:val="auto"/>
        </w:rPr>
        <w:fldChar w:fldCharType="separate"/>
      </w:r>
      <w:r>
        <w:rPr>
          <w:color w:val="auto"/>
        </w:rPr>
        <w:t>29</w:t>
      </w:r>
      <w:r>
        <w:rPr>
          <w:color w:val="auto"/>
        </w:rPr>
        <w:fldChar w:fldCharType="end"/>
      </w:r>
      <w:r>
        <w:rPr>
          <w:rFonts w:ascii="Times New Roman" w:hAnsi="Times New Roman" w:eastAsia="宋体" w:cs="Times New Roman"/>
          <w:color w:val="auto"/>
          <w:szCs w:val="24"/>
        </w:rPr>
        <w:fldChar w:fldCharType="end"/>
      </w:r>
    </w:p>
    <w:p>
      <w:pPr>
        <w:pStyle w:val="22"/>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_Toc28082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2"/>
        </w:rPr>
        <w:t>5、环评主要结论与建议及其审批部门审批决定</w:t>
      </w:r>
      <w:r>
        <w:rPr>
          <w:color w:val="auto"/>
        </w:rPr>
        <w:tab/>
      </w:r>
      <w:r>
        <w:rPr>
          <w:color w:val="auto"/>
        </w:rPr>
        <w:fldChar w:fldCharType="begin"/>
      </w:r>
      <w:r>
        <w:rPr>
          <w:color w:val="auto"/>
        </w:rPr>
        <w:instrText xml:space="preserve"> PAGEREF _Toc28082 </w:instrText>
      </w:r>
      <w:r>
        <w:rPr>
          <w:color w:val="auto"/>
        </w:rPr>
        <w:fldChar w:fldCharType="separate"/>
      </w:r>
      <w:r>
        <w:rPr>
          <w:color w:val="auto"/>
        </w:rPr>
        <w:t>32</w:t>
      </w:r>
      <w:r>
        <w:rPr>
          <w:color w:val="auto"/>
        </w:rPr>
        <w:fldChar w:fldCharType="end"/>
      </w:r>
      <w:r>
        <w:rPr>
          <w:rFonts w:ascii="Times New Roman" w:hAnsi="Times New Roman" w:eastAsia="宋体" w:cs="Times New Roman"/>
          <w:color w:val="auto"/>
          <w:szCs w:val="24"/>
        </w:rPr>
        <w:fldChar w:fldCharType="end"/>
      </w:r>
    </w:p>
    <w:p>
      <w:pPr>
        <w:pStyle w:val="23"/>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_Toc22489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0"/>
        </w:rPr>
        <w:t>5.1  环评主要结论及建议</w:t>
      </w:r>
      <w:r>
        <w:rPr>
          <w:color w:val="auto"/>
        </w:rPr>
        <w:tab/>
      </w:r>
      <w:r>
        <w:rPr>
          <w:color w:val="auto"/>
        </w:rPr>
        <w:fldChar w:fldCharType="begin"/>
      </w:r>
      <w:r>
        <w:rPr>
          <w:color w:val="auto"/>
        </w:rPr>
        <w:instrText xml:space="preserve"> PAGEREF _Toc22489 </w:instrText>
      </w:r>
      <w:r>
        <w:rPr>
          <w:color w:val="auto"/>
        </w:rPr>
        <w:fldChar w:fldCharType="separate"/>
      </w:r>
      <w:r>
        <w:rPr>
          <w:color w:val="auto"/>
        </w:rPr>
        <w:t>32</w:t>
      </w:r>
      <w:r>
        <w:rPr>
          <w:color w:val="auto"/>
        </w:rPr>
        <w:fldChar w:fldCharType="end"/>
      </w:r>
      <w:r>
        <w:rPr>
          <w:rFonts w:ascii="Times New Roman" w:hAnsi="Times New Roman" w:eastAsia="宋体" w:cs="Times New Roman"/>
          <w:color w:val="auto"/>
          <w:szCs w:val="24"/>
        </w:rPr>
        <w:fldChar w:fldCharType="end"/>
      </w:r>
    </w:p>
    <w:p>
      <w:pPr>
        <w:pStyle w:val="16"/>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_Toc18358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28"/>
        </w:rPr>
        <w:t>5.1.1  环评主要结论</w:t>
      </w:r>
      <w:r>
        <w:rPr>
          <w:color w:val="auto"/>
        </w:rPr>
        <w:tab/>
      </w:r>
      <w:r>
        <w:rPr>
          <w:color w:val="auto"/>
        </w:rPr>
        <w:fldChar w:fldCharType="begin"/>
      </w:r>
      <w:r>
        <w:rPr>
          <w:color w:val="auto"/>
        </w:rPr>
        <w:instrText xml:space="preserve"> PAGEREF _Toc18358 </w:instrText>
      </w:r>
      <w:r>
        <w:rPr>
          <w:color w:val="auto"/>
        </w:rPr>
        <w:fldChar w:fldCharType="separate"/>
      </w:r>
      <w:r>
        <w:rPr>
          <w:color w:val="auto"/>
        </w:rPr>
        <w:t>32</w:t>
      </w:r>
      <w:r>
        <w:rPr>
          <w:color w:val="auto"/>
        </w:rPr>
        <w:fldChar w:fldCharType="end"/>
      </w:r>
      <w:r>
        <w:rPr>
          <w:rFonts w:ascii="Times New Roman" w:hAnsi="Times New Roman" w:eastAsia="宋体" w:cs="Times New Roman"/>
          <w:color w:val="auto"/>
          <w:szCs w:val="24"/>
        </w:rPr>
        <w:fldChar w:fldCharType="end"/>
      </w:r>
    </w:p>
    <w:p>
      <w:pPr>
        <w:pStyle w:val="16"/>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_Toc2905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28"/>
        </w:rPr>
        <w:t>5.1.2  环评要求与建议</w:t>
      </w:r>
      <w:r>
        <w:rPr>
          <w:color w:val="auto"/>
        </w:rPr>
        <w:tab/>
      </w:r>
      <w:r>
        <w:rPr>
          <w:color w:val="auto"/>
        </w:rPr>
        <w:fldChar w:fldCharType="begin"/>
      </w:r>
      <w:r>
        <w:rPr>
          <w:color w:val="auto"/>
        </w:rPr>
        <w:instrText xml:space="preserve"> PAGEREF _Toc2905 </w:instrText>
      </w:r>
      <w:r>
        <w:rPr>
          <w:color w:val="auto"/>
        </w:rPr>
        <w:fldChar w:fldCharType="separate"/>
      </w:r>
      <w:r>
        <w:rPr>
          <w:color w:val="auto"/>
        </w:rPr>
        <w:t>32</w:t>
      </w:r>
      <w:r>
        <w:rPr>
          <w:color w:val="auto"/>
        </w:rPr>
        <w:fldChar w:fldCharType="end"/>
      </w:r>
      <w:r>
        <w:rPr>
          <w:rFonts w:ascii="Times New Roman" w:hAnsi="Times New Roman" w:eastAsia="宋体" w:cs="Times New Roman"/>
          <w:color w:val="auto"/>
          <w:szCs w:val="24"/>
        </w:rPr>
        <w:fldChar w:fldCharType="end"/>
      </w:r>
    </w:p>
    <w:p>
      <w:pPr>
        <w:pStyle w:val="23"/>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_Toc27694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0"/>
        </w:rPr>
        <w:t>5.2  审批部门审批决定</w:t>
      </w:r>
      <w:r>
        <w:rPr>
          <w:color w:val="auto"/>
        </w:rPr>
        <w:tab/>
      </w:r>
      <w:r>
        <w:rPr>
          <w:color w:val="auto"/>
        </w:rPr>
        <w:fldChar w:fldCharType="begin"/>
      </w:r>
      <w:r>
        <w:rPr>
          <w:color w:val="auto"/>
        </w:rPr>
        <w:instrText xml:space="preserve"> PAGEREF _Toc27694 </w:instrText>
      </w:r>
      <w:r>
        <w:rPr>
          <w:color w:val="auto"/>
        </w:rPr>
        <w:fldChar w:fldCharType="separate"/>
      </w:r>
      <w:r>
        <w:rPr>
          <w:color w:val="auto"/>
        </w:rPr>
        <w:t>32</w:t>
      </w:r>
      <w:r>
        <w:rPr>
          <w:color w:val="auto"/>
        </w:rPr>
        <w:fldChar w:fldCharType="end"/>
      </w:r>
      <w:r>
        <w:rPr>
          <w:rFonts w:ascii="Times New Roman" w:hAnsi="Times New Roman" w:eastAsia="宋体" w:cs="Times New Roman"/>
          <w:color w:val="auto"/>
          <w:szCs w:val="24"/>
        </w:rPr>
        <w:fldChar w:fldCharType="end"/>
      </w:r>
    </w:p>
    <w:p>
      <w:pPr>
        <w:pStyle w:val="22"/>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_Toc22047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2"/>
        </w:rPr>
        <w:t>6、验收执行标准</w:t>
      </w:r>
      <w:r>
        <w:rPr>
          <w:color w:val="auto"/>
        </w:rPr>
        <w:tab/>
      </w:r>
      <w:r>
        <w:rPr>
          <w:color w:val="auto"/>
        </w:rPr>
        <w:fldChar w:fldCharType="begin"/>
      </w:r>
      <w:r>
        <w:rPr>
          <w:color w:val="auto"/>
        </w:rPr>
        <w:instrText xml:space="preserve"> PAGEREF _Toc22047 </w:instrText>
      </w:r>
      <w:r>
        <w:rPr>
          <w:color w:val="auto"/>
        </w:rPr>
        <w:fldChar w:fldCharType="separate"/>
      </w:r>
      <w:r>
        <w:rPr>
          <w:color w:val="auto"/>
        </w:rPr>
        <w:t>33</w:t>
      </w:r>
      <w:r>
        <w:rPr>
          <w:color w:val="auto"/>
        </w:rPr>
        <w:fldChar w:fldCharType="end"/>
      </w:r>
      <w:r>
        <w:rPr>
          <w:rFonts w:ascii="Times New Roman" w:hAnsi="Times New Roman" w:eastAsia="宋体" w:cs="Times New Roman"/>
          <w:color w:val="auto"/>
          <w:szCs w:val="24"/>
        </w:rPr>
        <w:fldChar w:fldCharType="end"/>
      </w:r>
    </w:p>
    <w:p>
      <w:pPr>
        <w:pStyle w:val="23"/>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_Toc1007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0"/>
        </w:rPr>
        <w:t>6.</w:t>
      </w:r>
      <w:r>
        <w:rPr>
          <w:rFonts w:ascii="Times New Roman" w:hAnsi="Times New Roman" w:cs="Times New Roman"/>
          <w:color w:val="auto"/>
          <w:szCs w:val="30"/>
        </w:rPr>
        <w:t>1</w:t>
      </w:r>
      <w:r>
        <w:rPr>
          <w:rFonts w:hint="default" w:ascii="Times New Roman" w:hAnsi="Times New Roman" w:cs="Times New Roman"/>
          <w:color w:val="auto"/>
          <w:szCs w:val="30"/>
        </w:rPr>
        <w:t>污染物排放标准</w:t>
      </w:r>
      <w:r>
        <w:rPr>
          <w:color w:val="auto"/>
        </w:rPr>
        <w:tab/>
      </w:r>
      <w:r>
        <w:rPr>
          <w:color w:val="auto"/>
        </w:rPr>
        <w:fldChar w:fldCharType="begin"/>
      </w:r>
      <w:r>
        <w:rPr>
          <w:color w:val="auto"/>
        </w:rPr>
        <w:instrText xml:space="preserve"> PAGEREF _Toc1007 </w:instrText>
      </w:r>
      <w:r>
        <w:rPr>
          <w:color w:val="auto"/>
        </w:rPr>
        <w:fldChar w:fldCharType="separate"/>
      </w:r>
      <w:r>
        <w:rPr>
          <w:color w:val="auto"/>
        </w:rPr>
        <w:t>33</w:t>
      </w:r>
      <w:r>
        <w:rPr>
          <w:color w:val="auto"/>
        </w:rPr>
        <w:fldChar w:fldCharType="end"/>
      </w:r>
      <w:r>
        <w:rPr>
          <w:rFonts w:ascii="Times New Roman" w:hAnsi="Times New Roman" w:eastAsia="宋体" w:cs="Times New Roman"/>
          <w:color w:val="auto"/>
          <w:szCs w:val="24"/>
        </w:rPr>
        <w:fldChar w:fldCharType="end"/>
      </w:r>
    </w:p>
    <w:p>
      <w:pPr>
        <w:pStyle w:val="23"/>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_Toc17610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0"/>
        </w:rPr>
        <w:t>6.</w:t>
      </w:r>
      <w:r>
        <w:rPr>
          <w:rFonts w:ascii="Times New Roman" w:hAnsi="Times New Roman" w:cs="Times New Roman"/>
          <w:color w:val="auto"/>
          <w:szCs w:val="30"/>
        </w:rPr>
        <w:t>2</w:t>
      </w:r>
      <w:r>
        <w:rPr>
          <w:rFonts w:hint="default" w:ascii="Times New Roman" w:hAnsi="Times New Roman" w:cs="Times New Roman"/>
          <w:color w:val="auto"/>
          <w:szCs w:val="30"/>
        </w:rPr>
        <w:t>总量控制指标</w:t>
      </w:r>
      <w:r>
        <w:rPr>
          <w:color w:val="auto"/>
        </w:rPr>
        <w:tab/>
      </w:r>
      <w:r>
        <w:rPr>
          <w:color w:val="auto"/>
        </w:rPr>
        <w:fldChar w:fldCharType="begin"/>
      </w:r>
      <w:r>
        <w:rPr>
          <w:color w:val="auto"/>
        </w:rPr>
        <w:instrText xml:space="preserve"> PAGEREF _Toc17610 </w:instrText>
      </w:r>
      <w:r>
        <w:rPr>
          <w:color w:val="auto"/>
        </w:rPr>
        <w:fldChar w:fldCharType="separate"/>
      </w:r>
      <w:r>
        <w:rPr>
          <w:color w:val="auto"/>
        </w:rPr>
        <w:t>36</w:t>
      </w:r>
      <w:r>
        <w:rPr>
          <w:color w:val="auto"/>
        </w:rPr>
        <w:fldChar w:fldCharType="end"/>
      </w:r>
      <w:r>
        <w:rPr>
          <w:rFonts w:ascii="Times New Roman" w:hAnsi="Times New Roman" w:eastAsia="宋体" w:cs="Times New Roman"/>
          <w:color w:val="auto"/>
          <w:szCs w:val="24"/>
        </w:rPr>
        <w:fldChar w:fldCharType="end"/>
      </w:r>
    </w:p>
    <w:p>
      <w:pPr>
        <w:pStyle w:val="22"/>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_Toc15302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2"/>
        </w:rPr>
        <w:t>7、验收监测内容</w:t>
      </w:r>
      <w:r>
        <w:rPr>
          <w:color w:val="auto"/>
        </w:rPr>
        <w:tab/>
      </w:r>
      <w:r>
        <w:rPr>
          <w:color w:val="auto"/>
        </w:rPr>
        <w:fldChar w:fldCharType="begin"/>
      </w:r>
      <w:r>
        <w:rPr>
          <w:color w:val="auto"/>
        </w:rPr>
        <w:instrText xml:space="preserve"> PAGEREF _Toc15302 </w:instrText>
      </w:r>
      <w:r>
        <w:rPr>
          <w:color w:val="auto"/>
        </w:rPr>
        <w:fldChar w:fldCharType="separate"/>
      </w:r>
      <w:r>
        <w:rPr>
          <w:color w:val="auto"/>
        </w:rPr>
        <w:t>37</w:t>
      </w:r>
      <w:r>
        <w:rPr>
          <w:color w:val="auto"/>
        </w:rPr>
        <w:fldChar w:fldCharType="end"/>
      </w:r>
      <w:r>
        <w:rPr>
          <w:rFonts w:ascii="Times New Roman" w:hAnsi="Times New Roman" w:eastAsia="宋体" w:cs="Times New Roman"/>
          <w:color w:val="auto"/>
          <w:szCs w:val="24"/>
        </w:rPr>
        <w:fldChar w:fldCharType="end"/>
      </w:r>
    </w:p>
    <w:p>
      <w:pPr>
        <w:pStyle w:val="23"/>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_Toc8408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0"/>
        </w:rPr>
        <w:t>7.1  废气监测内容</w:t>
      </w:r>
      <w:r>
        <w:rPr>
          <w:color w:val="auto"/>
        </w:rPr>
        <w:tab/>
      </w:r>
      <w:r>
        <w:rPr>
          <w:color w:val="auto"/>
        </w:rPr>
        <w:fldChar w:fldCharType="begin"/>
      </w:r>
      <w:r>
        <w:rPr>
          <w:color w:val="auto"/>
        </w:rPr>
        <w:instrText xml:space="preserve"> PAGEREF _Toc8408 </w:instrText>
      </w:r>
      <w:r>
        <w:rPr>
          <w:color w:val="auto"/>
        </w:rPr>
        <w:fldChar w:fldCharType="separate"/>
      </w:r>
      <w:r>
        <w:rPr>
          <w:color w:val="auto"/>
        </w:rPr>
        <w:t>37</w:t>
      </w:r>
      <w:r>
        <w:rPr>
          <w:color w:val="auto"/>
        </w:rPr>
        <w:fldChar w:fldCharType="end"/>
      </w:r>
      <w:r>
        <w:rPr>
          <w:rFonts w:ascii="Times New Roman" w:hAnsi="Times New Roman" w:eastAsia="宋体" w:cs="Times New Roman"/>
          <w:color w:val="auto"/>
          <w:szCs w:val="24"/>
        </w:rPr>
        <w:fldChar w:fldCharType="end"/>
      </w:r>
    </w:p>
    <w:p>
      <w:pPr>
        <w:pStyle w:val="23"/>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_Toc28543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0"/>
        </w:rPr>
        <w:t>7.2  废水排放监测内容</w:t>
      </w:r>
      <w:r>
        <w:rPr>
          <w:color w:val="auto"/>
        </w:rPr>
        <w:tab/>
      </w:r>
      <w:r>
        <w:rPr>
          <w:color w:val="auto"/>
        </w:rPr>
        <w:fldChar w:fldCharType="begin"/>
      </w:r>
      <w:r>
        <w:rPr>
          <w:color w:val="auto"/>
        </w:rPr>
        <w:instrText xml:space="preserve"> PAGEREF _Toc28543 </w:instrText>
      </w:r>
      <w:r>
        <w:rPr>
          <w:color w:val="auto"/>
        </w:rPr>
        <w:fldChar w:fldCharType="separate"/>
      </w:r>
      <w:r>
        <w:rPr>
          <w:color w:val="auto"/>
        </w:rPr>
        <w:t>37</w:t>
      </w:r>
      <w:r>
        <w:rPr>
          <w:color w:val="auto"/>
        </w:rPr>
        <w:fldChar w:fldCharType="end"/>
      </w:r>
      <w:r>
        <w:rPr>
          <w:rFonts w:ascii="Times New Roman" w:hAnsi="Times New Roman" w:eastAsia="宋体" w:cs="Times New Roman"/>
          <w:color w:val="auto"/>
          <w:szCs w:val="24"/>
        </w:rPr>
        <w:fldChar w:fldCharType="end"/>
      </w:r>
    </w:p>
    <w:p>
      <w:pPr>
        <w:pStyle w:val="23"/>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_Toc13860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0"/>
        </w:rPr>
        <w:t>7.3  厂界噪声监测内容</w:t>
      </w:r>
      <w:r>
        <w:rPr>
          <w:color w:val="auto"/>
        </w:rPr>
        <w:tab/>
      </w:r>
      <w:r>
        <w:rPr>
          <w:color w:val="auto"/>
        </w:rPr>
        <w:fldChar w:fldCharType="begin"/>
      </w:r>
      <w:r>
        <w:rPr>
          <w:color w:val="auto"/>
        </w:rPr>
        <w:instrText xml:space="preserve"> PAGEREF _Toc13860 </w:instrText>
      </w:r>
      <w:r>
        <w:rPr>
          <w:color w:val="auto"/>
        </w:rPr>
        <w:fldChar w:fldCharType="separate"/>
      </w:r>
      <w:r>
        <w:rPr>
          <w:color w:val="auto"/>
        </w:rPr>
        <w:t>38</w:t>
      </w:r>
      <w:r>
        <w:rPr>
          <w:color w:val="auto"/>
        </w:rPr>
        <w:fldChar w:fldCharType="end"/>
      </w:r>
      <w:r>
        <w:rPr>
          <w:rFonts w:ascii="Times New Roman" w:hAnsi="Times New Roman" w:eastAsia="宋体" w:cs="Times New Roman"/>
          <w:color w:val="auto"/>
          <w:szCs w:val="24"/>
        </w:rPr>
        <w:fldChar w:fldCharType="end"/>
      </w:r>
    </w:p>
    <w:p>
      <w:pPr>
        <w:pStyle w:val="22"/>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_Toc1499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2"/>
        </w:rPr>
        <w:t>8、质量保证和质控措施</w:t>
      </w:r>
      <w:r>
        <w:rPr>
          <w:color w:val="auto"/>
        </w:rPr>
        <w:tab/>
      </w:r>
      <w:r>
        <w:rPr>
          <w:color w:val="auto"/>
        </w:rPr>
        <w:fldChar w:fldCharType="begin"/>
      </w:r>
      <w:r>
        <w:rPr>
          <w:color w:val="auto"/>
        </w:rPr>
        <w:instrText xml:space="preserve"> PAGEREF _Toc1499 </w:instrText>
      </w:r>
      <w:r>
        <w:rPr>
          <w:color w:val="auto"/>
        </w:rPr>
        <w:fldChar w:fldCharType="separate"/>
      </w:r>
      <w:r>
        <w:rPr>
          <w:color w:val="auto"/>
        </w:rPr>
        <w:t>39</w:t>
      </w:r>
      <w:r>
        <w:rPr>
          <w:color w:val="auto"/>
        </w:rPr>
        <w:fldChar w:fldCharType="end"/>
      </w:r>
      <w:r>
        <w:rPr>
          <w:rFonts w:ascii="Times New Roman" w:hAnsi="Times New Roman" w:eastAsia="宋体" w:cs="Times New Roman"/>
          <w:color w:val="auto"/>
          <w:szCs w:val="24"/>
        </w:rPr>
        <w:fldChar w:fldCharType="end"/>
      </w:r>
    </w:p>
    <w:p>
      <w:pPr>
        <w:pStyle w:val="23"/>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_Toc14703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0"/>
        </w:rPr>
        <w:t>8.1监测分析方法和检测仪器</w:t>
      </w:r>
      <w:r>
        <w:rPr>
          <w:color w:val="auto"/>
        </w:rPr>
        <w:tab/>
      </w:r>
      <w:r>
        <w:rPr>
          <w:color w:val="auto"/>
        </w:rPr>
        <w:fldChar w:fldCharType="begin"/>
      </w:r>
      <w:r>
        <w:rPr>
          <w:color w:val="auto"/>
        </w:rPr>
        <w:instrText xml:space="preserve"> PAGEREF _Toc14703 </w:instrText>
      </w:r>
      <w:r>
        <w:rPr>
          <w:color w:val="auto"/>
        </w:rPr>
        <w:fldChar w:fldCharType="separate"/>
      </w:r>
      <w:r>
        <w:rPr>
          <w:color w:val="auto"/>
        </w:rPr>
        <w:t>39</w:t>
      </w:r>
      <w:r>
        <w:rPr>
          <w:color w:val="auto"/>
        </w:rPr>
        <w:fldChar w:fldCharType="end"/>
      </w:r>
      <w:r>
        <w:rPr>
          <w:rFonts w:ascii="Times New Roman" w:hAnsi="Times New Roman" w:eastAsia="宋体" w:cs="Times New Roman"/>
          <w:color w:val="auto"/>
          <w:szCs w:val="24"/>
        </w:rPr>
        <w:fldChar w:fldCharType="end"/>
      </w:r>
    </w:p>
    <w:p>
      <w:pPr>
        <w:pStyle w:val="23"/>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_Toc19832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0"/>
        </w:rPr>
        <w:t>8.2人员能力</w:t>
      </w:r>
      <w:r>
        <w:rPr>
          <w:color w:val="auto"/>
        </w:rPr>
        <w:tab/>
      </w:r>
      <w:r>
        <w:rPr>
          <w:color w:val="auto"/>
        </w:rPr>
        <w:fldChar w:fldCharType="begin"/>
      </w:r>
      <w:r>
        <w:rPr>
          <w:color w:val="auto"/>
        </w:rPr>
        <w:instrText xml:space="preserve"> PAGEREF _Toc19832 </w:instrText>
      </w:r>
      <w:r>
        <w:rPr>
          <w:color w:val="auto"/>
        </w:rPr>
        <w:fldChar w:fldCharType="separate"/>
      </w:r>
      <w:r>
        <w:rPr>
          <w:color w:val="auto"/>
        </w:rPr>
        <w:t>40</w:t>
      </w:r>
      <w:r>
        <w:rPr>
          <w:color w:val="auto"/>
        </w:rPr>
        <w:fldChar w:fldCharType="end"/>
      </w:r>
      <w:r>
        <w:rPr>
          <w:rFonts w:ascii="Times New Roman" w:hAnsi="Times New Roman" w:eastAsia="宋体" w:cs="Times New Roman"/>
          <w:color w:val="auto"/>
          <w:szCs w:val="24"/>
        </w:rPr>
        <w:fldChar w:fldCharType="end"/>
      </w:r>
    </w:p>
    <w:p>
      <w:pPr>
        <w:pStyle w:val="23"/>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_Toc62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0"/>
        </w:rPr>
        <w:t>8.3水质监测分析过程中的质量保证和质量控制</w:t>
      </w:r>
      <w:r>
        <w:rPr>
          <w:color w:val="auto"/>
        </w:rPr>
        <w:tab/>
      </w:r>
      <w:r>
        <w:rPr>
          <w:color w:val="auto"/>
        </w:rPr>
        <w:fldChar w:fldCharType="begin"/>
      </w:r>
      <w:r>
        <w:rPr>
          <w:color w:val="auto"/>
        </w:rPr>
        <w:instrText xml:space="preserve"> PAGEREF _Toc62 </w:instrText>
      </w:r>
      <w:r>
        <w:rPr>
          <w:color w:val="auto"/>
        </w:rPr>
        <w:fldChar w:fldCharType="separate"/>
      </w:r>
      <w:r>
        <w:rPr>
          <w:color w:val="auto"/>
        </w:rPr>
        <w:t>40</w:t>
      </w:r>
      <w:r>
        <w:rPr>
          <w:color w:val="auto"/>
        </w:rPr>
        <w:fldChar w:fldCharType="end"/>
      </w:r>
      <w:r>
        <w:rPr>
          <w:rFonts w:ascii="Times New Roman" w:hAnsi="Times New Roman" w:eastAsia="宋体" w:cs="Times New Roman"/>
          <w:color w:val="auto"/>
          <w:szCs w:val="24"/>
        </w:rPr>
        <w:fldChar w:fldCharType="end"/>
      </w:r>
    </w:p>
    <w:p>
      <w:pPr>
        <w:pStyle w:val="23"/>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_Toc27067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0"/>
        </w:rPr>
        <w:t>8.4废气监测分析过程中的质量保证和质量控制</w:t>
      </w:r>
      <w:r>
        <w:rPr>
          <w:color w:val="auto"/>
        </w:rPr>
        <w:tab/>
      </w:r>
      <w:r>
        <w:rPr>
          <w:color w:val="auto"/>
        </w:rPr>
        <w:fldChar w:fldCharType="begin"/>
      </w:r>
      <w:r>
        <w:rPr>
          <w:color w:val="auto"/>
        </w:rPr>
        <w:instrText xml:space="preserve"> PAGEREF _Toc27067 </w:instrText>
      </w:r>
      <w:r>
        <w:rPr>
          <w:color w:val="auto"/>
        </w:rPr>
        <w:fldChar w:fldCharType="separate"/>
      </w:r>
      <w:r>
        <w:rPr>
          <w:color w:val="auto"/>
        </w:rPr>
        <w:t>40</w:t>
      </w:r>
      <w:r>
        <w:rPr>
          <w:color w:val="auto"/>
        </w:rPr>
        <w:fldChar w:fldCharType="end"/>
      </w:r>
      <w:r>
        <w:rPr>
          <w:rFonts w:ascii="Times New Roman" w:hAnsi="Times New Roman" w:eastAsia="宋体" w:cs="Times New Roman"/>
          <w:color w:val="auto"/>
          <w:szCs w:val="24"/>
        </w:rPr>
        <w:fldChar w:fldCharType="end"/>
      </w:r>
    </w:p>
    <w:p>
      <w:pPr>
        <w:pStyle w:val="23"/>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_Toc31883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0"/>
        </w:rPr>
        <w:t>8.5噪声监测分析过程中的质量保证和质量控制</w:t>
      </w:r>
      <w:r>
        <w:rPr>
          <w:color w:val="auto"/>
        </w:rPr>
        <w:tab/>
      </w:r>
      <w:r>
        <w:rPr>
          <w:color w:val="auto"/>
        </w:rPr>
        <w:fldChar w:fldCharType="begin"/>
      </w:r>
      <w:r>
        <w:rPr>
          <w:color w:val="auto"/>
        </w:rPr>
        <w:instrText xml:space="preserve"> PAGEREF _Toc31883 </w:instrText>
      </w:r>
      <w:r>
        <w:rPr>
          <w:color w:val="auto"/>
        </w:rPr>
        <w:fldChar w:fldCharType="separate"/>
      </w:r>
      <w:r>
        <w:rPr>
          <w:color w:val="auto"/>
        </w:rPr>
        <w:t>41</w:t>
      </w:r>
      <w:r>
        <w:rPr>
          <w:color w:val="auto"/>
        </w:rPr>
        <w:fldChar w:fldCharType="end"/>
      </w:r>
      <w:r>
        <w:rPr>
          <w:rFonts w:ascii="Times New Roman" w:hAnsi="Times New Roman" w:eastAsia="宋体" w:cs="Times New Roman"/>
          <w:color w:val="auto"/>
          <w:szCs w:val="24"/>
        </w:rPr>
        <w:fldChar w:fldCharType="end"/>
      </w:r>
    </w:p>
    <w:p>
      <w:pPr>
        <w:pStyle w:val="22"/>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_Toc6196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2"/>
        </w:rPr>
        <w:t>9、验收监测</w:t>
      </w:r>
      <w:r>
        <w:rPr>
          <w:color w:val="auto"/>
        </w:rPr>
        <w:tab/>
      </w:r>
      <w:r>
        <w:rPr>
          <w:color w:val="auto"/>
        </w:rPr>
        <w:fldChar w:fldCharType="begin"/>
      </w:r>
      <w:r>
        <w:rPr>
          <w:color w:val="auto"/>
        </w:rPr>
        <w:instrText xml:space="preserve"> PAGEREF _Toc6196 </w:instrText>
      </w:r>
      <w:r>
        <w:rPr>
          <w:color w:val="auto"/>
        </w:rPr>
        <w:fldChar w:fldCharType="separate"/>
      </w:r>
      <w:r>
        <w:rPr>
          <w:color w:val="auto"/>
        </w:rPr>
        <w:t>42</w:t>
      </w:r>
      <w:r>
        <w:rPr>
          <w:color w:val="auto"/>
        </w:rPr>
        <w:fldChar w:fldCharType="end"/>
      </w:r>
      <w:r>
        <w:rPr>
          <w:rFonts w:ascii="Times New Roman" w:hAnsi="Times New Roman" w:eastAsia="宋体" w:cs="Times New Roman"/>
          <w:color w:val="auto"/>
          <w:szCs w:val="24"/>
        </w:rPr>
        <w:fldChar w:fldCharType="end"/>
      </w:r>
    </w:p>
    <w:p>
      <w:pPr>
        <w:pStyle w:val="23"/>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_Toc17181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0"/>
        </w:rPr>
        <w:t>9.1  生产工况</w:t>
      </w:r>
      <w:r>
        <w:rPr>
          <w:color w:val="auto"/>
        </w:rPr>
        <w:tab/>
      </w:r>
      <w:r>
        <w:rPr>
          <w:color w:val="auto"/>
        </w:rPr>
        <w:fldChar w:fldCharType="begin"/>
      </w:r>
      <w:r>
        <w:rPr>
          <w:color w:val="auto"/>
        </w:rPr>
        <w:instrText xml:space="preserve"> PAGEREF _Toc17181 </w:instrText>
      </w:r>
      <w:r>
        <w:rPr>
          <w:color w:val="auto"/>
        </w:rPr>
        <w:fldChar w:fldCharType="separate"/>
      </w:r>
      <w:r>
        <w:rPr>
          <w:color w:val="auto"/>
        </w:rPr>
        <w:t>42</w:t>
      </w:r>
      <w:r>
        <w:rPr>
          <w:color w:val="auto"/>
        </w:rPr>
        <w:fldChar w:fldCharType="end"/>
      </w:r>
      <w:r>
        <w:rPr>
          <w:rFonts w:ascii="Times New Roman" w:hAnsi="Times New Roman" w:eastAsia="宋体" w:cs="Times New Roman"/>
          <w:color w:val="auto"/>
          <w:szCs w:val="24"/>
        </w:rPr>
        <w:fldChar w:fldCharType="end"/>
      </w:r>
    </w:p>
    <w:p>
      <w:pPr>
        <w:pStyle w:val="23"/>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_Toc6690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0"/>
        </w:rPr>
        <w:t>9.2  监测期间气象参数</w:t>
      </w:r>
      <w:r>
        <w:rPr>
          <w:color w:val="auto"/>
        </w:rPr>
        <w:tab/>
      </w:r>
      <w:r>
        <w:rPr>
          <w:color w:val="auto"/>
        </w:rPr>
        <w:fldChar w:fldCharType="begin"/>
      </w:r>
      <w:r>
        <w:rPr>
          <w:color w:val="auto"/>
        </w:rPr>
        <w:instrText xml:space="preserve"> PAGEREF _Toc6690 </w:instrText>
      </w:r>
      <w:r>
        <w:rPr>
          <w:color w:val="auto"/>
        </w:rPr>
        <w:fldChar w:fldCharType="separate"/>
      </w:r>
      <w:r>
        <w:rPr>
          <w:color w:val="auto"/>
        </w:rPr>
        <w:t>42</w:t>
      </w:r>
      <w:r>
        <w:rPr>
          <w:color w:val="auto"/>
        </w:rPr>
        <w:fldChar w:fldCharType="end"/>
      </w:r>
      <w:r>
        <w:rPr>
          <w:rFonts w:ascii="Times New Roman" w:hAnsi="Times New Roman" w:eastAsia="宋体" w:cs="Times New Roman"/>
          <w:color w:val="auto"/>
          <w:szCs w:val="24"/>
        </w:rPr>
        <w:fldChar w:fldCharType="end"/>
      </w:r>
    </w:p>
    <w:p>
      <w:pPr>
        <w:pStyle w:val="23"/>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_Toc22917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0"/>
        </w:rPr>
        <w:t>9.3  废气监测结果及评价</w:t>
      </w:r>
      <w:r>
        <w:rPr>
          <w:color w:val="auto"/>
        </w:rPr>
        <w:tab/>
      </w:r>
      <w:r>
        <w:rPr>
          <w:color w:val="auto"/>
        </w:rPr>
        <w:fldChar w:fldCharType="begin"/>
      </w:r>
      <w:r>
        <w:rPr>
          <w:color w:val="auto"/>
        </w:rPr>
        <w:instrText xml:space="preserve"> PAGEREF _Toc22917 </w:instrText>
      </w:r>
      <w:r>
        <w:rPr>
          <w:color w:val="auto"/>
        </w:rPr>
        <w:fldChar w:fldCharType="separate"/>
      </w:r>
      <w:r>
        <w:rPr>
          <w:color w:val="auto"/>
        </w:rPr>
        <w:t>42</w:t>
      </w:r>
      <w:r>
        <w:rPr>
          <w:color w:val="auto"/>
        </w:rPr>
        <w:fldChar w:fldCharType="end"/>
      </w:r>
      <w:r>
        <w:rPr>
          <w:rFonts w:ascii="Times New Roman" w:hAnsi="Times New Roman" w:eastAsia="宋体" w:cs="Times New Roman"/>
          <w:color w:val="auto"/>
          <w:szCs w:val="24"/>
        </w:rPr>
        <w:fldChar w:fldCharType="end"/>
      </w:r>
    </w:p>
    <w:p>
      <w:pPr>
        <w:pStyle w:val="23"/>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_Toc10997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0"/>
        </w:rPr>
        <w:t>9.4  厂界噪声监测结果及评价</w:t>
      </w:r>
      <w:r>
        <w:rPr>
          <w:color w:val="auto"/>
        </w:rPr>
        <w:tab/>
      </w:r>
      <w:r>
        <w:rPr>
          <w:color w:val="auto"/>
        </w:rPr>
        <w:fldChar w:fldCharType="begin"/>
      </w:r>
      <w:r>
        <w:rPr>
          <w:color w:val="auto"/>
        </w:rPr>
        <w:instrText xml:space="preserve"> PAGEREF _Toc10997 </w:instrText>
      </w:r>
      <w:r>
        <w:rPr>
          <w:color w:val="auto"/>
        </w:rPr>
        <w:fldChar w:fldCharType="separate"/>
      </w:r>
      <w:r>
        <w:rPr>
          <w:color w:val="auto"/>
        </w:rPr>
        <w:t>47</w:t>
      </w:r>
      <w:r>
        <w:rPr>
          <w:color w:val="auto"/>
        </w:rPr>
        <w:fldChar w:fldCharType="end"/>
      </w:r>
      <w:r>
        <w:rPr>
          <w:rFonts w:ascii="Times New Roman" w:hAnsi="Times New Roman" w:eastAsia="宋体" w:cs="Times New Roman"/>
          <w:color w:val="auto"/>
          <w:szCs w:val="24"/>
        </w:rPr>
        <w:fldChar w:fldCharType="end"/>
      </w:r>
    </w:p>
    <w:p>
      <w:pPr>
        <w:pStyle w:val="23"/>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_Toc12557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0"/>
        </w:rPr>
        <w:t>9.5  废水监测结果及评价</w:t>
      </w:r>
      <w:r>
        <w:rPr>
          <w:color w:val="auto"/>
        </w:rPr>
        <w:tab/>
      </w:r>
      <w:r>
        <w:rPr>
          <w:color w:val="auto"/>
        </w:rPr>
        <w:fldChar w:fldCharType="begin"/>
      </w:r>
      <w:r>
        <w:rPr>
          <w:color w:val="auto"/>
        </w:rPr>
        <w:instrText xml:space="preserve"> PAGEREF _Toc12557 </w:instrText>
      </w:r>
      <w:r>
        <w:rPr>
          <w:color w:val="auto"/>
        </w:rPr>
        <w:fldChar w:fldCharType="separate"/>
      </w:r>
      <w:r>
        <w:rPr>
          <w:color w:val="auto"/>
        </w:rPr>
        <w:t>47</w:t>
      </w:r>
      <w:r>
        <w:rPr>
          <w:color w:val="auto"/>
        </w:rPr>
        <w:fldChar w:fldCharType="end"/>
      </w:r>
      <w:r>
        <w:rPr>
          <w:rFonts w:ascii="Times New Roman" w:hAnsi="Times New Roman" w:eastAsia="宋体" w:cs="Times New Roman"/>
          <w:color w:val="auto"/>
          <w:szCs w:val="24"/>
        </w:rPr>
        <w:fldChar w:fldCharType="end"/>
      </w:r>
    </w:p>
    <w:p>
      <w:pPr>
        <w:pStyle w:val="23"/>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_Toc29697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0"/>
        </w:rPr>
        <w:t>9.6  固废处置情况调查</w:t>
      </w:r>
      <w:r>
        <w:rPr>
          <w:color w:val="auto"/>
        </w:rPr>
        <w:tab/>
      </w:r>
      <w:r>
        <w:rPr>
          <w:color w:val="auto"/>
        </w:rPr>
        <w:fldChar w:fldCharType="begin"/>
      </w:r>
      <w:r>
        <w:rPr>
          <w:color w:val="auto"/>
        </w:rPr>
        <w:instrText xml:space="preserve"> PAGEREF _Toc29697 </w:instrText>
      </w:r>
      <w:r>
        <w:rPr>
          <w:color w:val="auto"/>
        </w:rPr>
        <w:fldChar w:fldCharType="separate"/>
      </w:r>
      <w:r>
        <w:rPr>
          <w:color w:val="auto"/>
        </w:rPr>
        <w:t>48</w:t>
      </w:r>
      <w:r>
        <w:rPr>
          <w:color w:val="auto"/>
        </w:rPr>
        <w:fldChar w:fldCharType="end"/>
      </w:r>
      <w:r>
        <w:rPr>
          <w:rFonts w:ascii="Times New Roman" w:hAnsi="Times New Roman" w:eastAsia="宋体" w:cs="Times New Roman"/>
          <w:color w:val="auto"/>
          <w:szCs w:val="24"/>
        </w:rPr>
        <w:fldChar w:fldCharType="end"/>
      </w:r>
    </w:p>
    <w:p>
      <w:pPr>
        <w:pStyle w:val="23"/>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_Toc7711 </w:instrText>
      </w:r>
      <w:r>
        <w:rPr>
          <w:rFonts w:ascii="Times New Roman" w:hAnsi="Times New Roman" w:eastAsia="宋体" w:cs="Times New Roman"/>
          <w:color w:val="auto"/>
          <w:szCs w:val="24"/>
        </w:rPr>
        <w:fldChar w:fldCharType="separate"/>
      </w:r>
      <w:r>
        <w:rPr>
          <w:rFonts w:hint="default" w:ascii="Times New Roman" w:hAnsi="Times New Roman" w:cs="Times New Roman" w:eastAsiaTheme="minorEastAsia"/>
          <w:color w:val="auto"/>
          <w:szCs w:val="30"/>
          <w:lang w:val="en-US" w:eastAsia="zh-CN"/>
        </w:rPr>
        <w:t>9.7</w:t>
      </w:r>
      <w:r>
        <w:rPr>
          <w:rFonts w:hint="default" w:ascii="Times New Roman" w:hAnsi="Times New Roman" w:cs="Times New Roman" w:eastAsiaTheme="minorEastAsia"/>
          <w:color w:val="auto"/>
          <w:szCs w:val="30"/>
        </w:rPr>
        <w:t>污染物排放总量核算</w:t>
      </w:r>
      <w:r>
        <w:rPr>
          <w:color w:val="auto"/>
        </w:rPr>
        <w:tab/>
      </w:r>
      <w:r>
        <w:rPr>
          <w:color w:val="auto"/>
        </w:rPr>
        <w:fldChar w:fldCharType="begin"/>
      </w:r>
      <w:r>
        <w:rPr>
          <w:color w:val="auto"/>
        </w:rPr>
        <w:instrText xml:space="preserve"> PAGEREF _Toc7711 </w:instrText>
      </w:r>
      <w:r>
        <w:rPr>
          <w:color w:val="auto"/>
        </w:rPr>
        <w:fldChar w:fldCharType="separate"/>
      </w:r>
      <w:r>
        <w:rPr>
          <w:color w:val="auto"/>
        </w:rPr>
        <w:t>49</w:t>
      </w:r>
      <w:r>
        <w:rPr>
          <w:color w:val="auto"/>
        </w:rPr>
        <w:fldChar w:fldCharType="end"/>
      </w:r>
      <w:r>
        <w:rPr>
          <w:rFonts w:ascii="Times New Roman" w:hAnsi="Times New Roman" w:eastAsia="宋体" w:cs="Times New Roman"/>
          <w:color w:val="auto"/>
          <w:szCs w:val="24"/>
        </w:rPr>
        <w:fldChar w:fldCharType="end"/>
      </w:r>
    </w:p>
    <w:p>
      <w:pPr>
        <w:pStyle w:val="22"/>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_Toc11976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2"/>
        </w:rPr>
        <w:t>10</w:t>
      </w:r>
      <w:r>
        <w:rPr>
          <w:rFonts w:hint="eastAsia" w:ascii="Times New Roman" w:hAnsi="Times New Roman" w:cs="Times New Roman"/>
          <w:color w:val="auto"/>
          <w:szCs w:val="32"/>
          <w:lang w:eastAsia="zh-CN"/>
        </w:rPr>
        <w:t>、</w:t>
      </w:r>
      <w:r>
        <w:rPr>
          <w:rFonts w:hint="default" w:ascii="Times New Roman" w:hAnsi="Times New Roman" w:cs="Times New Roman"/>
          <w:color w:val="auto"/>
          <w:szCs w:val="30"/>
        </w:rPr>
        <w:t>环保管理机构及环保管理制度建立情况</w:t>
      </w:r>
      <w:r>
        <w:rPr>
          <w:color w:val="auto"/>
        </w:rPr>
        <w:tab/>
      </w:r>
      <w:r>
        <w:rPr>
          <w:color w:val="auto"/>
        </w:rPr>
        <w:fldChar w:fldCharType="begin"/>
      </w:r>
      <w:r>
        <w:rPr>
          <w:color w:val="auto"/>
        </w:rPr>
        <w:instrText xml:space="preserve"> PAGEREF _Toc11976 </w:instrText>
      </w:r>
      <w:r>
        <w:rPr>
          <w:color w:val="auto"/>
        </w:rPr>
        <w:fldChar w:fldCharType="separate"/>
      </w:r>
      <w:r>
        <w:rPr>
          <w:color w:val="auto"/>
        </w:rPr>
        <w:t>51</w:t>
      </w:r>
      <w:r>
        <w:rPr>
          <w:color w:val="auto"/>
        </w:rPr>
        <w:fldChar w:fldCharType="end"/>
      </w:r>
      <w:r>
        <w:rPr>
          <w:rFonts w:ascii="Times New Roman" w:hAnsi="Times New Roman" w:eastAsia="宋体" w:cs="Times New Roman"/>
          <w:color w:val="auto"/>
          <w:szCs w:val="24"/>
        </w:rPr>
        <w:fldChar w:fldCharType="end"/>
      </w:r>
    </w:p>
    <w:p>
      <w:pPr>
        <w:pStyle w:val="23"/>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_Toc22512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0"/>
        </w:rPr>
        <w:t>10.</w:t>
      </w:r>
      <w:r>
        <w:rPr>
          <w:rFonts w:hint="eastAsia" w:ascii="Times New Roman" w:hAnsi="Times New Roman" w:cs="Times New Roman"/>
          <w:color w:val="auto"/>
          <w:szCs w:val="30"/>
          <w:lang w:val="en-US" w:eastAsia="zh-CN"/>
        </w:rPr>
        <w:t>1</w:t>
      </w:r>
      <w:r>
        <w:rPr>
          <w:rFonts w:hint="default" w:ascii="Times New Roman" w:hAnsi="Times New Roman" w:cs="Times New Roman"/>
          <w:color w:val="auto"/>
          <w:szCs w:val="30"/>
        </w:rPr>
        <w:t xml:space="preserve"> </w:t>
      </w:r>
      <w:r>
        <w:rPr>
          <w:rFonts w:hint="default" w:ascii="Times New Roman" w:hAnsi="Times New Roman" w:cs="Times New Roman"/>
          <w:color w:val="auto"/>
          <w:szCs w:val="30"/>
          <w:lang w:val="en-US" w:eastAsia="zh-CN"/>
        </w:rPr>
        <w:t xml:space="preserve"> </w:t>
      </w:r>
      <w:r>
        <w:rPr>
          <w:rFonts w:hint="default" w:ascii="Times New Roman" w:hAnsi="Times New Roman" w:cs="Times New Roman"/>
          <w:color w:val="auto"/>
          <w:szCs w:val="30"/>
        </w:rPr>
        <w:t>环保管理机构及环保管理制度建立情况</w:t>
      </w:r>
      <w:r>
        <w:rPr>
          <w:color w:val="auto"/>
        </w:rPr>
        <w:tab/>
      </w:r>
      <w:r>
        <w:rPr>
          <w:color w:val="auto"/>
        </w:rPr>
        <w:fldChar w:fldCharType="begin"/>
      </w:r>
      <w:r>
        <w:rPr>
          <w:color w:val="auto"/>
        </w:rPr>
        <w:instrText xml:space="preserve"> PAGEREF _Toc22512 </w:instrText>
      </w:r>
      <w:r>
        <w:rPr>
          <w:color w:val="auto"/>
        </w:rPr>
        <w:fldChar w:fldCharType="separate"/>
      </w:r>
      <w:r>
        <w:rPr>
          <w:color w:val="auto"/>
        </w:rPr>
        <w:t>51</w:t>
      </w:r>
      <w:r>
        <w:rPr>
          <w:color w:val="auto"/>
        </w:rPr>
        <w:fldChar w:fldCharType="end"/>
      </w:r>
      <w:r>
        <w:rPr>
          <w:rFonts w:ascii="Times New Roman" w:hAnsi="Times New Roman" w:eastAsia="宋体" w:cs="Times New Roman"/>
          <w:color w:val="auto"/>
          <w:szCs w:val="24"/>
        </w:rPr>
        <w:fldChar w:fldCharType="end"/>
      </w:r>
    </w:p>
    <w:p>
      <w:pPr>
        <w:pStyle w:val="22"/>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_Toc29309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2"/>
        </w:rPr>
        <w:t>1</w:t>
      </w:r>
      <w:r>
        <w:rPr>
          <w:rFonts w:hint="eastAsia" w:ascii="Times New Roman" w:hAnsi="Times New Roman" w:cs="Times New Roman"/>
          <w:color w:val="auto"/>
          <w:szCs w:val="32"/>
          <w:lang w:val="en-US" w:eastAsia="zh-CN"/>
        </w:rPr>
        <w:t>1</w:t>
      </w:r>
      <w:r>
        <w:rPr>
          <w:rFonts w:hint="default" w:ascii="Times New Roman" w:hAnsi="Times New Roman" w:cs="Times New Roman"/>
          <w:color w:val="auto"/>
          <w:szCs w:val="32"/>
        </w:rPr>
        <w:t>、验收监测结论及改进措施</w:t>
      </w:r>
      <w:r>
        <w:rPr>
          <w:color w:val="auto"/>
        </w:rPr>
        <w:tab/>
      </w:r>
      <w:r>
        <w:rPr>
          <w:color w:val="auto"/>
        </w:rPr>
        <w:fldChar w:fldCharType="begin"/>
      </w:r>
      <w:r>
        <w:rPr>
          <w:color w:val="auto"/>
        </w:rPr>
        <w:instrText xml:space="preserve"> PAGEREF _Toc29309 </w:instrText>
      </w:r>
      <w:r>
        <w:rPr>
          <w:color w:val="auto"/>
        </w:rPr>
        <w:fldChar w:fldCharType="separate"/>
      </w:r>
      <w:r>
        <w:rPr>
          <w:color w:val="auto"/>
        </w:rPr>
        <w:t>52</w:t>
      </w:r>
      <w:r>
        <w:rPr>
          <w:color w:val="auto"/>
        </w:rPr>
        <w:fldChar w:fldCharType="end"/>
      </w:r>
      <w:r>
        <w:rPr>
          <w:rFonts w:ascii="Times New Roman" w:hAnsi="Times New Roman" w:eastAsia="宋体" w:cs="Times New Roman"/>
          <w:color w:val="auto"/>
          <w:szCs w:val="24"/>
        </w:rPr>
        <w:fldChar w:fldCharType="end"/>
      </w:r>
    </w:p>
    <w:p>
      <w:pPr>
        <w:pStyle w:val="23"/>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_Toc10867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30"/>
        </w:rPr>
        <w:t>1</w:t>
      </w:r>
      <w:r>
        <w:rPr>
          <w:rFonts w:hint="eastAsia" w:ascii="Times New Roman" w:hAnsi="Times New Roman" w:cs="Times New Roman"/>
          <w:color w:val="auto"/>
          <w:szCs w:val="30"/>
          <w:lang w:eastAsia="zh-CN"/>
        </w:rPr>
        <w:t>1</w:t>
      </w:r>
      <w:r>
        <w:rPr>
          <w:rFonts w:hint="default" w:ascii="Times New Roman" w:hAnsi="Times New Roman" w:cs="Times New Roman"/>
          <w:color w:val="auto"/>
          <w:szCs w:val="30"/>
        </w:rPr>
        <w:t xml:space="preserve">.1  </w:t>
      </w:r>
      <w:r>
        <w:rPr>
          <w:rFonts w:hint="default" w:ascii="Times New Roman" w:hAnsi="Times New Roman" w:cs="Times New Roman"/>
          <w:color w:val="auto"/>
          <w:szCs w:val="28"/>
        </w:rPr>
        <w:t>验收监测结论</w:t>
      </w:r>
      <w:r>
        <w:rPr>
          <w:color w:val="auto"/>
        </w:rPr>
        <w:tab/>
      </w:r>
      <w:r>
        <w:rPr>
          <w:color w:val="auto"/>
        </w:rPr>
        <w:fldChar w:fldCharType="begin"/>
      </w:r>
      <w:r>
        <w:rPr>
          <w:color w:val="auto"/>
        </w:rPr>
        <w:instrText xml:space="preserve"> PAGEREF _Toc10867 </w:instrText>
      </w:r>
      <w:r>
        <w:rPr>
          <w:color w:val="auto"/>
        </w:rPr>
        <w:fldChar w:fldCharType="separate"/>
      </w:r>
      <w:r>
        <w:rPr>
          <w:color w:val="auto"/>
        </w:rPr>
        <w:t>52</w:t>
      </w:r>
      <w:r>
        <w:rPr>
          <w:color w:val="auto"/>
        </w:rPr>
        <w:fldChar w:fldCharType="end"/>
      </w:r>
      <w:r>
        <w:rPr>
          <w:rFonts w:ascii="Times New Roman" w:hAnsi="Times New Roman" w:eastAsia="宋体" w:cs="Times New Roman"/>
          <w:color w:val="auto"/>
          <w:szCs w:val="24"/>
        </w:rPr>
        <w:fldChar w:fldCharType="end"/>
      </w:r>
    </w:p>
    <w:p>
      <w:pPr>
        <w:pStyle w:val="16"/>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_Toc20143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28"/>
        </w:rPr>
        <w:t>1</w:t>
      </w:r>
      <w:r>
        <w:rPr>
          <w:rFonts w:hint="eastAsia" w:ascii="Times New Roman" w:hAnsi="Times New Roman" w:cs="Times New Roman"/>
          <w:color w:val="auto"/>
          <w:szCs w:val="28"/>
          <w:lang w:eastAsia="zh-CN"/>
        </w:rPr>
        <w:t>1</w:t>
      </w:r>
      <w:r>
        <w:rPr>
          <w:rFonts w:hint="default" w:ascii="Times New Roman" w:hAnsi="Times New Roman" w:cs="Times New Roman"/>
          <w:color w:val="auto"/>
          <w:szCs w:val="28"/>
        </w:rPr>
        <w:t>.1.1  废气排放验收监测结论</w:t>
      </w:r>
      <w:r>
        <w:rPr>
          <w:color w:val="auto"/>
        </w:rPr>
        <w:tab/>
      </w:r>
      <w:r>
        <w:rPr>
          <w:color w:val="auto"/>
        </w:rPr>
        <w:fldChar w:fldCharType="begin"/>
      </w:r>
      <w:r>
        <w:rPr>
          <w:color w:val="auto"/>
        </w:rPr>
        <w:instrText xml:space="preserve"> PAGEREF _Toc20143 </w:instrText>
      </w:r>
      <w:r>
        <w:rPr>
          <w:color w:val="auto"/>
        </w:rPr>
        <w:fldChar w:fldCharType="separate"/>
      </w:r>
      <w:r>
        <w:rPr>
          <w:color w:val="auto"/>
        </w:rPr>
        <w:t>52</w:t>
      </w:r>
      <w:r>
        <w:rPr>
          <w:color w:val="auto"/>
        </w:rPr>
        <w:fldChar w:fldCharType="end"/>
      </w:r>
      <w:r>
        <w:rPr>
          <w:rFonts w:ascii="Times New Roman" w:hAnsi="Times New Roman" w:eastAsia="宋体" w:cs="Times New Roman"/>
          <w:color w:val="auto"/>
          <w:szCs w:val="24"/>
        </w:rPr>
        <w:fldChar w:fldCharType="end"/>
      </w:r>
    </w:p>
    <w:p>
      <w:pPr>
        <w:pStyle w:val="16"/>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_Toc5335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28"/>
        </w:rPr>
        <w:t>1</w:t>
      </w:r>
      <w:r>
        <w:rPr>
          <w:rFonts w:hint="eastAsia" w:ascii="Times New Roman" w:hAnsi="Times New Roman" w:cs="Times New Roman"/>
          <w:color w:val="auto"/>
          <w:szCs w:val="28"/>
          <w:lang w:eastAsia="zh-CN"/>
        </w:rPr>
        <w:t>1</w:t>
      </w:r>
      <w:r>
        <w:rPr>
          <w:rFonts w:hint="default" w:ascii="Times New Roman" w:hAnsi="Times New Roman" w:cs="Times New Roman"/>
          <w:color w:val="auto"/>
          <w:szCs w:val="28"/>
        </w:rPr>
        <w:t>.1.2  废水排放验收监测结论</w:t>
      </w:r>
      <w:r>
        <w:rPr>
          <w:color w:val="auto"/>
        </w:rPr>
        <w:tab/>
      </w:r>
      <w:r>
        <w:rPr>
          <w:color w:val="auto"/>
        </w:rPr>
        <w:fldChar w:fldCharType="begin"/>
      </w:r>
      <w:r>
        <w:rPr>
          <w:color w:val="auto"/>
        </w:rPr>
        <w:instrText xml:space="preserve"> PAGEREF _Toc5335 </w:instrText>
      </w:r>
      <w:r>
        <w:rPr>
          <w:color w:val="auto"/>
        </w:rPr>
        <w:fldChar w:fldCharType="separate"/>
      </w:r>
      <w:r>
        <w:rPr>
          <w:color w:val="auto"/>
        </w:rPr>
        <w:t>53</w:t>
      </w:r>
      <w:r>
        <w:rPr>
          <w:color w:val="auto"/>
        </w:rPr>
        <w:fldChar w:fldCharType="end"/>
      </w:r>
      <w:r>
        <w:rPr>
          <w:rFonts w:ascii="Times New Roman" w:hAnsi="Times New Roman" w:eastAsia="宋体" w:cs="Times New Roman"/>
          <w:color w:val="auto"/>
          <w:szCs w:val="24"/>
        </w:rPr>
        <w:fldChar w:fldCharType="end"/>
      </w:r>
    </w:p>
    <w:p>
      <w:pPr>
        <w:pStyle w:val="16"/>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_Toc9275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28"/>
        </w:rPr>
        <w:t>1</w:t>
      </w:r>
      <w:r>
        <w:rPr>
          <w:rFonts w:hint="eastAsia" w:ascii="Times New Roman" w:hAnsi="Times New Roman" w:cs="Times New Roman"/>
          <w:color w:val="auto"/>
          <w:szCs w:val="28"/>
          <w:lang w:eastAsia="zh-CN"/>
        </w:rPr>
        <w:t>1</w:t>
      </w:r>
      <w:r>
        <w:rPr>
          <w:rFonts w:hint="default" w:ascii="Times New Roman" w:hAnsi="Times New Roman" w:cs="Times New Roman"/>
          <w:color w:val="auto"/>
          <w:szCs w:val="28"/>
        </w:rPr>
        <w:t>.1.3  噪声验收监测结论</w:t>
      </w:r>
      <w:r>
        <w:rPr>
          <w:color w:val="auto"/>
        </w:rPr>
        <w:tab/>
      </w:r>
      <w:r>
        <w:rPr>
          <w:color w:val="auto"/>
        </w:rPr>
        <w:fldChar w:fldCharType="begin"/>
      </w:r>
      <w:r>
        <w:rPr>
          <w:color w:val="auto"/>
        </w:rPr>
        <w:instrText xml:space="preserve"> PAGEREF _Toc9275 </w:instrText>
      </w:r>
      <w:r>
        <w:rPr>
          <w:color w:val="auto"/>
        </w:rPr>
        <w:fldChar w:fldCharType="separate"/>
      </w:r>
      <w:r>
        <w:rPr>
          <w:color w:val="auto"/>
        </w:rPr>
        <w:t>53</w:t>
      </w:r>
      <w:r>
        <w:rPr>
          <w:color w:val="auto"/>
        </w:rPr>
        <w:fldChar w:fldCharType="end"/>
      </w:r>
      <w:r>
        <w:rPr>
          <w:rFonts w:ascii="Times New Roman" w:hAnsi="Times New Roman" w:eastAsia="宋体" w:cs="Times New Roman"/>
          <w:color w:val="auto"/>
          <w:szCs w:val="24"/>
        </w:rPr>
        <w:fldChar w:fldCharType="end"/>
      </w:r>
    </w:p>
    <w:p>
      <w:pPr>
        <w:pStyle w:val="16"/>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_Toc8489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28"/>
        </w:rPr>
        <w:t>1</w:t>
      </w:r>
      <w:r>
        <w:rPr>
          <w:rFonts w:hint="eastAsia" w:ascii="Times New Roman" w:hAnsi="Times New Roman" w:cs="Times New Roman"/>
          <w:color w:val="auto"/>
          <w:szCs w:val="28"/>
          <w:lang w:eastAsia="zh-CN"/>
        </w:rPr>
        <w:t>1</w:t>
      </w:r>
      <w:r>
        <w:rPr>
          <w:rFonts w:hint="default" w:ascii="Times New Roman" w:hAnsi="Times New Roman" w:cs="Times New Roman"/>
          <w:color w:val="auto"/>
          <w:szCs w:val="28"/>
        </w:rPr>
        <w:t>.1.4  固体废物处置情况调查结论</w:t>
      </w:r>
      <w:r>
        <w:rPr>
          <w:color w:val="auto"/>
        </w:rPr>
        <w:tab/>
      </w:r>
      <w:r>
        <w:rPr>
          <w:color w:val="auto"/>
        </w:rPr>
        <w:fldChar w:fldCharType="begin"/>
      </w:r>
      <w:r>
        <w:rPr>
          <w:color w:val="auto"/>
        </w:rPr>
        <w:instrText xml:space="preserve"> PAGEREF _Toc8489 </w:instrText>
      </w:r>
      <w:r>
        <w:rPr>
          <w:color w:val="auto"/>
        </w:rPr>
        <w:fldChar w:fldCharType="separate"/>
      </w:r>
      <w:r>
        <w:rPr>
          <w:color w:val="auto"/>
        </w:rPr>
        <w:t>53</w:t>
      </w:r>
      <w:r>
        <w:rPr>
          <w:color w:val="auto"/>
        </w:rPr>
        <w:fldChar w:fldCharType="end"/>
      </w:r>
      <w:r>
        <w:rPr>
          <w:rFonts w:ascii="Times New Roman" w:hAnsi="Times New Roman" w:eastAsia="宋体" w:cs="Times New Roman"/>
          <w:color w:val="auto"/>
          <w:szCs w:val="24"/>
        </w:rPr>
        <w:fldChar w:fldCharType="end"/>
      </w:r>
    </w:p>
    <w:p>
      <w:pPr>
        <w:pStyle w:val="16"/>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_Toc30462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28"/>
        </w:rPr>
        <w:t>1</w:t>
      </w:r>
      <w:r>
        <w:rPr>
          <w:rFonts w:hint="eastAsia" w:ascii="Times New Roman" w:hAnsi="Times New Roman" w:cs="Times New Roman"/>
          <w:color w:val="auto"/>
          <w:szCs w:val="28"/>
          <w:lang w:eastAsia="zh-CN"/>
        </w:rPr>
        <w:t>1</w:t>
      </w:r>
      <w:r>
        <w:rPr>
          <w:rFonts w:hint="default" w:ascii="Times New Roman" w:hAnsi="Times New Roman" w:cs="Times New Roman"/>
          <w:color w:val="auto"/>
          <w:szCs w:val="28"/>
        </w:rPr>
        <w:t>.1.5  环境管理检查结论</w:t>
      </w:r>
      <w:r>
        <w:rPr>
          <w:color w:val="auto"/>
        </w:rPr>
        <w:tab/>
      </w:r>
      <w:r>
        <w:rPr>
          <w:color w:val="auto"/>
        </w:rPr>
        <w:fldChar w:fldCharType="begin"/>
      </w:r>
      <w:r>
        <w:rPr>
          <w:color w:val="auto"/>
        </w:rPr>
        <w:instrText xml:space="preserve"> PAGEREF _Toc30462 </w:instrText>
      </w:r>
      <w:r>
        <w:rPr>
          <w:color w:val="auto"/>
        </w:rPr>
        <w:fldChar w:fldCharType="separate"/>
      </w:r>
      <w:r>
        <w:rPr>
          <w:color w:val="auto"/>
        </w:rPr>
        <w:t>53</w:t>
      </w:r>
      <w:r>
        <w:rPr>
          <w:color w:val="auto"/>
        </w:rPr>
        <w:fldChar w:fldCharType="end"/>
      </w:r>
      <w:r>
        <w:rPr>
          <w:rFonts w:ascii="Times New Roman" w:hAnsi="Times New Roman" w:eastAsia="宋体" w:cs="Times New Roman"/>
          <w:color w:val="auto"/>
          <w:szCs w:val="24"/>
        </w:rPr>
        <w:fldChar w:fldCharType="end"/>
      </w:r>
    </w:p>
    <w:p>
      <w:pPr>
        <w:pStyle w:val="23"/>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_Toc26063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24"/>
        </w:rPr>
        <w:t>1</w:t>
      </w:r>
      <w:r>
        <w:rPr>
          <w:rFonts w:hint="eastAsia" w:ascii="Times New Roman" w:hAnsi="Times New Roman" w:cs="Times New Roman"/>
          <w:color w:val="auto"/>
          <w:szCs w:val="24"/>
          <w:lang w:eastAsia="zh-CN"/>
        </w:rPr>
        <w:t>1</w:t>
      </w:r>
      <w:r>
        <w:rPr>
          <w:rFonts w:hint="default" w:ascii="Times New Roman" w:hAnsi="Times New Roman" w:cs="Times New Roman"/>
          <w:color w:val="auto"/>
          <w:szCs w:val="24"/>
        </w:rPr>
        <w:t>.2  总体结论</w:t>
      </w:r>
      <w:r>
        <w:rPr>
          <w:color w:val="auto"/>
        </w:rPr>
        <w:tab/>
      </w:r>
      <w:r>
        <w:rPr>
          <w:color w:val="auto"/>
        </w:rPr>
        <w:fldChar w:fldCharType="begin"/>
      </w:r>
      <w:r>
        <w:rPr>
          <w:color w:val="auto"/>
        </w:rPr>
        <w:instrText xml:space="preserve"> PAGEREF _Toc26063 </w:instrText>
      </w:r>
      <w:r>
        <w:rPr>
          <w:color w:val="auto"/>
        </w:rPr>
        <w:fldChar w:fldCharType="separate"/>
      </w:r>
      <w:r>
        <w:rPr>
          <w:color w:val="auto"/>
        </w:rPr>
        <w:t>54</w:t>
      </w:r>
      <w:r>
        <w:rPr>
          <w:color w:val="auto"/>
        </w:rPr>
        <w:fldChar w:fldCharType="end"/>
      </w:r>
      <w:r>
        <w:rPr>
          <w:rFonts w:ascii="Times New Roman" w:hAnsi="Times New Roman" w:eastAsia="宋体" w:cs="Times New Roman"/>
          <w:color w:val="auto"/>
          <w:szCs w:val="24"/>
        </w:rPr>
        <w:fldChar w:fldCharType="end"/>
      </w:r>
    </w:p>
    <w:p>
      <w:pPr>
        <w:pStyle w:val="23"/>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_Toc26605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24"/>
        </w:rPr>
        <w:t>1</w:t>
      </w:r>
      <w:r>
        <w:rPr>
          <w:rFonts w:hint="eastAsia" w:ascii="Times New Roman" w:hAnsi="Times New Roman" w:cs="Times New Roman"/>
          <w:color w:val="auto"/>
          <w:szCs w:val="24"/>
          <w:lang w:eastAsia="zh-CN"/>
        </w:rPr>
        <w:t>1</w:t>
      </w:r>
      <w:r>
        <w:rPr>
          <w:rFonts w:hint="default" w:ascii="Times New Roman" w:hAnsi="Times New Roman" w:cs="Times New Roman"/>
          <w:color w:val="auto"/>
          <w:szCs w:val="24"/>
        </w:rPr>
        <w:t>.3  改进措施</w:t>
      </w:r>
      <w:r>
        <w:rPr>
          <w:color w:val="auto"/>
        </w:rPr>
        <w:tab/>
      </w:r>
      <w:r>
        <w:rPr>
          <w:color w:val="auto"/>
        </w:rPr>
        <w:fldChar w:fldCharType="begin"/>
      </w:r>
      <w:r>
        <w:rPr>
          <w:color w:val="auto"/>
        </w:rPr>
        <w:instrText xml:space="preserve"> PAGEREF _Toc26605 </w:instrText>
      </w:r>
      <w:r>
        <w:rPr>
          <w:color w:val="auto"/>
        </w:rPr>
        <w:fldChar w:fldCharType="separate"/>
      </w:r>
      <w:r>
        <w:rPr>
          <w:color w:val="auto"/>
        </w:rPr>
        <w:t>54</w:t>
      </w:r>
      <w:r>
        <w:rPr>
          <w:color w:val="auto"/>
        </w:rPr>
        <w:fldChar w:fldCharType="end"/>
      </w:r>
      <w:r>
        <w:rPr>
          <w:rFonts w:ascii="Times New Roman" w:hAnsi="Times New Roman" w:eastAsia="宋体" w:cs="Times New Roman"/>
          <w:color w:val="auto"/>
          <w:szCs w:val="24"/>
        </w:rPr>
        <w:fldChar w:fldCharType="end"/>
      </w:r>
    </w:p>
    <w:p>
      <w:pPr>
        <w:pStyle w:val="22"/>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_Toc9222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24"/>
        </w:rPr>
        <w:t>附件1：环评批复</w:t>
      </w:r>
      <w:r>
        <w:rPr>
          <w:color w:val="auto"/>
        </w:rPr>
        <w:tab/>
      </w:r>
      <w:r>
        <w:rPr>
          <w:color w:val="auto"/>
        </w:rPr>
        <w:fldChar w:fldCharType="begin"/>
      </w:r>
      <w:r>
        <w:rPr>
          <w:color w:val="auto"/>
        </w:rPr>
        <w:instrText xml:space="preserve"> PAGEREF _Toc9222 </w:instrText>
      </w:r>
      <w:r>
        <w:rPr>
          <w:color w:val="auto"/>
        </w:rPr>
        <w:fldChar w:fldCharType="separate"/>
      </w:r>
      <w:r>
        <w:rPr>
          <w:color w:val="auto"/>
        </w:rPr>
        <w:t>55</w:t>
      </w:r>
      <w:r>
        <w:rPr>
          <w:color w:val="auto"/>
        </w:rPr>
        <w:fldChar w:fldCharType="end"/>
      </w:r>
      <w:r>
        <w:rPr>
          <w:rFonts w:ascii="Times New Roman" w:hAnsi="Times New Roman" w:eastAsia="宋体" w:cs="Times New Roman"/>
          <w:color w:val="auto"/>
          <w:szCs w:val="24"/>
        </w:rPr>
        <w:fldChar w:fldCharType="end"/>
      </w:r>
    </w:p>
    <w:p>
      <w:pPr>
        <w:pStyle w:val="22"/>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_Toc3582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24"/>
        </w:rPr>
        <w:t>附件2：营业执照</w:t>
      </w:r>
      <w:r>
        <w:rPr>
          <w:color w:val="auto"/>
        </w:rPr>
        <w:tab/>
      </w:r>
      <w:r>
        <w:rPr>
          <w:color w:val="auto"/>
        </w:rPr>
        <w:fldChar w:fldCharType="begin"/>
      </w:r>
      <w:r>
        <w:rPr>
          <w:color w:val="auto"/>
        </w:rPr>
        <w:instrText xml:space="preserve"> PAGEREF _Toc3582 </w:instrText>
      </w:r>
      <w:r>
        <w:rPr>
          <w:color w:val="auto"/>
        </w:rPr>
        <w:fldChar w:fldCharType="separate"/>
      </w:r>
      <w:r>
        <w:rPr>
          <w:color w:val="auto"/>
        </w:rPr>
        <w:t>60</w:t>
      </w:r>
      <w:r>
        <w:rPr>
          <w:color w:val="auto"/>
        </w:rPr>
        <w:fldChar w:fldCharType="end"/>
      </w:r>
      <w:r>
        <w:rPr>
          <w:rFonts w:ascii="Times New Roman" w:hAnsi="Times New Roman" w:eastAsia="宋体" w:cs="Times New Roman"/>
          <w:color w:val="auto"/>
          <w:szCs w:val="24"/>
        </w:rPr>
        <w:fldChar w:fldCharType="end"/>
      </w:r>
    </w:p>
    <w:p>
      <w:pPr>
        <w:pStyle w:val="22"/>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_Toc26050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24"/>
          <w:highlight w:val="none"/>
        </w:rPr>
        <w:t>附件3：排污许可证</w:t>
      </w:r>
      <w:r>
        <w:rPr>
          <w:color w:val="auto"/>
        </w:rPr>
        <w:tab/>
      </w:r>
      <w:r>
        <w:rPr>
          <w:color w:val="auto"/>
        </w:rPr>
        <w:fldChar w:fldCharType="begin"/>
      </w:r>
      <w:r>
        <w:rPr>
          <w:color w:val="auto"/>
        </w:rPr>
        <w:instrText xml:space="preserve"> PAGEREF _Toc26050 </w:instrText>
      </w:r>
      <w:r>
        <w:rPr>
          <w:color w:val="auto"/>
        </w:rPr>
        <w:fldChar w:fldCharType="separate"/>
      </w:r>
      <w:r>
        <w:rPr>
          <w:color w:val="auto"/>
        </w:rPr>
        <w:t>61</w:t>
      </w:r>
      <w:r>
        <w:rPr>
          <w:color w:val="auto"/>
        </w:rPr>
        <w:fldChar w:fldCharType="end"/>
      </w:r>
      <w:r>
        <w:rPr>
          <w:rFonts w:ascii="Times New Roman" w:hAnsi="Times New Roman" w:eastAsia="宋体" w:cs="Times New Roman"/>
          <w:color w:val="auto"/>
          <w:szCs w:val="24"/>
        </w:rPr>
        <w:fldChar w:fldCharType="end"/>
      </w:r>
    </w:p>
    <w:p>
      <w:pPr>
        <w:pStyle w:val="22"/>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_Toc3104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24"/>
          <w:highlight w:val="none"/>
        </w:rPr>
        <w:t>附件</w:t>
      </w:r>
      <w:r>
        <w:rPr>
          <w:rFonts w:ascii="Times New Roman" w:hAnsi="Times New Roman" w:cs="Times New Roman"/>
          <w:color w:val="auto"/>
          <w:szCs w:val="24"/>
          <w:highlight w:val="none"/>
        </w:rPr>
        <w:t>4</w:t>
      </w:r>
      <w:r>
        <w:rPr>
          <w:rFonts w:hint="default" w:ascii="Times New Roman" w:hAnsi="Times New Roman" w:cs="Times New Roman"/>
          <w:color w:val="auto"/>
          <w:szCs w:val="24"/>
          <w:highlight w:val="none"/>
        </w:rPr>
        <w:t>：监测报告</w:t>
      </w:r>
      <w:r>
        <w:rPr>
          <w:rFonts w:hint="default" w:ascii="Times New Roman" w:hAnsi="Times New Roman" w:cs="Times New Roman"/>
          <w:color w:val="auto"/>
          <w:szCs w:val="24"/>
          <w:highlight w:val="none"/>
          <w:lang w:val="en-US" w:eastAsia="zh-CN"/>
        </w:rPr>
        <w:t>及监测单位资质</w:t>
      </w:r>
      <w:r>
        <w:rPr>
          <w:color w:val="auto"/>
        </w:rPr>
        <w:tab/>
      </w:r>
      <w:r>
        <w:rPr>
          <w:color w:val="auto"/>
        </w:rPr>
        <w:fldChar w:fldCharType="begin"/>
      </w:r>
      <w:r>
        <w:rPr>
          <w:color w:val="auto"/>
        </w:rPr>
        <w:instrText xml:space="preserve"> PAGEREF _Toc3104 </w:instrText>
      </w:r>
      <w:r>
        <w:rPr>
          <w:color w:val="auto"/>
        </w:rPr>
        <w:fldChar w:fldCharType="separate"/>
      </w:r>
      <w:r>
        <w:rPr>
          <w:color w:val="auto"/>
        </w:rPr>
        <w:t>62</w:t>
      </w:r>
      <w:r>
        <w:rPr>
          <w:color w:val="auto"/>
        </w:rPr>
        <w:fldChar w:fldCharType="end"/>
      </w:r>
      <w:r>
        <w:rPr>
          <w:rFonts w:ascii="Times New Roman" w:hAnsi="Times New Roman" w:eastAsia="宋体" w:cs="Times New Roman"/>
          <w:color w:val="auto"/>
          <w:szCs w:val="24"/>
        </w:rPr>
        <w:fldChar w:fldCharType="end"/>
      </w:r>
    </w:p>
    <w:p>
      <w:pPr>
        <w:pStyle w:val="22"/>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_Toc1009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24"/>
          <w:lang w:val="en-US" w:eastAsia="zh-CN"/>
        </w:rPr>
        <w:t>附件5：危废处理协议（</w:t>
      </w:r>
      <w:r>
        <w:rPr>
          <w:rFonts w:hint="default" w:ascii="Times New Roman" w:hAnsi="Times New Roman" w:cs="Times New Roman"/>
          <w:color w:val="auto"/>
          <w:szCs w:val="24"/>
        </w:rPr>
        <w:t>废包装、废包装桶、实验室废试剂瓶</w:t>
      </w:r>
      <w:r>
        <w:rPr>
          <w:rFonts w:hint="default" w:ascii="Times New Roman" w:hAnsi="Times New Roman" w:cs="Times New Roman"/>
          <w:color w:val="auto"/>
          <w:szCs w:val="24"/>
          <w:lang w:val="en-US" w:eastAsia="zh-CN"/>
        </w:rPr>
        <w:t>）</w:t>
      </w:r>
      <w:r>
        <w:rPr>
          <w:color w:val="auto"/>
        </w:rPr>
        <w:tab/>
      </w:r>
      <w:r>
        <w:rPr>
          <w:color w:val="auto"/>
        </w:rPr>
        <w:fldChar w:fldCharType="begin"/>
      </w:r>
      <w:r>
        <w:rPr>
          <w:color w:val="auto"/>
        </w:rPr>
        <w:instrText xml:space="preserve"> PAGEREF _Toc1009 </w:instrText>
      </w:r>
      <w:r>
        <w:rPr>
          <w:color w:val="auto"/>
        </w:rPr>
        <w:fldChar w:fldCharType="separate"/>
      </w:r>
      <w:r>
        <w:rPr>
          <w:color w:val="auto"/>
        </w:rPr>
        <w:t>76</w:t>
      </w:r>
      <w:r>
        <w:rPr>
          <w:color w:val="auto"/>
        </w:rPr>
        <w:fldChar w:fldCharType="end"/>
      </w:r>
      <w:r>
        <w:rPr>
          <w:rFonts w:ascii="Times New Roman" w:hAnsi="Times New Roman" w:eastAsia="宋体" w:cs="Times New Roman"/>
          <w:color w:val="auto"/>
          <w:szCs w:val="24"/>
        </w:rPr>
        <w:fldChar w:fldCharType="end"/>
      </w:r>
    </w:p>
    <w:p>
      <w:pPr>
        <w:pStyle w:val="22"/>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_Toc16366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24"/>
          <w:lang w:val="en-US" w:eastAsia="zh-CN"/>
        </w:rPr>
        <w:t>附件6：危废处理协议（</w:t>
      </w:r>
      <w:r>
        <w:rPr>
          <w:rFonts w:hint="default" w:ascii="Times New Roman" w:hAnsi="Times New Roman" w:cs="Times New Roman"/>
          <w:color w:val="auto"/>
          <w:szCs w:val="24"/>
        </w:rPr>
        <w:t>废过滤渣及滤网</w:t>
      </w:r>
      <w:r>
        <w:rPr>
          <w:rFonts w:hint="default" w:ascii="Times New Roman" w:hAnsi="Times New Roman" w:cs="Times New Roman"/>
          <w:color w:val="auto"/>
          <w:szCs w:val="24"/>
          <w:lang w:val="en-US" w:eastAsia="zh-CN"/>
        </w:rPr>
        <w:t>）</w:t>
      </w:r>
      <w:r>
        <w:rPr>
          <w:color w:val="auto"/>
        </w:rPr>
        <w:tab/>
      </w:r>
      <w:r>
        <w:rPr>
          <w:color w:val="auto"/>
        </w:rPr>
        <w:fldChar w:fldCharType="begin"/>
      </w:r>
      <w:r>
        <w:rPr>
          <w:color w:val="auto"/>
        </w:rPr>
        <w:instrText xml:space="preserve"> PAGEREF _Toc16366 </w:instrText>
      </w:r>
      <w:r>
        <w:rPr>
          <w:color w:val="auto"/>
        </w:rPr>
        <w:fldChar w:fldCharType="separate"/>
      </w:r>
      <w:r>
        <w:rPr>
          <w:color w:val="auto"/>
        </w:rPr>
        <w:t>83</w:t>
      </w:r>
      <w:r>
        <w:rPr>
          <w:color w:val="auto"/>
        </w:rPr>
        <w:fldChar w:fldCharType="end"/>
      </w:r>
      <w:r>
        <w:rPr>
          <w:rFonts w:ascii="Times New Roman" w:hAnsi="Times New Roman" w:eastAsia="宋体" w:cs="Times New Roman"/>
          <w:color w:val="auto"/>
          <w:szCs w:val="24"/>
        </w:rPr>
        <w:fldChar w:fldCharType="end"/>
      </w:r>
    </w:p>
    <w:p>
      <w:pPr>
        <w:pStyle w:val="22"/>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_Toc13597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24"/>
          <w:lang w:val="en-US" w:eastAsia="zh-CN"/>
        </w:rPr>
        <w:t>附件7：危废处理协议（生化污泥）</w:t>
      </w:r>
      <w:r>
        <w:rPr>
          <w:color w:val="auto"/>
        </w:rPr>
        <w:tab/>
      </w:r>
      <w:r>
        <w:rPr>
          <w:color w:val="auto"/>
        </w:rPr>
        <w:fldChar w:fldCharType="begin"/>
      </w:r>
      <w:r>
        <w:rPr>
          <w:color w:val="auto"/>
        </w:rPr>
        <w:instrText xml:space="preserve"> PAGEREF _Toc13597 </w:instrText>
      </w:r>
      <w:r>
        <w:rPr>
          <w:color w:val="auto"/>
        </w:rPr>
        <w:fldChar w:fldCharType="separate"/>
      </w:r>
      <w:r>
        <w:rPr>
          <w:color w:val="auto"/>
        </w:rPr>
        <w:t>90</w:t>
      </w:r>
      <w:r>
        <w:rPr>
          <w:color w:val="auto"/>
        </w:rPr>
        <w:fldChar w:fldCharType="end"/>
      </w:r>
      <w:r>
        <w:rPr>
          <w:rFonts w:ascii="Times New Roman" w:hAnsi="Times New Roman" w:eastAsia="宋体" w:cs="Times New Roman"/>
          <w:color w:val="auto"/>
          <w:szCs w:val="24"/>
        </w:rPr>
        <w:fldChar w:fldCharType="end"/>
      </w:r>
    </w:p>
    <w:p>
      <w:pPr>
        <w:pStyle w:val="22"/>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_Toc24526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24"/>
          <w:lang w:val="en-US" w:eastAsia="zh-CN"/>
        </w:rPr>
        <w:t>附件8：危废贮存台账</w:t>
      </w:r>
      <w:r>
        <w:rPr>
          <w:color w:val="auto"/>
        </w:rPr>
        <w:tab/>
      </w:r>
      <w:r>
        <w:rPr>
          <w:color w:val="auto"/>
        </w:rPr>
        <w:fldChar w:fldCharType="begin"/>
      </w:r>
      <w:r>
        <w:rPr>
          <w:color w:val="auto"/>
        </w:rPr>
        <w:instrText xml:space="preserve"> PAGEREF _Toc24526 </w:instrText>
      </w:r>
      <w:r>
        <w:rPr>
          <w:color w:val="auto"/>
        </w:rPr>
        <w:fldChar w:fldCharType="separate"/>
      </w:r>
      <w:r>
        <w:rPr>
          <w:color w:val="auto"/>
        </w:rPr>
        <w:t>93</w:t>
      </w:r>
      <w:r>
        <w:rPr>
          <w:color w:val="auto"/>
        </w:rPr>
        <w:fldChar w:fldCharType="end"/>
      </w:r>
      <w:r>
        <w:rPr>
          <w:rFonts w:ascii="Times New Roman" w:hAnsi="Times New Roman" w:eastAsia="宋体" w:cs="Times New Roman"/>
          <w:color w:val="auto"/>
          <w:szCs w:val="24"/>
        </w:rPr>
        <w:fldChar w:fldCharType="end"/>
      </w:r>
    </w:p>
    <w:p>
      <w:pPr>
        <w:pStyle w:val="22"/>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_Toc28653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24"/>
          <w:lang w:val="en-US" w:eastAsia="zh-CN"/>
        </w:rPr>
        <w:t>附件9：应急预案备案表</w:t>
      </w:r>
      <w:r>
        <w:rPr>
          <w:color w:val="auto"/>
        </w:rPr>
        <w:tab/>
      </w:r>
      <w:r>
        <w:rPr>
          <w:color w:val="auto"/>
        </w:rPr>
        <w:fldChar w:fldCharType="begin"/>
      </w:r>
      <w:r>
        <w:rPr>
          <w:color w:val="auto"/>
        </w:rPr>
        <w:instrText xml:space="preserve"> PAGEREF _Toc28653 </w:instrText>
      </w:r>
      <w:r>
        <w:rPr>
          <w:color w:val="auto"/>
        </w:rPr>
        <w:fldChar w:fldCharType="separate"/>
      </w:r>
      <w:r>
        <w:rPr>
          <w:color w:val="auto"/>
        </w:rPr>
        <w:t>100</w:t>
      </w:r>
      <w:r>
        <w:rPr>
          <w:color w:val="auto"/>
        </w:rPr>
        <w:fldChar w:fldCharType="end"/>
      </w:r>
      <w:r>
        <w:rPr>
          <w:rFonts w:ascii="Times New Roman" w:hAnsi="Times New Roman" w:eastAsia="宋体" w:cs="Times New Roman"/>
          <w:color w:val="auto"/>
          <w:szCs w:val="24"/>
        </w:rPr>
        <w:fldChar w:fldCharType="end"/>
      </w:r>
    </w:p>
    <w:p>
      <w:pPr>
        <w:pStyle w:val="22"/>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_Toc16936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24"/>
        </w:rPr>
        <w:t>附件</w:t>
      </w:r>
      <w:r>
        <w:rPr>
          <w:rFonts w:hint="default" w:ascii="Times New Roman" w:hAnsi="Times New Roman" w:cs="Times New Roman"/>
          <w:color w:val="auto"/>
          <w:szCs w:val="24"/>
          <w:lang w:val="en-US" w:eastAsia="zh-CN"/>
        </w:rPr>
        <w:t>10</w:t>
      </w:r>
      <w:r>
        <w:rPr>
          <w:rFonts w:ascii="Times New Roman" w:hAnsi="Times New Roman" w:cs="Times New Roman"/>
          <w:color w:val="auto"/>
          <w:szCs w:val="24"/>
        </w:rPr>
        <w:t>：</w:t>
      </w:r>
      <w:r>
        <w:rPr>
          <w:rFonts w:hint="default" w:ascii="Times New Roman" w:hAnsi="Times New Roman" w:cs="Times New Roman"/>
          <w:color w:val="auto"/>
          <w:szCs w:val="24"/>
        </w:rPr>
        <w:t>自查报告</w:t>
      </w:r>
      <w:r>
        <w:rPr>
          <w:color w:val="auto"/>
        </w:rPr>
        <w:tab/>
      </w:r>
      <w:r>
        <w:rPr>
          <w:color w:val="auto"/>
        </w:rPr>
        <w:fldChar w:fldCharType="begin"/>
      </w:r>
      <w:r>
        <w:rPr>
          <w:color w:val="auto"/>
        </w:rPr>
        <w:instrText xml:space="preserve"> PAGEREF _Toc16936 </w:instrText>
      </w:r>
      <w:r>
        <w:rPr>
          <w:color w:val="auto"/>
        </w:rPr>
        <w:fldChar w:fldCharType="separate"/>
      </w:r>
      <w:r>
        <w:rPr>
          <w:color w:val="auto"/>
        </w:rPr>
        <w:t>102</w:t>
      </w:r>
      <w:r>
        <w:rPr>
          <w:color w:val="auto"/>
        </w:rPr>
        <w:fldChar w:fldCharType="end"/>
      </w:r>
      <w:r>
        <w:rPr>
          <w:rFonts w:ascii="Times New Roman" w:hAnsi="Times New Roman" w:eastAsia="宋体" w:cs="Times New Roman"/>
          <w:color w:val="auto"/>
          <w:szCs w:val="24"/>
        </w:rPr>
        <w:fldChar w:fldCharType="end"/>
      </w:r>
    </w:p>
    <w:p>
      <w:pPr>
        <w:pStyle w:val="22"/>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_Toc27170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24"/>
        </w:rPr>
        <w:t>附件</w:t>
      </w:r>
      <w:r>
        <w:rPr>
          <w:rFonts w:hint="default" w:ascii="Times New Roman" w:hAnsi="Times New Roman" w:cs="Times New Roman"/>
          <w:color w:val="auto"/>
          <w:szCs w:val="24"/>
          <w:lang w:eastAsia="zh-CN"/>
        </w:rPr>
        <w:t>1</w:t>
      </w:r>
      <w:r>
        <w:rPr>
          <w:rFonts w:hint="default" w:ascii="Times New Roman" w:hAnsi="Times New Roman" w:cs="Times New Roman"/>
          <w:color w:val="auto"/>
          <w:szCs w:val="24"/>
          <w:lang w:val="en-US" w:eastAsia="zh-CN"/>
        </w:rPr>
        <w:t>1</w:t>
      </w:r>
      <w:r>
        <w:rPr>
          <w:rFonts w:hint="default" w:ascii="Times New Roman" w:hAnsi="Times New Roman" w:cs="Times New Roman"/>
          <w:color w:val="auto"/>
          <w:szCs w:val="24"/>
        </w:rPr>
        <w:t>：建设项目竣工时间公示及调试起止日期公示</w:t>
      </w:r>
      <w:r>
        <w:rPr>
          <w:color w:val="auto"/>
        </w:rPr>
        <w:tab/>
      </w:r>
      <w:r>
        <w:rPr>
          <w:color w:val="auto"/>
        </w:rPr>
        <w:fldChar w:fldCharType="begin"/>
      </w:r>
      <w:r>
        <w:rPr>
          <w:color w:val="auto"/>
        </w:rPr>
        <w:instrText xml:space="preserve"> PAGEREF _Toc27170 </w:instrText>
      </w:r>
      <w:r>
        <w:rPr>
          <w:color w:val="auto"/>
        </w:rPr>
        <w:fldChar w:fldCharType="separate"/>
      </w:r>
      <w:r>
        <w:rPr>
          <w:color w:val="auto"/>
        </w:rPr>
        <w:t>107</w:t>
      </w:r>
      <w:r>
        <w:rPr>
          <w:color w:val="auto"/>
        </w:rPr>
        <w:fldChar w:fldCharType="end"/>
      </w:r>
      <w:r>
        <w:rPr>
          <w:rFonts w:ascii="Times New Roman" w:hAnsi="Times New Roman" w:eastAsia="宋体" w:cs="Times New Roman"/>
          <w:color w:val="auto"/>
          <w:szCs w:val="24"/>
        </w:rPr>
        <w:fldChar w:fldCharType="end"/>
      </w:r>
    </w:p>
    <w:p>
      <w:pPr>
        <w:pStyle w:val="22"/>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_Toc25313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24"/>
        </w:rPr>
        <w:t>附件</w:t>
      </w:r>
      <w:r>
        <w:rPr>
          <w:rFonts w:hint="default" w:ascii="Times New Roman" w:hAnsi="Times New Roman" w:cs="Times New Roman"/>
          <w:color w:val="auto"/>
          <w:szCs w:val="24"/>
          <w:lang w:val="en-US" w:eastAsia="zh-CN"/>
        </w:rPr>
        <w:t>12</w:t>
      </w:r>
      <w:r>
        <w:rPr>
          <w:rFonts w:ascii="Times New Roman" w:hAnsi="Times New Roman" w:cs="Times New Roman"/>
          <w:color w:val="auto"/>
          <w:szCs w:val="24"/>
        </w:rPr>
        <w:t>：</w:t>
      </w:r>
      <w:r>
        <w:rPr>
          <w:rFonts w:hint="default" w:ascii="Times New Roman" w:hAnsi="Times New Roman" w:cs="Times New Roman"/>
          <w:color w:val="auto"/>
          <w:szCs w:val="24"/>
          <w:lang w:val="en-US" w:eastAsia="zh-CN"/>
        </w:rPr>
        <w:t>其</w:t>
      </w:r>
      <w:r>
        <w:rPr>
          <w:rFonts w:hint="default" w:ascii="Times New Roman" w:hAnsi="Times New Roman" w:cs="Times New Roman"/>
          <w:color w:val="auto"/>
          <w:szCs w:val="24"/>
        </w:rPr>
        <w:t>他需要说明的事项</w:t>
      </w:r>
      <w:r>
        <w:rPr>
          <w:color w:val="auto"/>
        </w:rPr>
        <w:tab/>
      </w:r>
      <w:r>
        <w:rPr>
          <w:color w:val="auto"/>
        </w:rPr>
        <w:fldChar w:fldCharType="begin"/>
      </w:r>
      <w:r>
        <w:rPr>
          <w:color w:val="auto"/>
        </w:rPr>
        <w:instrText xml:space="preserve"> PAGEREF _Toc25313 </w:instrText>
      </w:r>
      <w:r>
        <w:rPr>
          <w:color w:val="auto"/>
        </w:rPr>
        <w:fldChar w:fldCharType="separate"/>
      </w:r>
      <w:r>
        <w:rPr>
          <w:color w:val="auto"/>
        </w:rPr>
        <w:t>109</w:t>
      </w:r>
      <w:r>
        <w:rPr>
          <w:color w:val="auto"/>
        </w:rPr>
        <w:fldChar w:fldCharType="end"/>
      </w:r>
      <w:r>
        <w:rPr>
          <w:rFonts w:ascii="Times New Roman" w:hAnsi="Times New Roman" w:eastAsia="宋体" w:cs="Times New Roman"/>
          <w:color w:val="auto"/>
          <w:szCs w:val="24"/>
        </w:rPr>
        <w:fldChar w:fldCharType="end"/>
      </w:r>
    </w:p>
    <w:p>
      <w:pPr>
        <w:pStyle w:val="22"/>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_Toc141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24"/>
        </w:rPr>
        <w:t>附件</w:t>
      </w:r>
      <w:r>
        <w:rPr>
          <w:rFonts w:hint="default" w:ascii="Times New Roman" w:hAnsi="Times New Roman" w:cs="Times New Roman"/>
          <w:color w:val="auto"/>
          <w:szCs w:val="24"/>
          <w:lang w:val="en-US" w:eastAsia="zh-CN"/>
        </w:rPr>
        <w:t>13</w:t>
      </w:r>
      <w:r>
        <w:rPr>
          <w:rFonts w:ascii="Times New Roman" w:hAnsi="Times New Roman" w:cs="Times New Roman"/>
          <w:color w:val="auto"/>
          <w:szCs w:val="24"/>
        </w:rPr>
        <w:t>：</w:t>
      </w:r>
      <w:r>
        <w:rPr>
          <w:rFonts w:hint="default" w:ascii="Times New Roman" w:hAnsi="Times New Roman" w:cs="Times New Roman"/>
          <w:color w:val="auto"/>
          <w:szCs w:val="24"/>
          <w:lang w:val="en-US" w:eastAsia="zh-CN"/>
        </w:rPr>
        <w:t>企业环保管理制度</w:t>
      </w:r>
      <w:r>
        <w:rPr>
          <w:color w:val="auto"/>
        </w:rPr>
        <w:tab/>
      </w:r>
      <w:r>
        <w:rPr>
          <w:color w:val="auto"/>
        </w:rPr>
        <w:fldChar w:fldCharType="begin"/>
      </w:r>
      <w:r>
        <w:rPr>
          <w:color w:val="auto"/>
        </w:rPr>
        <w:instrText xml:space="preserve"> PAGEREF _Toc141 </w:instrText>
      </w:r>
      <w:r>
        <w:rPr>
          <w:color w:val="auto"/>
        </w:rPr>
        <w:fldChar w:fldCharType="separate"/>
      </w:r>
      <w:r>
        <w:rPr>
          <w:color w:val="auto"/>
        </w:rPr>
        <w:t>111</w:t>
      </w:r>
      <w:r>
        <w:rPr>
          <w:color w:val="auto"/>
        </w:rPr>
        <w:fldChar w:fldCharType="end"/>
      </w:r>
      <w:r>
        <w:rPr>
          <w:rFonts w:ascii="Times New Roman" w:hAnsi="Times New Roman" w:eastAsia="宋体" w:cs="Times New Roman"/>
          <w:color w:val="auto"/>
          <w:szCs w:val="24"/>
        </w:rPr>
        <w:fldChar w:fldCharType="end"/>
      </w:r>
    </w:p>
    <w:p>
      <w:pPr>
        <w:pStyle w:val="22"/>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_Toc16901 </w:instrText>
      </w:r>
      <w:r>
        <w:rPr>
          <w:rFonts w:ascii="Times New Roman" w:hAnsi="Times New Roman" w:eastAsia="宋体" w:cs="Times New Roman"/>
          <w:color w:val="auto"/>
          <w:szCs w:val="24"/>
        </w:rPr>
        <w:fldChar w:fldCharType="separate"/>
      </w:r>
      <w:r>
        <w:rPr>
          <w:rFonts w:hint="default" w:ascii="Times New Roman" w:hAnsi="Times New Roman" w:cs="Times New Roman"/>
          <w:bCs/>
          <w:color w:val="auto"/>
          <w:szCs w:val="24"/>
        </w:rPr>
        <w:t>附图1</w:t>
      </w:r>
      <w:r>
        <w:rPr>
          <w:rFonts w:ascii="Times New Roman" w:hAnsi="Times New Roman" w:cs="Times New Roman"/>
          <w:bCs/>
          <w:color w:val="auto"/>
          <w:szCs w:val="24"/>
        </w:rPr>
        <w:t xml:space="preserve">  </w:t>
      </w:r>
      <w:r>
        <w:rPr>
          <w:rFonts w:hint="default" w:ascii="Times New Roman" w:hAnsi="Times New Roman" w:cs="Times New Roman"/>
          <w:bCs/>
          <w:color w:val="auto"/>
          <w:szCs w:val="24"/>
        </w:rPr>
        <w:t>项目地理位置图</w:t>
      </w:r>
      <w:r>
        <w:rPr>
          <w:color w:val="auto"/>
        </w:rPr>
        <w:tab/>
      </w:r>
      <w:r>
        <w:rPr>
          <w:color w:val="auto"/>
        </w:rPr>
        <w:fldChar w:fldCharType="begin"/>
      </w:r>
      <w:r>
        <w:rPr>
          <w:color w:val="auto"/>
        </w:rPr>
        <w:instrText xml:space="preserve"> PAGEREF _Toc16901 </w:instrText>
      </w:r>
      <w:r>
        <w:rPr>
          <w:color w:val="auto"/>
        </w:rPr>
        <w:fldChar w:fldCharType="separate"/>
      </w:r>
      <w:r>
        <w:rPr>
          <w:color w:val="auto"/>
        </w:rPr>
        <w:t>113</w:t>
      </w:r>
      <w:r>
        <w:rPr>
          <w:color w:val="auto"/>
        </w:rPr>
        <w:fldChar w:fldCharType="end"/>
      </w:r>
      <w:r>
        <w:rPr>
          <w:rFonts w:ascii="Times New Roman" w:hAnsi="Times New Roman" w:eastAsia="宋体" w:cs="Times New Roman"/>
          <w:color w:val="auto"/>
          <w:szCs w:val="24"/>
        </w:rPr>
        <w:fldChar w:fldCharType="end"/>
      </w:r>
    </w:p>
    <w:p>
      <w:pPr>
        <w:pStyle w:val="22"/>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_Toc22425 </w:instrText>
      </w:r>
      <w:r>
        <w:rPr>
          <w:rFonts w:ascii="Times New Roman" w:hAnsi="Times New Roman" w:eastAsia="宋体" w:cs="Times New Roman"/>
          <w:color w:val="auto"/>
          <w:szCs w:val="24"/>
        </w:rPr>
        <w:fldChar w:fldCharType="separate"/>
      </w:r>
      <w:r>
        <w:rPr>
          <w:rFonts w:hint="default" w:ascii="Times New Roman" w:hAnsi="Times New Roman" w:cs="Times New Roman"/>
          <w:bCs/>
          <w:color w:val="auto"/>
          <w:szCs w:val="24"/>
        </w:rPr>
        <w:t>附图</w:t>
      </w:r>
      <w:r>
        <w:rPr>
          <w:rFonts w:hint="default" w:ascii="Times New Roman" w:hAnsi="Times New Roman" w:cs="Times New Roman"/>
          <w:bCs/>
          <w:color w:val="auto"/>
          <w:szCs w:val="24"/>
          <w:lang w:val="en-US" w:eastAsia="zh-CN"/>
        </w:rPr>
        <w:t>3</w:t>
      </w:r>
      <w:r>
        <w:rPr>
          <w:rFonts w:ascii="Times New Roman" w:hAnsi="Times New Roman" w:cs="Times New Roman"/>
          <w:bCs/>
          <w:color w:val="auto"/>
          <w:szCs w:val="24"/>
        </w:rPr>
        <w:t xml:space="preserve">  </w:t>
      </w:r>
      <w:r>
        <w:rPr>
          <w:rFonts w:hint="default" w:ascii="Times New Roman" w:hAnsi="Times New Roman" w:cs="Times New Roman"/>
          <w:bCs/>
          <w:color w:val="auto"/>
          <w:szCs w:val="24"/>
        </w:rPr>
        <w:t>项目验收监测点位图</w:t>
      </w:r>
      <w:r>
        <w:rPr>
          <w:color w:val="auto"/>
        </w:rPr>
        <w:tab/>
      </w:r>
      <w:r>
        <w:rPr>
          <w:color w:val="auto"/>
        </w:rPr>
        <w:fldChar w:fldCharType="begin"/>
      </w:r>
      <w:r>
        <w:rPr>
          <w:color w:val="auto"/>
        </w:rPr>
        <w:instrText xml:space="preserve"> PAGEREF _Toc22425 </w:instrText>
      </w:r>
      <w:r>
        <w:rPr>
          <w:color w:val="auto"/>
        </w:rPr>
        <w:fldChar w:fldCharType="separate"/>
      </w:r>
      <w:r>
        <w:rPr>
          <w:color w:val="auto"/>
        </w:rPr>
        <w:t>115</w:t>
      </w:r>
      <w:r>
        <w:rPr>
          <w:color w:val="auto"/>
        </w:rPr>
        <w:fldChar w:fldCharType="end"/>
      </w:r>
      <w:r>
        <w:rPr>
          <w:rFonts w:ascii="Times New Roman" w:hAnsi="Times New Roman" w:eastAsia="宋体" w:cs="Times New Roman"/>
          <w:color w:val="auto"/>
          <w:szCs w:val="24"/>
        </w:rPr>
        <w:fldChar w:fldCharType="end"/>
      </w:r>
    </w:p>
    <w:p>
      <w:pPr>
        <w:pStyle w:val="22"/>
        <w:tabs>
          <w:tab w:val="right" w:leader="dot" w:pos="8306"/>
        </w:tabs>
        <w:rPr>
          <w:color w:val="auto"/>
        </w:rPr>
      </w:pPr>
      <w:r>
        <w:rPr>
          <w:rFonts w:ascii="Times New Roman" w:hAnsi="Times New Roman" w:eastAsia="宋体" w:cs="Times New Roman"/>
          <w:color w:val="auto"/>
          <w:szCs w:val="24"/>
        </w:rPr>
        <w:fldChar w:fldCharType="begin"/>
      </w:r>
      <w:r>
        <w:rPr>
          <w:rFonts w:ascii="Times New Roman" w:hAnsi="Times New Roman" w:eastAsia="宋体" w:cs="Times New Roman"/>
          <w:color w:val="auto"/>
          <w:szCs w:val="24"/>
        </w:rPr>
        <w:instrText xml:space="preserve"> HYPERLINK \l _Toc19604 </w:instrText>
      </w:r>
      <w:r>
        <w:rPr>
          <w:rFonts w:ascii="Times New Roman" w:hAnsi="Times New Roman" w:eastAsia="宋体" w:cs="Times New Roman"/>
          <w:color w:val="auto"/>
          <w:szCs w:val="24"/>
        </w:rPr>
        <w:fldChar w:fldCharType="separate"/>
      </w:r>
      <w:r>
        <w:rPr>
          <w:rFonts w:hint="default" w:ascii="Times New Roman" w:hAnsi="Times New Roman" w:cs="Times New Roman"/>
          <w:color w:val="auto"/>
          <w:szCs w:val="24"/>
        </w:rPr>
        <w:t>附图</w:t>
      </w:r>
      <w:r>
        <w:rPr>
          <w:rFonts w:hint="default" w:ascii="Times New Roman" w:hAnsi="Times New Roman" w:cs="Times New Roman"/>
          <w:color w:val="auto"/>
          <w:szCs w:val="24"/>
          <w:lang w:val="en-US" w:eastAsia="zh-CN"/>
        </w:rPr>
        <w:t>4</w:t>
      </w:r>
      <w:r>
        <w:rPr>
          <w:rFonts w:ascii="Times New Roman" w:hAnsi="Times New Roman" w:cs="Times New Roman"/>
          <w:color w:val="auto"/>
          <w:szCs w:val="24"/>
        </w:rPr>
        <w:t xml:space="preserve">  </w:t>
      </w:r>
      <w:r>
        <w:rPr>
          <w:rFonts w:hint="default" w:ascii="Times New Roman" w:hAnsi="Times New Roman" w:cs="Times New Roman"/>
          <w:color w:val="auto"/>
          <w:szCs w:val="24"/>
        </w:rPr>
        <w:t>项目现场照片图</w:t>
      </w:r>
      <w:r>
        <w:rPr>
          <w:color w:val="auto"/>
        </w:rPr>
        <w:tab/>
      </w:r>
      <w:r>
        <w:rPr>
          <w:color w:val="auto"/>
        </w:rPr>
        <w:fldChar w:fldCharType="begin"/>
      </w:r>
      <w:r>
        <w:rPr>
          <w:color w:val="auto"/>
        </w:rPr>
        <w:instrText xml:space="preserve"> PAGEREF _Toc19604 </w:instrText>
      </w:r>
      <w:r>
        <w:rPr>
          <w:color w:val="auto"/>
        </w:rPr>
        <w:fldChar w:fldCharType="separate"/>
      </w:r>
      <w:r>
        <w:rPr>
          <w:color w:val="auto"/>
        </w:rPr>
        <w:t>116</w:t>
      </w:r>
      <w:r>
        <w:rPr>
          <w:color w:val="auto"/>
        </w:rPr>
        <w:fldChar w:fldCharType="end"/>
      </w:r>
      <w:r>
        <w:rPr>
          <w:rFonts w:ascii="Times New Roman" w:hAnsi="Times New Roman" w:eastAsia="宋体" w:cs="Times New Roman"/>
          <w:color w:val="auto"/>
          <w:szCs w:val="24"/>
        </w:rPr>
        <w:fldChar w:fldCharType="end"/>
      </w:r>
    </w:p>
    <w:p>
      <w:pPr>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fldChar w:fldCharType="end"/>
      </w:r>
    </w:p>
    <w:p>
      <w:pPr>
        <w:rPr>
          <w:rFonts w:ascii="Times New Roman" w:hAnsi="Times New Roman" w:cs="Times New Roman"/>
          <w:color w:val="auto"/>
          <w:sz w:val="24"/>
          <w:szCs w:val="24"/>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9"/>
        <w:ind w:firstLine="5320" w:firstLineChars="1900"/>
        <w:rPr>
          <w:rFonts w:hint="eastAsia"/>
          <w:lang w:val="en-US" w:eastAsia="zh-CN"/>
        </w:rPr>
      </w:pPr>
      <w:r>
        <w:rPr>
          <w:rFonts w:hint="eastAsia" w:ascii="宋体" w:hAnsi="宋体" w:eastAsia="宋体" w:cs="宋体"/>
          <w:lang w:val="en-US" w:eastAsia="zh-CN"/>
        </w:rPr>
        <w:t>专家意见及整改落实情况一览表</w:t>
      </w:r>
    </w:p>
    <w:tbl>
      <w:tblPr>
        <w:tblStyle w:val="29"/>
        <w:tblW w:w="1487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26"/>
        <w:gridCol w:w="4904"/>
        <w:gridCol w:w="6841"/>
        <w:gridCol w:w="18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6" w:type="dxa"/>
            <w:noWrap w:val="0"/>
            <w:vAlign w:val="top"/>
          </w:tcPr>
          <w:p>
            <w:pPr>
              <w:rPr>
                <w:rFonts w:hint="default"/>
                <w:sz w:val="21"/>
                <w:szCs w:val="21"/>
                <w:vertAlign w:val="baseline"/>
                <w:lang w:val="en-US" w:eastAsia="zh-CN"/>
              </w:rPr>
            </w:pPr>
            <w:r>
              <w:rPr>
                <w:rFonts w:hint="eastAsia"/>
                <w:sz w:val="21"/>
                <w:szCs w:val="21"/>
                <w:vertAlign w:val="baseline"/>
                <w:lang w:val="en-US" w:eastAsia="zh-CN"/>
              </w:rPr>
              <w:t>序号</w:t>
            </w:r>
          </w:p>
        </w:tc>
        <w:tc>
          <w:tcPr>
            <w:tcW w:w="4904" w:type="dxa"/>
            <w:noWrap w:val="0"/>
            <w:vAlign w:val="top"/>
          </w:tcPr>
          <w:p>
            <w:pPr>
              <w:ind w:firstLine="2100" w:firstLineChars="1000"/>
              <w:rPr>
                <w:rFonts w:hint="default"/>
                <w:sz w:val="21"/>
                <w:szCs w:val="21"/>
                <w:vertAlign w:val="baseline"/>
                <w:lang w:val="en-US" w:eastAsia="zh-CN"/>
              </w:rPr>
            </w:pPr>
            <w:r>
              <w:rPr>
                <w:rFonts w:hint="eastAsia"/>
                <w:sz w:val="21"/>
                <w:szCs w:val="21"/>
                <w:vertAlign w:val="baseline"/>
                <w:lang w:val="en-US" w:eastAsia="zh-CN"/>
              </w:rPr>
              <w:t>专家意见</w:t>
            </w:r>
          </w:p>
        </w:tc>
        <w:tc>
          <w:tcPr>
            <w:tcW w:w="6841" w:type="dxa"/>
            <w:noWrap w:val="0"/>
            <w:vAlign w:val="top"/>
          </w:tcPr>
          <w:p>
            <w:pPr>
              <w:ind w:firstLine="1260" w:firstLineChars="600"/>
              <w:rPr>
                <w:rFonts w:hint="default"/>
                <w:sz w:val="21"/>
                <w:szCs w:val="21"/>
                <w:vertAlign w:val="baseline"/>
                <w:lang w:val="en-US" w:eastAsia="zh-CN"/>
              </w:rPr>
            </w:pPr>
            <w:r>
              <w:rPr>
                <w:rFonts w:hint="eastAsia"/>
                <w:sz w:val="21"/>
                <w:szCs w:val="21"/>
                <w:vertAlign w:val="baseline"/>
                <w:lang w:val="en-US" w:eastAsia="zh-CN"/>
              </w:rPr>
              <w:t>落实整改情况</w:t>
            </w:r>
          </w:p>
        </w:tc>
        <w:tc>
          <w:tcPr>
            <w:tcW w:w="1800" w:type="dxa"/>
            <w:noWrap w:val="0"/>
            <w:vAlign w:val="top"/>
          </w:tcPr>
          <w:p>
            <w:pPr>
              <w:ind w:firstLine="630" w:firstLineChars="300"/>
              <w:rPr>
                <w:rFonts w:hint="default"/>
                <w:sz w:val="21"/>
                <w:szCs w:val="21"/>
                <w:vertAlign w:val="baseline"/>
                <w:lang w:val="en-US" w:eastAsia="zh-CN"/>
              </w:rPr>
            </w:pPr>
            <w:r>
              <w:rPr>
                <w:rFonts w:hint="eastAsia"/>
                <w:sz w:val="21"/>
                <w:szCs w:val="21"/>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0" w:hRule="atLeast"/>
        </w:trPr>
        <w:tc>
          <w:tcPr>
            <w:tcW w:w="1326" w:type="dxa"/>
            <w:noWrap w:val="0"/>
            <w:vAlign w:val="top"/>
          </w:tcPr>
          <w:p>
            <w:pPr>
              <w:rPr>
                <w:rFonts w:hint="default"/>
                <w:sz w:val="21"/>
                <w:szCs w:val="21"/>
                <w:vertAlign w:val="baseline"/>
                <w:lang w:val="en-US" w:eastAsia="zh-CN"/>
              </w:rPr>
            </w:pPr>
            <w:r>
              <w:rPr>
                <w:rFonts w:hint="eastAsia"/>
                <w:sz w:val="21"/>
                <w:szCs w:val="21"/>
                <w:vertAlign w:val="baseline"/>
                <w:lang w:val="en-US" w:eastAsia="zh-CN"/>
              </w:rPr>
              <w:t>1</w:t>
            </w:r>
          </w:p>
        </w:tc>
        <w:tc>
          <w:tcPr>
            <w:tcW w:w="4904" w:type="dxa"/>
            <w:noWrap w:val="0"/>
            <w:vAlign w:val="top"/>
          </w:tcPr>
          <w:p>
            <w:pPr>
              <w:pStyle w:val="12"/>
              <w:ind w:firstLine="420"/>
              <w:rPr>
                <w:rFonts w:hint="default"/>
                <w:sz w:val="21"/>
                <w:szCs w:val="21"/>
                <w:highlight w:val="none"/>
                <w:vertAlign w:val="baseline"/>
                <w:lang w:val="en-US" w:eastAsia="zh-CN"/>
              </w:rPr>
            </w:pPr>
            <w:r>
              <w:rPr>
                <w:rFonts w:hint="eastAsia"/>
                <w:sz w:val="21"/>
                <w:szCs w:val="21"/>
                <w:highlight w:val="none"/>
                <w:vertAlign w:val="baseline"/>
                <w:lang w:val="en-US" w:eastAsia="zh-CN"/>
              </w:rPr>
              <w:t>环境保护设施中废气处理设施中没有UV光解装置，建议将UV光解变更为活性炭吸附，以达到污染物去除目的。污水处理站建议增加生物除臭装置。</w:t>
            </w:r>
          </w:p>
        </w:tc>
        <w:tc>
          <w:tcPr>
            <w:tcW w:w="6841" w:type="dxa"/>
            <w:noWrap w:val="0"/>
            <w:vAlign w:val="top"/>
          </w:tcPr>
          <w:p>
            <w:pPr>
              <w:ind w:left="0" w:leftChars="0" w:firstLine="0" w:firstLineChars="0"/>
              <w:rPr>
                <w:rFonts w:hint="default" w:eastAsiaTheme="minorEastAsia"/>
                <w:sz w:val="21"/>
                <w:szCs w:val="21"/>
                <w:vertAlign w:val="baseline"/>
                <w:lang w:val="en-US" w:eastAsia="zh-CN"/>
              </w:rPr>
            </w:pPr>
            <w:r>
              <w:rPr>
                <w:rFonts w:hint="eastAsia"/>
                <w:sz w:val="21"/>
                <w:szCs w:val="21"/>
                <w:vertAlign w:val="baseline"/>
                <w:lang w:val="en-US" w:eastAsia="zh-CN"/>
              </w:rPr>
              <w:t>2022年11月，工艺废气处理流程由</w:t>
            </w:r>
            <w:r>
              <w:rPr>
                <w:rFonts w:hint="default" w:ascii="Times New Roman" w:hAnsi="Times New Roman" w:cs="Times New Roman"/>
                <w:color w:val="auto"/>
                <w:kern w:val="0"/>
                <w:szCs w:val="21"/>
              </w:rPr>
              <w:t>“强制冷凝+水吸收+</w:t>
            </w:r>
            <w:r>
              <w:rPr>
                <w:rFonts w:hint="eastAsia" w:ascii="Times New Roman" w:hAnsi="Times New Roman" w:cs="Times New Roman"/>
                <w:color w:val="auto"/>
                <w:kern w:val="0"/>
                <w:szCs w:val="21"/>
                <w:lang w:val="en-US" w:eastAsia="zh-CN"/>
              </w:rPr>
              <w:t>水</w:t>
            </w:r>
            <w:r>
              <w:rPr>
                <w:rFonts w:hint="default" w:ascii="Times New Roman" w:hAnsi="Times New Roman" w:cs="Times New Roman"/>
                <w:color w:val="auto"/>
                <w:kern w:val="0"/>
                <w:szCs w:val="21"/>
              </w:rPr>
              <w:t>吸收+</w:t>
            </w:r>
            <w:r>
              <w:rPr>
                <w:rFonts w:hint="eastAsia" w:ascii="Times New Roman" w:hAnsi="Times New Roman" w:cs="Times New Roman"/>
                <w:color w:val="auto"/>
                <w:kern w:val="0"/>
                <w:szCs w:val="21"/>
                <w:lang w:val="en-US" w:eastAsia="zh-CN"/>
              </w:rPr>
              <w:t>酸</w:t>
            </w:r>
            <w:r>
              <w:rPr>
                <w:rFonts w:hint="default" w:ascii="Times New Roman" w:hAnsi="Times New Roman" w:cs="Times New Roman"/>
                <w:color w:val="auto"/>
                <w:kern w:val="0"/>
                <w:szCs w:val="21"/>
              </w:rPr>
              <w:t>吸收+除雾板排气筒</w:t>
            </w:r>
            <w:r>
              <w:rPr>
                <w:rFonts w:hint="eastAsia" w:ascii="Times New Roman" w:hAnsi="Times New Roman" w:cs="Times New Roman"/>
                <w:color w:val="auto"/>
                <w:kern w:val="0"/>
                <w:szCs w:val="21"/>
                <w:lang w:eastAsia="zh-CN"/>
              </w:rPr>
              <w:t>”</w:t>
            </w:r>
            <w:r>
              <w:rPr>
                <w:rFonts w:hint="eastAsia" w:ascii="Times New Roman" w:hAnsi="Times New Roman" w:cs="Times New Roman"/>
                <w:color w:val="auto"/>
                <w:kern w:val="0"/>
                <w:szCs w:val="21"/>
                <w:lang w:val="en-US" w:eastAsia="zh-CN"/>
              </w:rPr>
              <w:t>变为“</w:t>
            </w:r>
            <w:r>
              <w:rPr>
                <w:rFonts w:hint="default" w:ascii="Times New Roman" w:hAnsi="Times New Roman" w:cs="Times New Roman"/>
                <w:color w:val="auto"/>
                <w:kern w:val="0"/>
                <w:szCs w:val="21"/>
              </w:rPr>
              <w:t>强制冷凝+水吸收+</w:t>
            </w:r>
            <w:r>
              <w:rPr>
                <w:rFonts w:hint="eastAsia" w:ascii="Times New Roman" w:hAnsi="Times New Roman" w:cs="Times New Roman"/>
                <w:color w:val="auto"/>
                <w:kern w:val="0"/>
                <w:szCs w:val="21"/>
                <w:lang w:val="en-US" w:eastAsia="zh-CN"/>
              </w:rPr>
              <w:t>酸</w:t>
            </w:r>
            <w:r>
              <w:rPr>
                <w:rFonts w:hint="default" w:ascii="Times New Roman" w:hAnsi="Times New Roman" w:cs="Times New Roman"/>
                <w:color w:val="auto"/>
                <w:kern w:val="0"/>
                <w:szCs w:val="21"/>
              </w:rPr>
              <w:t>吸收+</w:t>
            </w:r>
            <w:r>
              <w:rPr>
                <w:rFonts w:hint="eastAsia" w:ascii="Times New Roman" w:hAnsi="Times New Roman" w:cs="Times New Roman"/>
                <w:color w:val="auto"/>
                <w:kern w:val="0"/>
                <w:szCs w:val="21"/>
                <w:lang w:val="en-US" w:eastAsia="zh-CN"/>
              </w:rPr>
              <w:t>酸</w:t>
            </w:r>
            <w:r>
              <w:rPr>
                <w:rFonts w:hint="default" w:ascii="Times New Roman" w:hAnsi="Times New Roman" w:cs="Times New Roman"/>
                <w:color w:val="auto"/>
                <w:kern w:val="0"/>
                <w:szCs w:val="21"/>
              </w:rPr>
              <w:t>吸收+</w:t>
            </w:r>
            <w:r>
              <w:rPr>
                <w:rFonts w:hint="eastAsia" w:ascii="Times New Roman" w:hAnsi="Times New Roman" w:cs="Times New Roman"/>
                <w:color w:val="auto"/>
                <w:kern w:val="0"/>
                <w:szCs w:val="21"/>
                <w:lang w:val="en-US" w:eastAsia="zh-CN"/>
              </w:rPr>
              <w:t>酸吸收+</w:t>
            </w:r>
            <w:r>
              <w:rPr>
                <w:rFonts w:hint="default" w:ascii="Times New Roman" w:hAnsi="Times New Roman" w:cs="Times New Roman"/>
                <w:color w:val="auto"/>
                <w:kern w:val="0"/>
                <w:szCs w:val="21"/>
              </w:rPr>
              <w:t>除雾板+</w:t>
            </w:r>
            <w:r>
              <w:rPr>
                <w:rFonts w:hint="eastAsia" w:ascii="Times New Roman" w:hAnsi="Times New Roman" w:cs="Times New Roman"/>
                <w:color w:val="auto"/>
                <w:kern w:val="0"/>
                <w:szCs w:val="21"/>
                <w:lang w:val="en-US" w:eastAsia="zh-CN"/>
              </w:rPr>
              <w:t>活性炭吸附+</w:t>
            </w:r>
            <w:r>
              <w:rPr>
                <w:rFonts w:hint="default" w:ascii="Times New Roman" w:hAnsi="Times New Roman" w:cs="Times New Roman"/>
                <w:color w:val="auto"/>
                <w:kern w:val="0"/>
                <w:szCs w:val="21"/>
              </w:rPr>
              <w:t>排气筒</w:t>
            </w:r>
            <w:r>
              <w:rPr>
                <w:rFonts w:hint="eastAsia" w:ascii="Times New Roman" w:hAnsi="Times New Roman" w:cs="Times New Roman"/>
                <w:color w:val="auto"/>
                <w:kern w:val="0"/>
                <w:szCs w:val="21"/>
                <w:lang w:eastAsia="zh-CN"/>
              </w:rPr>
              <w:t>”，</w:t>
            </w:r>
            <w:r>
              <w:rPr>
                <w:rFonts w:hint="eastAsia" w:ascii="Times New Roman" w:hAnsi="Times New Roman" w:cs="Times New Roman"/>
                <w:color w:val="auto"/>
                <w:kern w:val="0"/>
                <w:szCs w:val="21"/>
                <w:lang w:val="en-US" w:eastAsia="zh-CN"/>
              </w:rPr>
              <w:t>增加了活性炭吸附装置。挥发性有机物处理效率可达到93%左右，能够实现稳定达标排放。在废水处理站废气处理设施中增加生物除臭装置，工艺流程为水吸收+酸吸收+生物除臭，氨气、硫化氢等恶臭气体能够实现达标排放。</w:t>
            </w:r>
          </w:p>
        </w:tc>
        <w:tc>
          <w:tcPr>
            <w:tcW w:w="1800" w:type="dxa"/>
            <w:noWrap w:val="0"/>
            <w:vAlign w:val="top"/>
          </w:tcPr>
          <w:p>
            <w:pPr>
              <w:rPr>
                <w:rFonts w:hint="default"/>
                <w:sz w:val="21"/>
                <w:szCs w:val="21"/>
                <w:vertAlign w:val="baseline"/>
                <w:lang w:val="en-US" w:eastAsia="zh-CN"/>
              </w:rPr>
            </w:pPr>
            <w:r>
              <w:rPr>
                <w:rFonts w:hint="eastAsia"/>
                <w:sz w:val="21"/>
                <w:szCs w:val="21"/>
                <w:vertAlign w:val="baseline"/>
                <w:lang w:val="en-US" w:eastAsia="zh-CN"/>
              </w:rPr>
              <w:t>见第6页表3.2-2环评内容与实际内容建设一览表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6" w:type="dxa"/>
            <w:noWrap w:val="0"/>
            <w:vAlign w:val="top"/>
          </w:tcPr>
          <w:p>
            <w:pPr>
              <w:rPr>
                <w:rFonts w:hint="default"/>
                <w:sz w:val="21"/>
                <w:szCs w:val="21"/>
                <w:vertAlign w:val="baseline"/>
                <w:lang w:val="en-US" w:eastAsia="zh-CN"/>
              </w:rPr>
            </w:pPr>
            <w:r>
              <w:rPr>
                <w:rFonts w:hint="eastAsia"/>
                <w:sz w:val="21"/>
                <w:szCs w:val="21"/>
                <w:vertAlign w:val="baseline"/>
                <w:lang w:val="en-US" w:eastAsia="zh-CN"/>
              </w:rPr>
              <w:t>2</w:t>
            </w:r>
          </w:p>
        </w:tc>
        <w:tc>
          <w:tcPr>
            <w:tcW w:w="4904" w:type="dxa"/>
            <w:noWrap w:val="0"/>
            <w:vAlign w:val="top"/>
          </w:tcPr>
          <w:p>
            <w:pPr>
              <w:rPr>
                <w:rFonts w:hint="default"/>
                <w:sz w:val="21"/>
                <w:szCs w:val="21"/>
                <w:highlight w:val="none"/>
                <w:vertAlign w:val="baseline"/>
                <w:lang w:val="en-US" w:eastAsia="zh-CN"/>
              </w:rPr>
            </w:pPr>
            <w:r>
              <w:rPr>
                <w:rFonts w:hint="eastAsia"/>
                <w:sz w:val="21"/>
                <w:szCs w:val="21"/>
                <w:highlight w:val="none"/>
                <w:lang w:val="en-US" w:eastAsia="zh-CN"/>
              </w:rPr>
              <w:t>补充环境保护处理设施的处理效率。</w:t>
            </w:r>
          </w:p>
        </w:tc>
        <w:tc>
          <w:tcPr>
            <w:tcW w:w="6841" w:type="dxa"/>
            <w:noWrap w:val="0"/>
            <w:vAlign w:val="top"/>
          </w:tcPr>
          <w:p>
            <w:pPr>
              <w:rPr>
                <w:rFonts w:hint="default"/>
                <w:sz w:val="21"/>
                <w:szCs w:val="21"/>
                <w:vertAlign w:val="baseline"/>
                <w:lang w:val="en-US" w:eastAsia="zh-CN"/>
              </w:rPr>
            </w:pPr>
            <w:r>
              <w:rPr>
                <w:rFonts w:hint="eastAsia"/>
                <w:sz w:val="21"/>
                <w:szCs w:val="21"/>
                <w:vertAlign w:val="baseline"/>
                <w:lang w:val="en-US" w:eastAsia="zh-CN"/>
              </w:rPr>
              <w:t>根据验收监测结果，已在验收监测报告中第九章第二节设施处理效率中分别对废水、废气环境保护处理设施处理效率进行说明。</w:t>
            </w:r>
          </w:p>
        </w:tc>
        <w:tc>
          <w:tcPr>
            <w:tcW w:w="1800" w:type="dxa"/>
            <w:noWrap w:val="0"/>
            <w:vAlign w:val="top"/>
          </w:tcPr>
          <w:p>
            <w:pPr>
              <w:rPr>
                <w:rFonts w:hint="default"/>
                <w:sz w:val="21"/>
                <w:szCs w:val="21"/>
                <w:vertAlign w:val="baseline"/>
                <w:lang w:val="en-US" w:eastAsia="zh-CN"/>
              </w:rPr>
            </w:pPr>
            <w:r>
              <w:rPr>
                <w:rFonts w:hint="eastAsia"/>
                <w:sz w:val="21"/>
                <w:szCs w:val="21"/>
                <w:vertAlign w:val="baseline"/>
                <w:lang w:val="en-US" w:eastAsia="zh-CN"/>
              </w:rPr>
              <w:t>见第42页9.2条款环保设施调试运行效果。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6" w:type="dxa"/>
            <w:noWrap w:val="0"/>
            <w:vAlign w:val="top"/>
          </w:tcPr>
          <w:p>
            <w:pPr>
              <w:rPr>
                <w:rFonts w:hint="default"/>
                <w:sz w:val="21"/>
                <w:szCs w:val="21"/>
                <w:vertAlign w:val="baseline"/>
                <w:lang w:val="en-US" w:eastAsia="zh-CN"/>
              </w:rPr>
            </w:pPr>
            <w:r>
              <w:rPr>
                <w:rFonts w:hint="eastAsia"/>
                <w:sz w:val="21"/>
                <w:szCs w:val="21"/>
                <w:vertAlign w:val="baseline"/>
                <w:lang w:val="en-US" w:eastAsia="zh-CN"/>
              </w:rPr>
              <w:t>3</w:t>
            </w:r>
          </w:p>
        </w:tc>
        <w:tc>
          <w:tcPr>
            <w:tcW w:w="4904" w:type="dxa"/>
            <w:noWrap w:val="0"/>
            <w:vAlign w:val="top"/>
          </w:tcPr>
          <w:p>
            <w:pPr>
              <w:rPr>
                <w:rFonts w:hint="default"/>
                <w:sz w:val="21"/>
                <w:szCs w:val="21"/>
                <w:highlight w:val="none"/>
                <w:vertAlign w:val="baseline"/>
                <w:lang w:val="en-US" w:eastAsia="zh-CN"/>
              </w:rPr>
            </w:pPr>
            <w:r>
              <w:rPr>
                <w:rFonts w:hint="eastAsia"/>
                <w:sz w:val="21"/>
                <w:szCs w:val="21"/>
                <w:highlight w:val="none"/>
                <w:lang w:val="en-US" w:eastAsia="zh-CN"/>
              </w:rPr>
              <w:t>补充项目对周边环境的影响。</w:t>
            </w:r>
          </w:p>
        </w:tc>
        <w:tc>
          <w:tcPr>
            <w:tcW w:w="6841" w:type="dxa"/>
            <w:noWrap w:val="0"/>
            <w:vAlign w:val="top"/>
          </w:tcPr>
          <w:p>
            <w:pPr>
              <w:rPr>
                <w:rFonts w:hint="default"/>
                <w:sz w:val="21"/>
                <w:szCs w:val="21"/>
                <w:vertAlign w:val="baseline"/>
                <w:lang w:val="en-US" w:eastAsia="zh-CN"/>
              </w:rPr>
            </w:pPr>
            <w:r>
              <w:rPr>
                <w:rFonts w:hint="eastAsia"/>
                <w:sz w:val="21"/>
                <w:szCs w:val="21"/>
                <w:vertAlign w:val="baseline"/>
                <w:lang w:val="en-US" w:eastAsia="zh-CN"/>
              </w:rPr>
              <w:t>已在验收监测报告中第十章补充了项目对周边环境影响说明。</w:t>
            </w:r>
          </w:p>
        </w:tc>
        <w:tc>
          <w:tcPr>
            <w:tcW w:w="1800" w:type="dxa"/>
            <w:noWrap w:val="0"/>
            <w:vAlign w:val="top"/>
          </w:tcPr>
          <w:p>
            <w:pPr>
              <w:rPr>
                <w:rFonts w:hint="default"/>
                <w:sz w:val="21"/>
                <w:szCs w:val="21"/>
                <w:vertAlign w:val="baseline"/>
                <w:lang w:val="en-US" w:eastAsia="zh-CN"/>
              </w:rPr>
            </w:pPr>
            <w:r>
              <w:rPr>
                <w:rFonts w:hint="eastAsia"/>
                <w:sz w:val="21"/>
                <w:szCs w:val="21"/>
                <w:vertAlign w:val="baseline"/>
                <w:lang w:val="en-US" w:eastAsia="zh-CN"/>
              </w:rPr>
              <w:t>见第51页10.2工程对周边环境影响。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6" w:type="dxa"/>
            <w:noWrap w:val="0"/>
            <w:vAlign w:val="top"/>
          </w:tcPr>
          <w:p>
            <w:pPr>
              <w:rPr>
                <w:rFonts w:hint="default"/>
                <w:sz w:val="21"/>
                <w:szCs w:val="21"/>
                <w:vertAlign w:val="baseline"/>
                <w:lang w:val="en-US" w:eastAsia="zh-CN"/>
              </w:rPr>
            </w:pPr>
            <w:r>
              <w:rPr>
                <w:rFonts w:hint="eastAsia"/>
                <w:sz w:val="21"/>
                <w:szCs w:val="21"/>
                <w:vertAlign w:val="baseline"/>
                <w:lang w:val="en-US" w:eastAsia="zh-CN"/>
              </w:rPr>
              <w:t>4</w:t>
            </w:r>
          </w:p>
        </w:tc>
        <w:tc>
          <w:tcPr>
            <w:tcW w:w="4904" w:type="dxa"/>
            <w:noWrap w:val="0"/>
            <w:vAlign w:val="top"/>
          </w:tcPr>
          <w:p>
            <w:pPr>
              <w:pStyle w:val="12"/>
              <w:rPr>
                <w:rFonts w:hint="default"/>
                <w:sz w:val="21"/>
                <w:szCs w:val="21"/>
                <w:highlight w:val="none"/>
                <w:vertAlign w:val="baseline"/>
                <w:lang w:val="en-US" w:eastAsia="zh-CN"/>
              </w:rPr>
            </w:pPr>
            <w:r>
              <w:rPr>
                <w:rFonts w:hint="eastAsia"/>
                <w:sz w:val="21"/>
                <w:szCs w:val="21"/>
                <w:highlight w:val="none"/>
                <w:lang w:val="en-US" w:eastAsia="zh-CN"/>
              </w:rPr>
              <w:t>补充食堂油烟和实验室废气监测情况。</w:t>
            </w:r>
          </w:p>
        </w:tc>
        <w:tc>
          <w:tcPr>
            <w:tcW w:w="6841" w:type="dxa"/>
            <w:noWrap w:val="0"/>
            <w:vAlign w:val="top"/>
          </w:tcPr>
          <w:p>
            <w:pPr>
              <w:rPr>
                <w:rFonts w:hint="default"/>
                <w:sz w:val="21"/>
                <w:szCs w:val="21"/>
                <w:vertAlign w:val="baseline"/>
                <w:lang w:val="en-US" w:eastAsia="zh-CN"/>
              </w:rPr>
            </w:pPr>
            <w:r>
              <w:rPr>
                <w:rFonts w:hint="eastAsia"/>
                <w:sz w:val="21"/>
                <w:szCs w:val="21"/>
                <w:vertAlign w:val="baseline"/>
                <w:lang w:val="en-US" w:eastAsia="zh-CN"/>
              </w:rPr>
              <w:t>已于2022年11月9日至10日对食堂油烟和实验室废气进行补充监测，根据监测结果，在监测报告中对食堂油烟和实验室废气排放情况进行了评价。</w:t>
            </w:r>
          </w:p>
        </w:tc>
        <w:tc>
          <w:tcPr>
            <w:tcW w:w="1800" w:type="dxa"/>
            <w:noWrap w:val="0"/>
            <w:vAlign w:val="top"/>
          </w:tcPr>
          <w:p>
            <w:pPr>
              <w:rPr>
                <w:rFonts w:hint="default"/>
                <w:sz w:val="21"/>
                <w:szCs w:val="21"/>
                <w:vertAlign w:val="baseline"/>
                <w:lang w:val="en-US" w:eastAsia="zh-CN"/>
              </w:rPr>
            </w:pPr>
            <w:r>
              <w:rPr>
                <w:rFonts w:hint="eastAsia"/>
                <w:sz w:val="21"/>
                <w:szCs w:val="21"/>
                <w:vertAlign w:val="baseline"/>
                <w:lang w:val="en-US" w:eastAsia="zh-CN"/>
              </w:rPr>
              <w:t>见第45页食堂油烟监测结果表和实验室废气监测结果表。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6" w:type="dxa"/>
            <w:noWrap w:val="0"/>
            <w:vAlign w:val="top"/>
          </w:tcPr>
          <w:p>
            <w:pPr>
              <w:rPr>
                <w:rFonts w:hint="default"/>
                <w:sz w:val="21"/>
                <w:szCs w:val="21"/>
                <w:vertAlign w:val="baseline"/>
                <w:lang w:val="en-US" w:eastAsia="zh-CN"/>
              </w:rPr>
            </w:pPr>
            <w:r>
              <w:rPr>
                <w:rFonts w:hint="eastAsia"/>
                <w:sz w:val="21"/>
                <w:szCs w:val="21"/>
                <w:vertAlign w:val="baseline"/>
                <w:lang w:val="en-US" w:eastAsia="zh-CN"/>
              </w:rPr>
              <w:t>5</w:t>
            </w:r>
          </w:p>
        </w:tc>
        <w:tc>
          <w:tcPr>
            <w:tcW w:w="4904" w:type="dxa"/>
            <w:noWrap w:val="0"/>
            <w:vAlign w:val="top"/>
          </w:tcPr>
          <w:p>
            <w:pPr>
              <w:rPr>
                <w:rFonts w:hint="default"/>
                <w:sz w:val="21"/>
                <w:szCs w:val="21"/>
                <w:highlight w:val="none"/>
                <w:vertAlign w:val="baseline"/>
                <w:lang w:val="en-US" w:eastAsia="zh-CN"/>
              </w:rPr>
            </w:pPr>
            <w:r>
              <w:rPr>
                <w:rFonts w:hint="eastAsia"/>
                <w:sz w:val="21"/>
                <w:szCs w:val="21"/>
                <w:highlight w:val="none"/>
                <w:vertAlign w:val="baseline"/>
                <w:lang w:val="en-US" w:eastAsia="zh-CN"/>
              </w:rPr>
              <w:t>修正污染物排放总量</w:t>
            </w:r>
          </w:p>
        </w:tc>
        <w:tc>
          <w:tcPr>
            <w:tcW w:w="6841" w:type="dxa"/>
            <w:noWrap w:val="0"/>
            <w:vAlign w:val="top"/>
          </w:tcPr>
          <w:p>
            <w:pPr>
              <w:rPr>
                <w:rFonts w:hint="default"/>
                <w:sz w:val="21"/>
                <w:szCs w:val="21"/>
                <w:vertAlign w:val="baseline"/>
                <w:lang w:val="en-US" w:eastAsia="zh-CN"/>
              </w:rPr>
            </w:pPr>
            <w:r>
              <w:rPr>
                <w:rFonts w:hint="eastAsia"/>
                <w:sz w:val="21"/>
                <w:szCs w:val="21"/>
                <w:vertAlign w:val="baseline"/>
                <w:lang w:val="en-US" w:eastAsia="zh-CN"/>
              </w:rPr>
              <w:t>根据重新监测的结果，修正了挥发性有机物排放总量。</w:t>
            </w:r>
          </w:p>
        </w:tc>
        <w:tc>
          <w:tcPr>
            <w:tcW w:w="1800" w:type="dxa"/>
            <w:noWrap w:val="0"/>
            <w:vAlign w:val="top"/>
          </w:tcPr>
          <w:p>
            <w:pPr>
              <w:rPr>
                <w:rFonts w:hint="default"/>
                <w:sz w:val="21"/>
                <w:szCs w:val="21"/>
                <w:vertAlign w:val="baseline"/>
                <w:lang w:val="en-US" w:eastAsia="zh-CN"/>
              </w:rPr>
            </w:pPr>
            <w:r>
              <w:rPr>
                <w:rFonts w:hint="eastAsia"/>
                <w:sz w:val="21"/>
                <w:szCs w:val="21"/>
                <w:vertAlign w:val="baseline"/>
                <w:lang w:val="en-US" w:eastAsia="zh-CN"/>
              </w:rPr>
              <w:t>见第49页-50页污染物核算总量表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6" w:type="dxa"/>
            <w:noWrap w:val="0"/>
            <w:vAlign w:val="top"/>
          </w:tcPr>
          <w:p>
            <w:pPr>
              <w:rPr>
                <w:rFonts w:hint="default"/>
                <w:sz w:val="21"/>
                <w:szCs w:val="21"/>
                <w:vertAlign w:val="baseline"/>
                <w:lang w:val="en-US" w:eastAsia="zh-CN"/>
              </w:rPr>
            </w:pPr>
          </w:p>
        </w:tc>
        <w:tc>
          <w:tcPr>
            <w:tcW w:w="4904" w:type="dxa"/>
            <w:noWrap w:val="0"/>
            <w:vAlign w:val="top"/>
          </w:tcPr>
          <w:p>
            <w:pPr>
              <w:rPr>
                <w:rFonts w:hint="default"/>
                <w:sz w:val="21"/>
                <w:szCs w:val="21"/>
                <w:highlight w:val="none"/>
                <w:vertAlign w:val="baseline"/>
                <w:lang w:val="en-US" w:eastAsia="zh-CN"/>
              </w:rPr>
            </w:pPr>
          </w:p>
        </w:tc>
        <w:tc>
          <w:tcPr>
            <w:tcW w:w="6841" w:type="dxa"/>
            <w:noWrap w:val="0"/>
            <w:vAlign w:val="top"/>
          </w:tcPr>
          <w:p>
            <w:pPr>
              <w:rPr>
                <w:rFonts w:hint="default"/>
                <w:sz w:val="21"/>
                <w:szCs w:val="21"/>
                <w:vertAlign w:val="baseline"/>
                <w:lang w:val="en-US" w:eastAsia="zh-CN"/>
              </w:rPr>
            </w:pPr>
          </w:p>
        </w:tc>
        <w:tc>
          <w:tcPr>
            <w:tcW w:w="1800" w:type="dxa"/>
            <w:noWrap w:val="0"/>
            <w:vAlign w:val="top"/>
          </w:tcPr>
          <w:p>
            <w:pPr>
              <w:rPr>
                <w:rFonts w:hint="default"/>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6" w:type="dxa"/>
            <w:noWrap w:val="0"/>
            <w:vAlign w:val="top"/>
          </w:tcPr>
          <w:p>
            <w:pPr>
              <w:rPr>
                <w:rFonts w:hint="default"/>
                <w:sz w:val="21"/>
                <w:szCs w:val="21"/>
                <w:vertAlign w:val="baseline"/>
                <w:lang w:val="en-US" w:eastAsia="zh-CN"/>
              </w:rPr>
            </w:pPr>
          </w:p>
        </w:tc>
        <w:tc>
          <w:tcPr>
            <w:tcW w:w="4904" w:type="dxa"/>
            <w:noWrap w:val="0"/>
            <w:vAlign w:val="top"/>
          </w:tcPr>
          <w:p>
            <w:pPr>
              <w:rPr>
                <w:rFonts w:hint="default"/>
                <w:sz w:val="21"/>
                <w:szCs w:val="21"/>
                <w:highlight w:val="none"/>
                <w:vertAlign w:val="baseline"/>
                <w:lang w:val="en-US" w:eastAsia="zh-CN"/>
              </w:rPr>
            </w:pPr>
          </w:p>
        </w:tc>
        <w:tc>
          <w:tcPr>
            <w:tcW w:w="6841" w:type="dxa"/>
            <w:noWrap w:val="0"/>
            <w:vAlign w:val="top"/>
          </w:tcPr>
          <w:p>
            <w:pPr>
              <w:rPr>
                <w:rFonts w:hint="default"/>
                <w:sz w:val="21"/>
                <w:szCs w:val="21"/>
                <w:vertAlign w:val="baseline"/>
                <w:lang w:val="en-US" w:eastAsia="zh-CN"/>
              </w:rPr>
            </w:pPr>
          </w:p>
        </w:tc>
        <w:tc>
          <w:tcPr>
            <w:tcW w:w="1800" w:type="dxa"/>
            <w:noWrap w:val="0"/>
            <w:vAlign w:val="top"/>
          </w:tcPr>
          <w:p>
            <w:pPr>
              <w:rPr>
                <w:rFonts w:hint="default"/>
                <w:sz w:val="21"/>
                <w:szCs w:val="21"/>
                <w:vertAlign w:val="baseline"/>
                <w:lang w:val="en-US" w:eastAsia="zh-CN"/>
              </w:rPr>
            </w:pPr>
          </w:p>
        </w:tc>
      </w:tr>
    </w:tbl>
    <w:p>
      <w:pPr>
        <w:pStyle w:val="9"/>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spacing w:line="360" w:lineRule="auto"/>
        <w:outlineLvl w:val="0"/>
        <w:rPr>
          <w:rFonts w:ascii="Times New Roman" w:hAnsi="Times New Roman" w:cs="Times New Roman"/>
          <w:b/>
          <w:color w:val="auto"/>
          <w:sz w:val="32"/>
          <w:szCs w:val="32"/>
        </w:rPr>
      </w:pPr>
      <w:bookmarkStart w:id="1" w:name="_Toc10530"/>
      <w:bookmarkStart w:id="2" w:name="_Toc85120867"/>
      <w:r>
        <w:rPr>
          <w:rFonts w:hint="default" w:ascii="Times New Roman" w:hAnsi="Times New Roman" w:cs="Times New Roman"/>
          <w:b/>
          <w:color w:val="auto"/>
          <w:sz w:val="32"/>
          <w:szCs w:val="32"/>
        </w:rPr>
        <w:t>1、项目概况</w:t>
      </w:r>
      <w:bookmarkEnd w:id="1"/>
      <w:bookmarkEnd w:id="2"/>
    </w:p>
    <w:p>
      <w:pPr>
        <w:spacing w:line="360" w:lineRule="auto"/>
        <w:ind w:firstLine="480" w:firstLineChars="200"/>
        <w:rPr>
          <w:rFonts w:ascii="Times New Roman" w:hAnsi="Times New Roman" w:cs="Times New Roman"/>
          <w:color w:val="auto"/>
          <w:kern w:val="0"/>
          <w:sz w:val="24"/>
          <w:szCs w:val="24"/>
        </w:rPr>
      </w:pPr>
      <w:r>
        <w:rPr>
          <w:rFonts w:hint="default" w:ascii="Times New Roman" w:hAnsi="Times New Roman" w:cs="Times New Roman"/>
          <w:color w:val="auto"/>
          <w:kern w:val="0"/>
          <w:sz w:val="24"/>
          <w:szCs w:val="24"/>
        </w:rPr>
        <w:t>岳阳中展科技有限公司已</w:t>
      </w:r>
      <w:r>
        <w:rPr>
          <w:rFonts w:ascii="Times New Roman" w:hAnsi="Times New Roman" w:cs="Times New Roman"/>
          <w:color w:val="auto"/>
          <w:kern w:val="0"/>
          <w:sz w:val="24"/>
          <w:szCs w:val="24"/>
        </w:rPr>
        <w:t>投资</w:t>
      </w:r>
      <w:r>
        <w:rPr>
          <w:rFonts w:hint="default" w:ascii="Times New Roman" w:hAnsi="Times New Roman" w:cs="Times New Roman"/>
          <w:color w:val="auto"/>
          <w:kern w:val="0"/>
          <w:sz w:val="24"/>
          <w:szCs w:val="24"/>
        </w:rPr>
        <w:t>10125.62</w:t>
      </w:r>
      <w:r>
        <w:rPr>
          <w:rFonts w:ascii="Times New Roman" w:hAnsi="Times New Roman" w:cs="Times New Roman"/>
          <w:color w:val="auto"/>
          <w:kern w:val="0"/>
          <w:sz w:val="24"/>
          <w:szCs w:val="24"/>
        </w:rPr>
        <w:t>万元</w:t>
      </w:r>
      <w:bookmarkStart w:id="3" w:name="_Hlk92353126"/>
      <w:r>
        <w:rPr>
          <w:rFonts w:hint="default" w:ascii="Times New Roman" w:hAnsi="Times New Roman" w:cs="Times New Roman"/>
          <w:color w:val="auto"/>
          <w:kern w:val="0"/>
          <w:sz w:val="24"/>
          <w:szCs w:val="24"/>
        </w:rPr>
        <w:t>于湖南岳阳绿色化工产业园云溪片区西北角（中心经纬度：东经113.249101052，北纬29.5060111442）</w:t>
      </w:r>
      <w:r>
        <w:rPr>
          <w:rFonts w:ascii="Times New Roman" w:hAnsi="Times New Roman" w:cs="Times New Roman"/>
          <w:color w:val="auto"/>
          <w:kern w:val="0"/>
          <w:sz w:val="24"/>
          <w:szCs w:val="24"/>
        </w:rPr>
        <w:t>建设“</w:t>
      </w:r>
      <w:r>
        <w:rPr>
          <w:rFonts w:hint="default" w:ascii="Times New Roman" w:hAnsi="Times New Roman" w:cs="Times New Roman"/>
          <w:color w:val="auto"/>
          <w:kern w:val="0"/>
          <w:sz w:val="24"/>
          <w:szCs w:val="24"/>
        </w:rPr>
        <w:t>岳阳中展科技有限公司12.6kt/a特种胺项目</w:t>
      </w:r>
      <w:r>
        <w:rPr>
          <w:rFonts w:ascii="Times New Roman" w:hAnsi="Times New Roman" w:cs="Times New Roman"/>
          <w:color w:val="auto"/>
          <w:kern w:val="0"/>
          <w:sz w:val="24"/>
          <w:szCs w:val="24"/>
        </w:rPr>
        <w:t>”（以下简称：本项目）。项目</w:t>
      </w:r>
      <w:r>
        <w:rPr>
          <w:rFonts w:hint="default" w:ascii="Times New Roman" w:hAnsi="Times New Roman" w:cs="Times New Roman"/>
          <w:color w:val="auto"/>
          <w:kern w:val="0"/>
          <w:sz w:val="24"/>
          <w:szCs w:val="24"/>
        </w:rPr>
        <w:t>共有DMP-30生产线1条、PPA固化剂生产线2条、改性胺固化剂生产线1条、聚酰胺固化剂生产线1条，共生产特种胺12.6kt/a</w:t>
      </w:r>
      <w:r>
        <w:rPr>
          <w:rFonts w:ascii="Times New Roman" w:hAnsi="Times New Roman" w:cs="Times New Roman"/>
          <w:color w:val="auto"/>
          <w:sz w:val="24"/>
          <w:szCs w:val="24"/>
        </w:rPr>
        <w:t>。项目占地面积32932m</w:t>
      </w:r>
      <w:r>
        <w:rPr>
          <w:rFonts w:ascii="Times New Roman" w:hAnsi="Times New Roman" w:cs="Times New Roman"/>
          <w:color w:val="auto"/>
          <w:sz w:val="24"/>
          <w:szCs w:val="24"/>
          <w:vertAlign w:val="superscript"/>
        </w:rPr>
        <w:t>2</w:t>
      </w:r>
      <w:r>
        <w:rPr>
          <w:rFonts w:ascii="Times New Roman" w:hAnsi="Times New Roman" w:cs="Times New Roman"/>
          <w:color w:val="auto"/>
          <w:sz w:val="24"/>
          <w:szCs w:val="24"/>
        </w:rPr>
        <w:t>，</w:t>
      </w:r>
      <w:r>
        <w:rPr>
          <w:rFonts w:hint="default" w:ascii="Times New Roman" w:hAnsi="Times New Roman" w:cs="Times New Roman"/>
          <w:color w:val="auto"/>
          <w:sz w:val="24"/>
          <w:szCs w:val="24"/>
        </w:rPr>
        <w:t>劳动定员60人，工作制度采用四班三运转，每班工作8小时，年工作333天，年生产时间7992小时</w:t>
      </w:r>
      <w:r>
        <w:rPr>
          <w:rFonts w:ascii="Times New Roman" w:hAnsi="Times New Roman" w:cs="Times New Roman"/>
          <w:color w:val="auto"/>
          <w:sz w:val="24"/>
          <w:szCs w:val="24"/>
        </w:rPr>
        <w:t>。</w:t>
      </w:r>
    </w:p>
    <w:bookmarkEnd w:id="3"/>
    <w:p>
      <w:pPr>
        <w:spacing w:line="360" w:lineRule="auto"/>
        <w:ind w:firstLine="480" w:firstLineChars="200"/>
        <w:rPr>
          <w:rFonts w:ascii="Times New Roman" w:hAnsi="Times New Roman" w:cs="Times New Roman"/>
          <w:color w:val="auto"/>
          <w:sz w:val="24"/>
          <w:szCs w:val="24"/>
        </w:rPr>
      </w:pPr>
      <w:bookmarkStart w:id="4" w:name="_Hlk92353164"/>
      <w:r>
        <w:rPr>
          <w:rFonts w:hint="default" w:ascii="Times New Roman" w:hAnsi="Times New Roman" w:cs="Times New Roman"/>
          <w:color w:val="auto"/>
          <w:sz w:val="24"/>
          <w:szCs w:val="24"/>
        </w:rPr>
        <w:t>2</w:t>
      </w:r>
      <w:r>
        <w:rPr>
          <w:rFonts w:ascii="Times New Roman" w:hAnsi="Times New Roman" w:cs="Times New Roman"/>
          <w:color w:val="auto"/>
          <w:sz w:val="24"/>
          <w:szCs w:val="24"/>
        </w:rPr>
        <w:t>0</w:t>
      </w:r>
      <w:r>
        <w:rPr>
          <w:rFonts w:hint="default" w:ascii="Times New Roman" w:hAnsi="Times New Roman" w:cs="Times New Roman"/>
          <w:color w:val="auto"/>
          <w:sz w:val="24"/>
          <w:szCs w:val="24"/>
        </w:rPr>
        <w:t>19年6月</w:t>
      </w:r>
      <w:r>
        <w:rPr>
          <w:rFonts w:hint="default" w:ascii="Times New Roman" w:hAnsi="Times New Roman" w:cs="Times New Roman"/>
          <w:color w:val="auto"/>
          <w:kern w:val="0"/>
          <w:sz w:val="24"/>
          <w:szCs w:val="24"/>
        </w:rPr>
        <w:t>岳阳中展科技有限公司</w:t>
      </w:r>
      <w:r>
        <w:rPr>
          <w:rFonts w:hint="default" w:ascii="Times New Roman" w:hAnsi="Times New Roman" w:cs="Times New Roman"/>
          <w:color w:val="auto"/>
          <w:sz w:val="24"/>
          <w:szCs w:val="24"/>
        </w:rPr>
        <w:t>委托湖南博咨环境技术咨询服务有限公司编制完成了《</w:t>
      </w:r>
      <w:r>
        <w:rPr>
          <w:rFonts w:hint="default" w:ascii="Times New Roman" w:hAnsi="Times New Roman" w:cs="Times New Roman"/>
          <w:color w:val="auto"/>
          <w:kern w:val="0"/>
          <w:sz w:val="24"/>
          <w:szCs w:val="24"/>
        </w:rPr>
        <w:t>岳阳中展科技有限公司12.6kt/a特种胺项目</w:t>
      </w:r>
      <w:r>
        <w:rPr>
          <w:rFonts w:hint="default" w:ascii="Times New Roman" w:hAnsi="Times New Roman" w:cs="Times New Roman"/>
          <w:color w:val="auto"/>
          <w:sz w:val="24"/>
          <w:szCs w:val="24"/>
        </w:rPr>
        <w:t>环境影响报告书》</w:t>
      </w:r>
      <w:r>
        <w:rPr>
          <w:rFonts w:hint="eastAsia" w:ascii="Times New Roman" w:hAnsi="Times New Roman" w:cs="Times New Roman"/>
          <w:color w:val="auto"/>
          <w:sz w:val="24"/>
          <w:szCs w:val="24"/>
          <w:lang w:eastAsia="zh-CN"/>
        </w:rPr>
        <w:t>，</w:t>
      </w:r>
      <w:r>
        <w:rPr>
          <w:rFonts w:hint="default" w:ascii="Times New Roman" w:hAnsi="Times New Roman" w:cs="Times New Roman"/>
          <w:color w:val="auto"/>
          <w:sz w:val="24"/>
          <w:szCs w:val="24"/>
        </w:rPr>
        <w:t>于2019年7月30日由岳阳市生态环境局出具</w:t>
      </w:r>
      <w:r>
        <w:rPr>
          <w:rFonts w:hint="eastAsia" w:ascii="Times New Roman" w:hAnsi="Times New Roman" w:cs="Times New Roman"/>
          <w:color w:val="auto"/>
          <w:sz w:val="24"/>
          <w:szCs w:val="24"/>
          <w:lang w:val="en-US" w:eastAsia="zh-CN"/>
        </w:rPr>
        <w:t>审批意见</w:t>
      </w:r>
      <w:r>
        <w:rPr>
          <w:rFonts w:hint="default" w:ascii="Times New Roman" w:hAnsi="Times New Roman" w:cs="Times New Roman"/>
          <w:color w:val="auto"/>
          <w:sz w:val="24"/>
          <w:szCs w:val="24"/>
        </w:rPr>
        <w:t>（文号：岳环评〔2</w:t>
      </w:r>
      <w:r>
        <w:rPr>
          <w:rFonts w:ascii="Times New Roman" w:hAnsi="Times New Roman" w:cs="Times New Roman"/>
          <w:color w:val="auto"/>
          <w:sz w:val="24"/>
          <w:szCs w:val="24"/>
        </w:rPr>
        <w:t>0</w:t>
      </w:r>
      <w:r>
        <w:rPr>
          <w:rFonts w:hint="default" w:ascii="Times New Roman" w:hAnsi="Times New Roman" w:cs="Times New Roman"/>
          <w:color w:val="auto"/>
          <w:sz w:val="24"/>
          <w:szCs w:val="24"/>
        </w:rPr>
        <w:t>19〕</w:t>
      </w:r>
      <w:r>
        <w:rPr>
          <w:rFonts w:ascii="Times New Roman" w:hAnsi="Times New Roman" w:cs="Times New Roman"/>
          <w:color w:val="auto"/>
          <w:sz w:val="24"/>
          <w:szCs w:val="24"/>
        </w:rPr>
        <w:t>1</w:t>
      </w:r>
      <w:r>
        <w:rPr>
          <w:rFonts w:hint="default" w:ascii="Times New Roman" w:hAnsi="Times New Roman" w:cs="Times New Roman"/>
          <w:color w:val="auto"/>
          <w:sz w:val="24"/>
          <w:szCs w:val="24"/>
        </w:rPr>
        <w:t>04号）。</w:t>
      </w:r>
      <w:r>
        <w:rPr>
          <w:rFonts w:hint="default" w:ascii="Times New Roman" w:hAnsi="Times New Roman" w:cs="Times New Roman"/>
          <w:color w:val="auto"/>
          <w:sz w:val="24"/>
          <w:szCs w:val="24"/>
          <w:highlight w:val="none"/>
        </w:rPr>
        <w:t>2021年10月25日进行了排污许可登记，登记编号为914306037506052529001V（</w:t>
      </w:r>
      <w:r>
        <w:rPr>
          <w:rFonts w:hint="eastAsia" w:ascii="Times New Roman" w:hAnsi="Times New Roman" w:cs="Times New Roman"/>
          <w:color w:val="auto"/>
          <w:sz w:val="24"/>
          <w:szCs w:val="24"/>
          <w:highlight w:val="none"/>
          <w:lang w:val="en-US" w:eastAsia="zh-CN"/>
        </w:rPr>
        <w:t>见</w:t>
      </w:r>
      <w:r>
        <w:rPr>
          <w:rFonts w:hint="default" w:ascii="Times New Roman" w:hAnsi="Times New Roman" w:cs="Times New Roman"/>
          <w:color w:val="auto"/>
          <w:sz w:val="24"/>
          <w:szCs w:val="24"/>
          <w:highlight w:val="none"/>
        </w:rPr>
        <w:t>附件3）。</w:t>
      </w:r>
      <w:r>
        <w:rPr>
          <w:rStyle w:val="35"/>
          <w:rFonts w:hint="default" w:ascii="Times New Roman" w:hAnsi="Times New Roman" w:cs="Times New Roman"/>
          <w:color w:val="auto"/>
          <w:sz w:val="24"/>
          <w:szCs w:val="24"/>
          <w:highlight w:val="none"/>
          <w:lang w:val="en-US" w:eastAsia="zh-CN"/>
        </w:rPr>
        <w:t>2021年</w:t>
      </w:r>
      <w:r>
        <w:rPr>
          <w:rStyle w:val="35"/>
          <w:rFonts w:hint="default" w:ascii="Times New Roman" w:hAnsi="Times New Roman" w:cs="Times New Roman"/>
          <w:color w:val="auto"/>
          <w:sz w:val="24"/>
          <w:szCs w:val="24"/>
          <w:lang w:val="en-US" w:eastAsia="zh-CN"/>
        </w:rPr>
        <w:t>12月28日进行了突发环境事件应急预案备案，备案编号为430603--2021--058-H</w:t>
      </w:r>
      <w:r>
        <w:rPr>
          <w:rStyle w:val="35"/>
          <w:rFonts w:hint="eastAsia" w:ascii="Times New Roman" w:hAnsi="Times New Roman" w:cs="Times New Roman"/>
          <w:color w:val="auto"/>
          <w:sz w:val="24"/>
          <w:szCs w:val="24"/>
          <w:lang w:val="en-US" w:eastAsia="zh-CN"/>
        </w:rPr>
        <w:t>（见附件9）</w:t>
      </w:r>
      <w:r>
        <w:rPr>
          <w:rStyle w:val="35"/>
          <w:rFonts w:hint="default"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2</w:t>
      </w:r>
      <w:r>
        <w:rPr>
          <w:rFonts w:ascii="Times New Roman" w:hAnsi="Times New Roman" w:cs="Times New Roman"/>
          <w:color w:val="auto"/>
          <w:sz w:val="24"/>
          <w:szCs w:val="24"/>
        </w:rPr>
        <w:t>02</w:t>
      </w:r>
      <w:r>
        <w:rPr>
          <w:rFonts w:hint="default" w:ascii="Times New Roman" w:hAnsi="Times New Roman" w:cs="Times New Roman"/>
          <w:color w:val="auto"/>
          <w:sz w:val="24"/>
          <w:szCs w:val="24"/>
        </w:rPr>
        <w:t>2年3月16日至5月4日</w:t>
      </w:r>
      <w:r>
        <w:rPr>
          <w:rFonts w:hint="default" w:ascii="Times New Roman" w:hAnsi="Times New Roman" w:cs="Times New Roman"/>
          <w:color w:val="auto"/>
          <w:kern w:val="0"/>
          <w:sz w:val="24"/>
          <w:szCs w:val="24"/>
        </w:rPr>
        <w:t>岳阳中展科技有限公司</w:t>
      </w:r>
      <w:r>
        <w:rPr>
          <w:rFonts w:hint="default" w:ascii="Times New Roman" w:hAnsi="Times New Roman" w:cs="Times New Roman"/>
          <w:color w:val="auto"/>
          <w:sz w:val="24"/>
          <w:szCs w:val="24"/>
        </w:rPr>
        <w:t>对环境保护设备进行了调试，且于2</w:t>
      </w:r>
      <w:r>
        <w:rPr>
          <w:rFonts w:ascii="Times New Roman" w:hAnsi="Times New Roman" w:cs="Times New Roman"/>
          <w:color w:val="auto"/>
          <w:sz w:val="24"/>
          <w:szCs w:val="24"/>
        </w:rPr>
        <w:t>02</w:t>
      </w:r>
      <w:r>
        <w:rPr>
          <w:rFonts w:hint="default" w:ascii="Times New Roman" w:hAnsi="Times New Roman" w:cs="Times New Roman"/>
          <w:color w:val="auto"/>
          <w:sz w:val="24"/>
          <w:szCs w:val="24"/>
        </w:rPr>
        <w:t>2年5月5日对项目竣工时间和调试起止日期进行了公示（见附件</w:t>
      </w:r>
      <w:r>
        <w:rPr>
          <w:rFonts w:hint="eastAsia" w:ascii="Times New Roman" w:hAnsi="Times New Roman" w:cs="Times New Roman"/>
          <w:color w:val="auto"/>
          <w:sz w:val="24"/>
          <w:szCs w:val="24"/>
          <w:lang w:eastAsia="zh-CN"/>
        </w:rPr>
        <w:t>1</w:t>
      </w:r>
      <w:r>
        <w:rPr>
          <w:rFonts w:hint="eastAsia" w:ascii="Times New Roman" w:hAnsi="Times New Roman" w:cs="Times New Roman"/>
          <w:color w:val="auto"/>
          <w:sz w:val="24"/>
          <w:szCs w:val="24"/>
          <w:lang w:val="en-US" w:eastAsia="zh-CN"/>
        </w:rPr>
        <w:t>1</w:t>
      </w:r>
      <w:r>
        <w:rPr>
          <w:rFonts w:hint="default" w:ascii="Times New Roman" w:hAnsi="Times New Roman" w:cs="Times New Roman"/>
          <w:color w:val="auto"/>
          <w:sz w:val="24"/>
          <w:szCs w:val="24"/>
        </w:rPr>
        <w:t>）。因此</w:t>
      </w:r>
      <w:r>
        <w:rPr>
          <w:rFonts w:ascii="Times New Roman" w:hAnsi="Times New Roman" w:cs="Times New Roman"/>
          <w:color w:val="auto"/>
          <w:sz w:val="24"/>
          <w:szCs w:val="24"/>
        </w:rPr>
        <w:t>，</w:t>
      </w:r>
      <w:r>
        <w:rPr>
          <w:rFonts w:hint="default" w:ascii="Times New Roman" w:hAnsi="Times New Roman" w:cs="Times New Roman"/>
          <w:color w:val="auto"/>
          <w:sz w:val="24"/>
          <w:szCs w:val="24"/>
        </w:rPr>
        <w:t>项目</w:t>
      </w:r>
      <w:r>
        <w:rPr>
          <w:rFonts w:ascii="Times New Roman" w:hAnsi="Times New Roman" w:cs="Times New Roman"/>
          <w:color w:val="auto"/>
          <w:sz w:val="24"/>
          <w:szCs w:val="24"/>
        </w:rPr>
        <w:t>主体工程及配套的环保设施</w:t>
      </w:r>
      <w:r>
        <w:rPr>
          <w:rFonts w:hint="default" w:ascii="Times New Roman" w:hAnsi="Times New Roman" w:cs="Times New Roman"/>
          <w:color w:val="auto"/>
          <w:sz w:val="24"/>
          <w:szCs w:val="24"/>
        </w:rPr>
        <w:t>均已建成投运，且</w:t>
      </w:r>
      <w:r>
        <w:rPr>
          <w:rFonts w:ascii="Times New Roman" w:hAnsi="Times New Roman" w:cs="Times New Roman"/>
          <w:color w:val="auto"/>
          <w:sz w:val="24"/>
          <w:szCs w:val="24"/>
        </w:rPr>
        <w:t>运行正常，具备建设项目竣工环境保护验收监测条件。</w:t>
      </w:r>
    </w:p>
    <w:bookmarkEnd w:id="4"/>
    <w:p>
      <w:pPr>
        <w:spacing w:line="360" w:lineRule="auto"/>
        <w:ind w:firstLine="480" w:firstLineChars="200"/>
        <w:rPr>
          <w:rFonts w:hint="default" w:ascii="Times New Roman" w:hAnsi="Times New Roman" w:cs="Times New Roman" w:eastAsiaTheme="minorEastAsia"/>
          <w:color w:val="auto"/>
          <w:sz w:val="24"/>
          <w:szCs w:val="24"/>
          <w:lang w:val="en-US" w:eastAsia="zh-CN"/>
        </w:rPr>
      </w:pPr>
      <w:r>
        <w:rPr>
          <w:rFonts w:ascii="Times New Roman" w:hAnsi="Times New Roman" w:cs="Times New Roman"/>
          <w:color w:val="auto"/>
          <w:sz w:val="24"/>
          <w:lang w:val="en-GB"/>
        </w:rPr>
        <w:t>根据《建设项目竣工环境保护验收暂行办法》（国环规环评[2017]4号，2017年11月20日）和《国务院关于修改〈建设项目环境保护管理条例〉的决定》国务院令第682号（2017年10月1日）要求及竣工验收监测的有关要求</w:t>
      </w:r>
      <w:r>
        <w:rPr>
          <w:rFonts w:ascii="Times New Roman" w:hAnsi="Times New Roman" w:cs="Times New Roman"/>
          <w:color w:val="auto"/>
          <w:sz w:val="24"/>
          <w:szCs w:val="24"/>
        </w:rPr>
        <w:t>，</w:t>
      </w:r>
      <w:r>
        <w:rPr>
          <w:rFonts w:hint="default" w:ascii="Times New Roman" w:hAnsi="Times New Roman" w:cs="Times New Roman"/>
          <w:color w:val="auto"/>
          <w:kern w:val="0"/>
          <w:sz w:val="24"/>
          <w:szCs w:val="24"/>
        </w:rPr>
        <w:t>岳阳中展科技有限公司</w:t>
      </w:r>
      <w:r>
        <w:rPr>
          <w:rFonts w:hint="default" w:ascii="Times New Roman" w:hAnsi="Times New Roman" w:cs="Times New Roman"/>
          <w:color w:val="auto"/>
          <w:sz w:val="24"/>
          <w:szCs w:val="24"/>
        </w:rPr>
        <w:t>（以下简称：我单位）</w:t>
      </w:r>
      <w:r>
        <w:rPr>
          <w:rFonts w:ascii="Times New Roman" w:hAnsi="Times New Roman" w:cs="Times New Roman"/>
          <w:color w:val="auto"/>
          <w:sz w:val="24"/>
          <w:szCs w:val="24"/>
        </w:rPr>
        <w:t>对本项目进行自主竣工环境保护验收。并委托</w:t>
      </w:r>
      <w:r>
        <w:rPr>
          <w:rFonts w:hint="default" w:ascii="Times New Roman" w:hAnsi="Times New Roman" w:cs="Times New Roman"/>
          <w:color w:val="auto"/>
          <w:sz w:val="24"/>
          <w:szCs w:val="24"/>
        </w:rPr>
        <w:t>湖南桓泓检测技术有限公司</w:t>
      </w:r>
      <w:r>
        <w:rPr>
          <w:rFonts w:ascii="Times New Roman" w:hAnsi="Times New Roman" w:cs="Times New Roman"/>
          <w:color w:val="auto"/>
          <w:sz w:val="24"/>
          <w:szCs w:val="24"/>
        </w:rPr>
        <w:t>于202</w:t>
      </w:r>
      <w:r>
        <w:rPr>
          <w:rFonts w:hint="default" w:ascii="Times New Roman" w:hAnsi="Times New Roman" w:cs="Times New Roman"/>
          <w:color w:val="auto"/>
          <w:sz w:val="24"/>
          <w:szCs w:val="24"/>
        </w:rPr>
        <w:t>2</w:t>
      </w:r>
      <w:r>
        <w:rPr>
          <w:rFonts w:ascii="Times New Roman" w:hAnsi="Times New Roman" w:cs="Times New Roman"/>
          <w:color w:val="auto"/>
          <w:sz w:val="24"/>
          <w:szCs w:val="24"/>
        </w:rPr>
        <w:t>年</w:t>
      </w:r>
      <w:r>
        <w:rPr>
          <w:rFonts w:hint="default" w:ascii="Times New Roman" w:hAnsi="Times New Roman" w:cs="Times New Roman"/>
          <w:color w:val="auto"/>
          <w:sz w:val="24"/>
          <w:szCs w:val="24"/>
        </w:rPr>
        <w:t>5</w:t>
      </w:r>
      <w:r>
        <w:rPr>
          <w:rFonts w:ascii="Times New Roman" w:hAnsi="Times New Roman" w:cs="Times New Roman"/>
          <w:color w:val="auto"/>
          <w:sz w:val="24"/>
          <w:szCs w:val="24"/>
        </w:rPr>
        <w:t>月</w:t>
      </w:r>
      <w:r>
        <w:rPr>
          <w:rFonts w:hint="default" w:ascii="Times New Roman" w:hAnsi="Times New Roman" w:cs="Times New Roman"/>
          <w:color w:val="auto"/>
          <w:sz w:val="24"/>
          <w:szCs w:val="24"/>
        </w:rPr>
        <w:t>28日</w:t>
      </w:r>
      <w:r>
        <w:rPr>
          <w:rFonts w:ascii="Times New Roman" w:hAnsi="Times New Roman" w:cs="Times New Roman"/>
          <w:color w:val="auto"/>
          <w:sz w:val="24"/>
          <w:szCs w:val="24"/>
        </w:rPr>
        <w:t>~</w:t>
      </w:r>
      <w:r>
        <w:rPr>
          <w:rFonts w:hint="default" w:ascii="Times New Roman" w:hAnsi="Times New Roman" w:cs="Times New Roman"/>
          <w:color w:val="auto"/>
          <w:sz w:val="24"/>
          <w:szCs w:val="24"/>
        </w:rPr>
        <w:t>5月29</w:t>
      </w:r>
      <w:r>
        <w:rPr>
          <w:rFonts w:ascii="Times New Roman" w:hAnsi="Times New Roman" w:cs="Times New Roman"/>
          <w:color w:val="auto"/>
          <w:sz w:val="24"/>
          <w:szCs w:val="24"/>
        </w:rPr>
        <w:t>日进行了竣工环境保护验收监测工作，</w:t>
      </w:r>
      <w:r>
        <w:rPr>
          <w:rFonts w:hint="eastAsia" w:ascii="Times New Roman" w:hAnsi="Times New Roman" w:cs="Times New Roman"/>
          <w:color w:val="auto"/>
          <w:sz w:val="24"/>
          <w:szCs w:val="24"/>
          <w:lang w:val="en-US" w:eastAsia="zh-CN"/>
        </w:rPr>
        <w:t>2022年9月，</w:t>
      </w:r>
      <w:r>
        <w:rPr>
          <w:rFonts w:hint="default" w:ascii="Times New Roman" w:hAnsi="Times New Roman" w:cs="Times New Roman"/>
          <w:color w:val="auto"/>
          <w:kern w:val="0"/>
          <w:sz w:val="24"/>
          <w:szCs w:val="24"/>
        </w:rPr>
        <w:t>岳阳中展科技有限公司</w:t>
      </w:r>
      <w:r>
        <w:rPr>
          <w:rFonts w:hint="eastAsia" w:ascii="Times New Roman" w:hAnsi="Times New Roman" w:cs="Times New Roman"/>
          <w:color w:val="auto"/>
          <w:kern w:val="0"/>
          <w:sz w:val="24"/>
          <w:szCs w:val="24"/>
          <w:lang w:val="en-US" w:eastAsia="zh-CN"/>
        </w:rPr>
        <w:t>组织专家对本项目竣工环境保护验收进行评审，专家提出了整改意见，2022年11月9日至10日，湖南</w:t>
      </w:r>
      <w:r>
        <w:rPr>
          <w:rFonts w:hint="default" w:ascii="Times New Roman" w:hAnsi="Times New Roman" w:cs="Times New Roman"/>
          <w:color w:val="auto"/>
          <w:sz w:val="24"/>
          <w:szCs w:val="24"/>
        </w:rPr>
        <w:t>桓泓检测技术有限公司</w:t>
      </w:r>
      <w:r>
        <w:rPr>
          <w:rFonts w:hint="eastAsia" w:ascii="Times New Roman" w:hAnsi="Times New Roman" w:cs="Times New Roman"/>
          <w:color w:val="auto"/>
          <w:sz w:val="24"/>
          <w:szCs w:val="24"/>
          <w:lang w:val="en-US" w:eastAsia="zh-CN"/>
        </w:rPr>
        <w:t>在厂家整改措施落实的基础上对废水、废气等进行补充验收监测。</w:t>
      </w:r>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通过本次验收监测和调查，全面了解该项目配套的环保设施建设、运行，污染物的排放和环境管理情况，为环境管理部门提供项目验收的技术依据。</w:t>
      </w:r>
    </w:p>
    <w:p>
      <w:pPr>
        <w:tabs>
          <w:tab w:val="left" w:pos="5393"/>
        </w:tabs>
        <w:spacing w:line="360" w:lineRule="auto"/>
        <w:outlineLvl w:val="0"/>
        <w:rPr>
          <w:rFonts w:ascii="Times New Roman" w:hAnsi="Times New Roman" w:cs="Times New Roman"/>
          <w:b/>
          <w:color w:val="auto"/>
          <w:sz w:val="32"/>
          <w:szCs w:val="32"/>
        </w:rPr>
      </w:pPr>
      <w:bookmarkStart w:id="5" w:name="_Toc85120868"/>
      <w:bookmarkStart w:id="6" w:name="_Toc14073"/>
      <w:r>
        <w:rPr>
          <w:rFonts w:hint="default" w:ascii="Times New Roman" w:hAnsi="Times New Roman" w:cs="Times New Roman"/>
          <w:b/>
          <w:color w:val="auto"/>
          <w:sz w:val="32"/>
          <w:szCs w:val="32"/>
        </w:rPr>
        <w:t>2、验收依据</w:t>
      </w:r>
      <w:bookmarkEnd w:id="5"/>
      <w:bookmarkEnd w:id="6"/>
    </w:p>
    <w:p>
      <w:pPr>
        <w:spacing w:line="360" w:lineRule="auto"/>
        <w:outlineLvl w:val="1"/>
        <w:rPr>
          <w:rFonts w:ascii="Times New Roman" w:hAnsi="Times New Roman" w:cs="Times New Roman"/>
          <w:b/>
          <w:color w:val="auto"/>
          <w:sz w:val="30"/>
          <w:szCs w:val="30"/>
        </w:rPr>
      </w:pPr>
      <w:bookmarkStart w:id="7" w:name="_Toc15842"/>
      <w:bookmarkStart w:id="8" w:name="_Toc85120869"/>
      <w:r>
        <w:rPr>
          <w:rFonts w:hint="default" w:ascii="Times New Roman" w:hAnsi="Times New Roman" w:cs="Times New Roman"/>
          <w:b/>
          <w:color w:val="auto"/>
          <w:sz w:val="30"/>
          <w:szCs w:val="30"/>
        </w:rPr>
        <w:t>2</w:t>
      </w:r>
      <w:r>
        <w:rPr>
          <w:rFonts w:ascii="Times New Roman" w:hAnsi="Times New Roman" w:cs="Times New Roman"/>
          <w:b/>
          <w:color w:val="auto"/>
          <w:sz w:val="30"/>
          <w:szCs w:val="30"/>
        </w:rPr>
        <w:t>.1</w:t>
      </w:r>
      <w:r>
        <w:rPr>
          <w:rFonts w:hint="default" w:ascii="Times New Roman" w:hAnsi="Times New Roman" w:cs="Times New Roman"/>
          <w:b/>
          <w:color w:val="auto"/>
          <w:sz w:val="30"/>
          <w:szCs w:val="30"/>
        </w:rPr>
        <w:t>建设项目环境保护相关法律、法规和规章制度</w:t>
      </w:r>
      <w:bookmarkEnd w:id="7"/>
      <w:bookmarkEnd w:id="8"/>
    </w:p>
    <w:p>
      <w:pPr>
        <w:numPr>
          <w:ilvl w:val="0"/>
          <w:numId w:val="1"/>
        </w:numPr>
        <w:spacing w:line="360" w:lineRule="auto"/>
        <w:ind w:firstLine="482"/>
        <w:rPr>
          <w:rFonts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《中华人民共和国环境保护法》，（2015年1月1日起施行）； </w:t>
      </w:r>
    </w:p>
    <w:p>
      <w:pPr>
        <w:spacing w:line="360" w:lineRule="auto"/>
        <w:ind w:firstLine="482"/>
        <w:rPr>
          <w:rFonts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（2）《中华人民共和国环境影响评价法》，（2018年12月29日起施行）； </w:t>
      </w:r>
    </w:p>
    <w:p>
      <w:pPr>
        <w:spacing w:line="360" w:lineRule="auto"/>
        <w:ind w:firstLine="482"/>
        <w:rPr>
          <w:rFonts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（3）《中华人民共和国水污染防治法》，（2018年1月1日起施行）； </w:t>
      </w:r>
    </w:p>
    <w:p>
      <w:pPr>
        <w:spacing w:line="360" w:lineRule="auto"/>
        <w:ind w:firstLine="482"/>
        <w:rPr>
          <w:rFonts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 xml:space="preserve">（4）《中华人民共和国大气污染防治法》，（2018年10月26日起施行）； </w:t>
      </w:r>
    </w:p>
    <w:p>
      <w:pPr>
        <w:spacing w:line="360" w:lineRule="auto"/>
        <w:ind w:firstLine="482"/>
        <w:rPr>
          <w:rFonts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（5）《</w:t>
      </w:r>
      <w:r>
        <w:rPr>
          <w:rFonts w:hint="default" w:ascii="Times New Roman" w:hAnsi="Times New Roman" w:eastAsia="宋体" w:cs="Times New Roman"/>
          <w:color w:val="auto"/>
          <w:sz w:val="24"/>
          <w:szCs w:val="24"/>
          <w:lang w:eastAsia="zh-CN"/>
        </w:rPr>
        <w:t>中华人民共和国噪声污染防治法</w:t>
      </w:r>
      <w:r>
        <w:rPr>
          <w:rFonts w:hint="default" w:ascii="Times New Roman" w:hAnsi="Times New Roman" w:eastAsia="宋体" w:cs="Times New Roman"/>
          <w:color w:val="auto"/>
          <w:sz w:val="24"/>
          <w:szCs w:val="24"/>
        </w:rPr>
        <w:t>》，（2022年6月5日起施行）；</w:t>
      </w:r>
    </w:p>
    <w:p>
      <w:pPr>
        <w:spacing w:line="360" w:lineRule="auto"/>
        <w:ind w:firstLine="482"/>
        <w:rPr>
          <w:rFonts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（6）《中华人民共和国固体废物污染环境防治法》，（2020年4月29日修订通过，2020年9月1日起施行）；</w:t>
      </w:r>
    </w:p>
    <w:p>
      <w:pPr>
        <w:spacing w:line="360" w:lineRule="auto"/>
        <w:ind w:firstLine="482"/>
        <w:rPr>
          <w:rFonts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（7）《建设项目环境保护管理条例》，（2017年10月1日起施行）；</w:t>
      </w:r>
    </w:p>
    <w:p>
      <w:pPr>
        <w:spacing w:line="360" w:lineRule="auto"/>
        <w:ind w:firstLine="482"/>
        <w:rPr>
          <w:rFonts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r>
        <w:rPr>
          <w:rFonts w:ascii="Times New Roman" w:hAnsi="Times New Roman" w:eastAsia="宋体" w:cs="Times New Roman"/>
          <w:color w:val="auto"/>
          <w:sz w:val="24"/>
          <w:szCs w:val="24"/>
        </w:rPr>
        <w:t>8</w:t>
      </w:r>
      <w:r>
        <w:rPr>
          <w:rFonts w:hint="default" w:ascii="Times New Roman" w:hAnsi="Times New Roman" w:eastAsia="宋体" w:cs="Times New Roman"/>
          <w:color w:val="auto"/>
          <w:sz w:val="24"/>
          <w:szCs w:val="24"/>
        </w:rPr>
        <w:t>）《国家危险废物名录》（2</w:t>
      </w:r>
      <w:r>
        <w:rPr>
          <w:rFonts w:ascii="Times New Roman" w:hAnsi="Times New Roman" w:eastAsia="宋体" w:cs="Times New Roman"/>
          <w:color w:val="auto"/>
          <w:sz w:val="24"/>
          <w:szCs w:val="24"/>
        </w:rPr>
        <w:t>021</w:t>
      </w:r>
      <w:r>
        <w:rPr>
          <w:rFonts w:hint="default" w:ascii="Times New Roman" w:hAnsi="Times New Roman" w:eastAsia="宋体" w:cs="Times New Roman"/>
          <w:color w:val="auto"/>
          <w:sz w:val="24"/>
          <w:szCs w:val="24"/>
        </w:rPr>
        <w:t>年版）。</w:t>
      </w:r>
    </w:p>
    <w:p>
      <w:pPr>
        <w:spacing w:line="360" w:lineRule="auto"/>
        <w:outlineLvl w:val="1"/>
        <w:rPr>
          <w:rFonts w:ascii="Times New Roman" w:hAnsi="Times New Roman" w:cs="Times New Roman"/>
          <w:b/>
          <w:color w:val="auto"/>
          <w:sz w:val="30"/>
          <w:szCs w:val="30"/>
        </w:rPr>
      </w:pPr>
      <w:bookmarkStart w:id="9" w:name="_Toc5767"/>
      <w:bookmarkStart w:id="10" w:name="_Toc85120870"/>
      <w:r>
        <w:rPr>
          <w:rFonts w:hint="default" w:ascii="Times New Roman" w:hAnsi="Times New Roman" w:cs="Times New Roman"/>
          <w:b/>
          <w:color w:val="auto"/>
          <w:sz w:val="30"/>
          <w:szCs w:val="30"/>
        </w:rPr>
        <w:t>2</w:t>
      </w:r>
      <w:r>
        <w:rPr>
          <w:rFonts w:ascii="Times New Roman" w:hAnsi="Times New Roman" w:cs="Times New Roman"/>
          <w:b/>
          <w:color w:val="auto"/>
          <w:sz w:val="30"/>
          <w:szCs w:val="30"/>
        </w:rPr>
        <w:t>.2</w:t>
      </w:r>
      <w:r>
        <w:rPr>
          <w:rFonts w:hint="default" w:ascii="Times New Roman" w:hAnsi="Times New Roman" w:cs="Times New Roman"/>
          <w:b/>
          <w:color w:val="auto"/>
          <w:sz w:val="30"/>
          <w:szCs w:val="30"/>
        </w:rPr>
        <w:t>建设项目竣工环境保护验收技术规范</w:t>
      </w:r>
      <w:bookmarkEnd w:id="9"/>
      <w:bookmarkEnd w:id="10"/>
    </w:p>
    <w:p>
      <w:pPr>
        <w:spacing w:line="360" w:lineRule="auto"/>
        <w:ind w:firstLine="480" w:firstLineChars="200"/>
        <w:rPr>
          <w:rFonts w:ascii="Times New Roman" w:hAnsi="Times New Roman" w:cs="Times New Roman"/>
          <w:color w:val="auto"/>
          <w:sz w:val="24"/>
          <w:szCs w:val="24"/>
        </w:rPr>
      </w:pPr>
      <w:r>
        <w:rPr>
          <w:rFonts w:hint="default" w:ascii="Times New Roman" w:hAnsi="Times New Roman" w:cs="Times New Roman"/>
          <w:color w:val="auto"/>
          <w:sz w:val="24"/>
          <w:szCs w:val="24"/>
        </w:rPr>
        <w:t>（</w:t>
      </w:r>
      <w:r>
        <w:rPr>
          <w:rFonts w:ascii="Times New Roman" w:hAnsi="Times New Roman" w:cs="Times New Roman"/>
          <w:color w:val="auto"/>
          <w:sz w:val="24"/>
          <w:szCs w:val="24"/>
        </w:rPr>
        <w:t>1</w:t>
      </w:r>
      <w:r>
        <w:rPr>
          <w:rFonts w:hint="default" w:ascii="Times New Roman" w:hAnsi="Times New Roman" w:cs="Times New Roman"/>
          <w:color w:val="auto"/>
          <w:sz w:val="24"/>
          <w:szCs w:val="24"/>
        </w:rPr>
        <w:t>）《建设项目竣工环境保护验收暂行办法》2017年11月；</w:t>
      </w:r>
    </w:p>
    <w:p>
      <w:pPr>
        <w:spacing w:line="360" w:lineRule="auto"/>
        <w:ind w:firstLine="480" w:firstLineChars="200"/>
        <w:rPr>
          <w:rFonts w:ascii="Times New Roman" w:hAnsi="Times New Roman" w:cs="Times New Roman"/>
          <w:color w:val="auto"/>
          <w:sz w:val="24"/>
          <w:szCs w:val="24"/>
        </w:rPr>
      </w:pPr>
      <w:r>
        <w:rPr>
          <w:rFonts w:hint="default" w:ascii="Times New Roman" w:hAnsi="Times New Roman" w:cs="Times New Roman"/>
          <w:color w:val="auto"/>
          <w:sz w:val="24"/>
          <w:szCs w:val="24"/>
        </w:rPr>
        <w:t>（</w:t>
      </w:r>
      <w:r>
        <w:rPr>
          <w:rFonts w:ascii="Times New Roman" w:hAnsi="Times New Roman" w:cs="Times New Roman"/>
          <w:color w:val="auto"/>
          <w:sz w:val="24"/>
          <w:szCs w:val="24"/>
        </w:rPr>
        <w:t>2</w:t>
      </w:r>
      <w:r>
        <w:rPr>
          <w:rFonts w:hint="default" w:ascii="Times New Roman" w:hAnsi="Times New Roman" w:cs="Times New Roman"/>
          <w:color w:val="auto"/>
          <w:sz w:val="24"/>
          <w:szCs w:val="24"/>
        </w:rPr>
        <w:t>）生态保护部发〔2018〕第9号《建设项目竣工环境保护验收技术指南污染影响类》2018年5月；</w:t>
      </w:r>
    </w:p>
    <w:p>
      <w:pPr>
        <w:spacing w:line="360" w:lineRule="auto"/>
        <w:ind w:firstLine="480" w:firstLineChars="200"/>
        <w:rPr>
          <w:rFonts w:ascii="Times New Roman" w:hAnsi="Times New Roman" w:cs="Times New Roman"/>
          <w:color w:val="auto"/>
          <w:sz w:val="24"/>
          <w:szCs w:val="24"/>
        </w:rPr>
      </w:pPr>
      <w:r>
        <w:rPr>
          <w:rFonts w:hint="default" w:ascii="Times New Roman" w:hAnsi="Times New Roman" w:cs="Times New Roman"/>
          <w:color w:val="auto"/>
          <w:sz w:val="24"/>
          <w:szCs w:val="24"/>
        </w:rPr>
        <w:t>（3）《关于印发建设项目竣工环境保护验收现场检查及审查要点的通知》（环办【2015】113号，2015年12月30日）；</w:t>
      </w:r>
    </w:p>
    <w:p>
      <w:pPr>
        <w:spacing w:line="360" w:lineRule="auto"/>
        <w:ind w:firstLine="480" w:firstLineChars="200"/>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rPr>
        <w:t>（4）《排污单位自行监测技术指南 总则》（HJ819-2017）</w:t>
      </w:r>
      <w:r>
        <w:rPr>
          <w:rFonts w:hint="default" w:ascii="Times New Roman" w:hAnsi="Times New Roman" w:cs="Times New Roman"/>
          <w:color w:val="auto"/>
          <w:sz w:val="24"/>
          <w:szCs w:val="24"/>
          <w:lang w:eastAsia="zh-CN"/>
        </w:rPr>
        <w:t>；</w:t>
      </w:r>
    </w:p>
    <w:p>
      <w:pPr>
        <w:spacing w:line="360" w:lineRule="auto"/>
        <w:ind w:firstLine="480" w:firstLineChars="200"/>
        <w:rPr>
          <w:rFonts w:ascii="Times New Roman" w:hAnsi="Times New Roman" w:cs="Times New Roman"/>
          <w:color w:val="auto"/>
          <w:sz w:val="24"/>
          <w:szCs w:val="24"/>
        </w:rPr>
      </w:pP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5</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排污单位自行监测技术指南 石油化学工业</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HJ 947-2018</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w:t>
      </w:r>
    </w:p>
    <w:p>
      <w:pPr>
        <w:spacing w:line="360" w:lineRule="auto"/>
        <w:outlineLvl w:val="1"/>
        <w:rPr>
          <w:rFonts w:ascii="Times New Roman" w:hAnsi="Times New Roman" w:cs="Times New Roman"/>
          <w:b/>
          <w:color w:val="auto"/>
          <w:sz w:val="30"/>
          <w:szCs w:val="30"/>
        </w:rPr>
      </w:pPr>
      <w:bookmarkStart w:id="11" w:name="_Toc2151"/>
      <w:bookmarkStart w:id="12" w:name="_Toc85120871"/>
      <w:r>
        <w:rPr>
          <w:rFonts w:hint="default" w:ascii="Times New Roman" w:hAnsi="Times New Roman" w:cs="Times New Roman"/>
          <w:b/>
          <w:color w:val="auto"/>
          <w:sz w:val="30"/>
          <w:szCs w:val="30"/>
        </w:rPr>
        <w:t>2</w:t>
      </w:r>
      <w:r>
        <w:rPr>
          <w:rFonts w:ascii="Times New Roman" w:hAnsi="Times New Roman" w:cs="Times New Roman"/>
          <w:b/>
          <w:color w:val="auto"/>
          <w:sz w:val="30"/>
          <w:szCs w:val="30"/>
        </w:rPr>
        <w:t>.3</w:t>
      </w:r>
      <w:r>
        <w:rPr>
          <w:rFonts w:hint="default" w:ascii="Times New Roman" w:hAnsi="Times New Roman" w:cs="Times New Roman"/>
          <w:b/>
          <w:color w:val="auto"/>
          <w:sz w:val="30"/>
          <w:szCs w:val="30"/>
        </w:rPr>
        <w:t>建设项目环境影响报告书及其审批部门审批决定</w:t>
      </w:r>
      <w:bookmarkEnd w:id="11"/>
      <w:bookmarkEnd w:id="12"/>
    </w:p>
    <w:p>
      <w:pPr>
        <w:spacing w:line="360" w:lineRule="auto"/>
        <w:ind w:firstLine="480" w:firstLineChars="200"/>
        <w:rPr>
          <w:rFonts w:ascii="Times New Roman" w:hAnsi="Times New Roman" w:cs="Times New Roman"/>
          <w:color w:val="auto"/>
          <w:sz w:val="24"/>
          <w:szCs w:val="24"/>
        </w:rPr>
      </w:pPr>
      <w:r>
        <w:rPr>
          <w:rFonts w:hint="default" w:ascii="Times New Roman" w:hAnsi="Times New Roman" w:cs="Times New Roman"/>
          <w:color w:val="auto"/>
          <w:sz w:val="24"/>
          <w:szCs w:val="24"/>
        </w:rPr>
        <w:t>（</w:t>
      </w:r>
      <w:r>
        <w:rPr>
          <w:rFonts w:ascii="Times New Roman" w:hAnsi="Times New Roman" w:cs="Times New Roman"/>
          <w:color w:val="auto"/>
          <w:sz w:val="24"/>
          <w:szCs w:val="24"/>
        </w:rPr>
        <w:t>1</w:t>
      </w:r>
      <w:r>
        <w:rPr>
          <w:rFonts w:hint="default" w:ascii="Times New Roman" w:hAnsi="Times New Roman" w:cs="Times New Roman"/>
          <w:color w:val="auto"/>
          <w:sz w:val="24"/>
          <w:szCs w:val="24"/>
        </w:rPr>
        <w:t>）《</w:t>
      </w:r>
      <w:r>
        <w:rPr>
          <w:rFonts w:hint="default" w:ascii="Times New Roman" w:hAnsi="Times New Roman" w:cs="Times New Roman"/>
          <w:color w:val="auto"/>
          <w:kern w:val="0"/>
          <w:sz w:val="24"/>
          <w:szCs w:val="24"/>
        </w:rPr>
        <w:t>岳阳中展科技有限公司12.6kt/a特种胺项目</w:t>
      </w:r>
      <w:r>
        <w:rPr>
          <w:rFonts w:hint="default" w:ascii="Times New Roman" w:hAnsi="Times New Roman" w:cs="Times New Roman"/>
          <w:color w:val="auto"/>
          <w:sz w:val="24"/>
          <w:szCs w:val="24"/>
        </w:rPr>
        <w:t>环境影响报告书》，2019年6月；</w:t>
      </w:r>
    </w:p>
    <w:p>
      <w:pPr>
        <w:spacing w:line="360" w:lineRule="auto"/>
        <w:ind w:firstLine="480" w:firstLineChars="200"/>
        <w:rPr>
          <w:rFonts w:ascii="Times New Roman" w:hAnsi="Times New Roman" w:cs="Times New Roman"/>
          <w:color w:val="auto"/>
          <w:sz w:val="24"/>
          <w:szCs w:val="24"/>
        </w:rPr>
      </w:pPr>
      <w:r>
        <w:rPr>
          <w:rFonts w:hint="default" w:ascii="Times New Roman" w:hAnsi="Times New Roman" w:cs="Times New Roman"/>
          <w:color w:val="auto"/>
          <w:sz w:val="24"/>
          <w:szCs w:val="24"/>
        </w:rPr>
        <w:t>（</w:t>
      </w:r>
      <w:r>
        <w:rPr>
          <w:rFonts w:ascii="Times New Roman" w:hAnsi="Times New Roman" w:cs="Times New Roman"/>
          <w:color w:val="auto"/>
          <w:sz w:val="24"/>
          <w:szCs w:val="24"/>
        </w:rPr>
        <w:t>2</w:t>
      </w:r>
      <w:r>
        <w:rPr>
          <w:rFonts w:hint="default" w:ascii="Times New Roman" w:hAnsi="Times New Roman" w:cs="Times New Roman"/>
          <w:color w:val="auto"/>
          <w:sz w:val="24"/>
          <w:szCs w:val="24"/>
        </w:rPr>
        <w:t>）岳环评〔2</w:t>
      </w:r>
      <w:r>
        <w:rPr>
          <w:rFonts w:ascii="Times New Roman" w:hAnsi="Times New Roman" w:cs="Times New Roman"/>
          <w:color w:val="auto"/>
          <w:sz w:val="24"/>
          <w:szCs w:val="24"/>
        </w:rPr>
        <w:t>0</w:t>
      </w:r>
      <w:r>
        <w:rPr>
          <w:rFonts w:hint="default" w:ascii="Times New Roman" w:hAnsi="Times New Roman" w:cs="Times New Roman"/>
          <w:color w:val="auto"/>
          <w:sz w:val="24"/>
          <w:szCs w:val="24"/>
        </w:rPr>
        <w:t>19〕</w:t>
      </w:r>
      <w:r>
        <w:rPr>
          <w:rFonts w:ascii="Times New Roman" w:hAnsi="Times New Roman" w:cs="Times New Roman"/>
          <w:color w:val="auto"/>
          <w:sz w:val="24"/>
          <w:szCs w:val="24"/>
        </w:rPr>
        <w:t>1</w:t>
      </w:r>
      <w:r>
        <w:rPr>
          <w:rFonts w:hint="default" w:ascii="Times New Roman" w:hAnsi="Times New Roman" w:cs="Times New Roman"/>
          <w:color w:val="auto"/>
          <w:sz w:val="24"/>
          <w:szCs w:val="24"/>
        </w:rPr>
        <w:t>04号《关于</w:t>
      </w:r>
      <w:r>
        <w:rPr>
          <w:rFonts w:hint="default" w:ascii="Times New Roman" w:hAnsi="Times New Roman" w:cs="Times New Roman"/>
          <w:color w:val="auto"/>
          <w:kern w:val="0"/>
          <w:sz w:val="24"/>
          <w:szCs w:val="24"/>
        </w:rPr>
        <w:t>岳阳中展科技有限公司12.6kt/a特种胺项目</w:t>
      </w:r>
      <w:r>
        <w:rPr>
          <w:rFonts w:hint="default" w:ascii="Times New Roman" w:hAnsi="Times New Roman" w:cs="Times New Roman"/>
          <w:color w:val="auto"/>
          <w:sz w:val="24"/>
          <w:szCs w:val="24"/>
        </w:rPr>
        <w:t>环境影响报告书的批复》，2019年7月。</w:t>
      </w:r>
    </w:p>
    <w:p>
      <w:pPr>
        <w:spacing w:line="360" w:lineRule="auto"/>
        <w:outlineLvl w:val="0"/>
        <w:rPr>
          <w:rFonts w:ascii="Times New Roman" w:hAnsi="Times New Roman" w:cs="Times New Roman"/>
          <w:b/>
          <w:color w:val="auto"/>
          <w:sz w:val="32"/>
          <w:szCs w:val="32"/>
        </w:rPr>
      </w:pPr>
      <w:bookmarkStart w:id="13" w:name="_Toc85120872"/>
      <w:bookmarkStart w:id="14" w:name="_Toc13194"/>
      <w:r>
        <w:rPr>
          <w:rFonts w:hint="default" w:ascii="Times New Roman" w:hAnsi="Times New Roman" w:cs="Times New Roman"/>
          <w:b/>
          <w:color w:val="auto"/>
          <w:sz w:val="32"/>
          <w:szCs w:val="32"/>
        </w:rPr>
        <w:t>3、项目建设情况</w:t>
      </w:r>
      <w:bookmarkEnd w:id="13"/>
      <w:bookmarkEnd w:id="14"/>
    </w:p>
    <w:p>
      <w:pPr>
        <w:spacing w:line="360" w:lineRule="auto"/>
        <w:outlineLvl w:val="1"/>
        <w:rPr>
          <w:rFonts w:ascii="Times New Roman" w:hAnsi="Times New Roman" w:cs="Times New Roman"/>
          <w:b/>
          <w:color w:val="auto"/>
          <w:sz w:val="30"/>
          <w:szCs w:val="30"/>
        </w:rPr>
      </w:pPr>
      <w:bookmarkStart w:id="15" w:name="_Toc85120873"/>
      <w:bookmarkStart w:id="16" w:name="_Toc4939"/>
      <w:r>
        <w:rPr>
          <w:rFonts w:hint="default" w:ascii="Times New Roman" w:hAnsi="Times New Roman" w:cs="Times New Roman"/>
          <w:b/>
          <w:color w:val="auto"/>
          <w:sz w:val="30"/>
          <w:szCs w:val="30"/>
        </w:rPr>
        <w:t>3.1地理位置及平面布置</w:t>
      </w:r>
      <w:bookmarkEnd w:id="15"/>
      <w:bookmarkEnd w:id="16"/>
    </w:p>
    <w:p>
      <w:pPr>
        <w:pStyle w:val="27"/>
        <w:spacing w:after="0" w:line="360" w:lineRule="auto"/>
        <w:ind w:firstLine="480" w:firstLineChars="200"/>
        <w:rPr>
          <w:rFonts w:ascii="Times New Roman" w:hAnsi="Times New Roman"/>
          <w:color w:val="auto"/>
          <w:sz w:val="24"/>
          <w:szCs w:val="24"/>
        </w:rPr>
      </w:pPr>
      <w:r>
        <w:rPr>
          <w:rFonts w:ascii="Times New Roman" w:hAnsi="Times New Roman"/>
          <w:color w:val="auto"/>
          <w:sz w:val="24"/>
          <w:szCs w:val="24"/>
        </w:rPr>
        <w:t>岳阳市位于湖南省的东北部，东径112度至114度，北纬28度至29度之间。岳阳毗邻“两带”（长三角经济带和珠三角经济带）、承接“两圈”（长株潭城市圈和武汉城市圈），处于长江“黄金水道”与京广铁路两大动脉的交叉点；长江、湘江、资江、沅江、澧江和洞庭湖的汇合点；湘、鄂、赣三省交界的联络点；国家实施”弓箭”型发展战略的受力点，是湖南省“一点一线”发展战略上的优势地区。</w:t>
      </w:r>
    </w:p>
    <w:p>
      <w:pPr>
        <w:pStyle w:val="27"/>
        <w:spacing w:after="0" w:line="360" w:lineRule="auto"/>
        <w:ind w:firstLine="480" w:firstLineChars="200"/>
        <w:rPr>
          <w:rFonts w:ascii="Times New Roman" w:hAnsi="Times New Roman"/>
          <w:color w:val="auto"/>
          <w:sz w:val="24"/>
          <w:szCs w:val="24"/>
        </w:rPr>
      </w:pPr>
      <w:r>
        <w:rPr>
          <w:rFonts w:ascii="Times New Roman" w:hAnsi="Times New Roman"/>
          <w:color w:val="auto"/>
          <w:sz w:val="24"/>
          <w:szCs w:val="24"/>
        </w:rPr>
        <w:t>云溪区地处岳阳市城区东北部、长江中游南岸，位于东经113°08′~113°23，北纬29°23′~29°38′之间，西濒东洞庭湖，东与临湘市接壤，西北与湖北省监利县、洪湖市隔江相望，南部与岳阳楼区和岳阳县毗邻，南距岳阳市区22km。</w:t>
      </w:r>
    </w:p>
    <w:p>
      <w:pPr>
        <w:spacing w:line="360" w:lineRule="auto"/>
        <w:ind w:firstLine="480" w:firstLineChars="200"/>
        <w:rPr>
          <w:rFonts w:ascii="Times New Roman" w:hAnsi="Times New Roman" w:cs="Times New Roman"/>
          <w:color w:val="auto"/>
          <w:kern w:val="0"/>
          <w:sz w:val="24"/>
          <w:szCs w:val="24"/>
        </w:rPr>
      </w:pPr>
      <w:r>
        <w:rPr>
          <w:rFonts w:ascii="Times New Roman" w:hAnsi="Times New Roman" w:eastAsia="宋体" w:cs="Times New Roman"/>
          <w:color w:val="auto"/>
          <w:sz w:val="24"/>
          <w:szCs w:val="24"/>
        </w:rPr>
        <w:t>本项目位于湖南岳阳绿色化工产业园（原湖南岳阳云溪工业园），湖南岳阳绿色化工产业园位于岳阳市云溪区西郊，本项目选址位于湖南岳阳绿色化工产业园</w:t>
      </w:r>
      <w:r>
        <w:rPr>
          <w:rFonts w:hint="default" w:ascii="Times New Roman" w:hAnsi="Times New Roman" w:eastAsia="宋体" w:cs="Times New Roman"/>
          <w:color w:val="auto"/>
          <w:sz w:val="24"/>
          <w:szCs w:val="24"/>
        </w:rPr>
        <w:t>西</w:t>
      </w:r>
      <w:r>
        <w:rPr>
          <w:rFonts w:ascii="Times New Roman" w:hAnsi="Times New Roman" w:eastAsia="宋体" w:cs="Times New Roman"/>
          <w:color w:val="auto"/>
          <w:sz w:val="24"/>
          <w:szCs w:val="24"/>
        </w:rPr>
        <w:t>北</w:t>
      </w:r>
      <w:r>
        <w:rPr>
          <w:rFonts w:hint="default" w:ascii="Times New Roman" w:hAnsi="Times New Roman" w:eastAsia="宋体" w:cs="Times New Roman"/>
          <w:color w:val="auto"/>
          <w:sz w:val="24"/>
          <w:szCs w:val="24"/>
        </w:rPr>
        <w:t>角</w:t>
      </w:r>
      <w:r>
        <w:rPr>
          <w:rFonts w:ascii="Times New Roman" w:hAnsi="Times New Roman" w:eastAsia="宋体" w:cs="Times New Roman"/>
          <w:color w:val="auto"/>
          <w:sz w:val="24"/>
          <w:szCs w:val="24"/>
        </w:rPr>
        <w:t>，选址中心点坐标为东经113.249101052，北纬29.5060111442。</w:t>
      </w:r>
      <w:r>
        <w:rPr>
          <w:rFonts w:ascii="Times New Roman" w:hAnsi="Times New Roman" w:cs="Times New Roman"/>
          <w:color w:val="auto"/>
          <w:sz w:val="24"/>
          <w:szCs w:val="24"/>
        </w:rPr>
        <w:t>具</w:t>
      </w:r>
      <w:r>
        <w:rPr>
          <w:rFonts w:ascii="Times New Roman" w:hAnsi="Times New Roman" w:cs="Times New Roman"/>
          <w:color w:val="auto"/>
          <w:kern w:val="0"/>
          <w:sz w:val="24"/>
          <w:szCs w:val="24"/>
        </w:rPr>
        <w:t>体地理位置详见附图一，</w:t>
      </w:r>
      <w:r>
        <w:rPr>
          <w:rFonts w:hint="default" w:ascii="Times New Roman" w:hAnsi="Times New Roman" w:cs="Times New Roman"/>
          <w:color w:val="auto"/>
          <w:kern w:val="0"/>
          <w:sz w:val="24"/>
          <w:szCs w:val="24"/>
        </w:rPr>
        <w:t>总</w:t>
      </w:r>
      <w:r>
        <w:rPr>
          <w:rFonts w:ascii="Times New Roman" w:hAnsi="Times New Roman" w:cs="Times New Roman"/>
          <w:color w:val="auto"/>
          <w:sz w:val="24"/>
        </w:rPr>
        <w:t>平面布置见附图二。</w:t>
      </w:r>
    </w:p>
    <w:p>
      <w:pPr>
        <w:spacing w:line="360" w:lineRule="auto"/>
        <w:outlineLvl w:val="1"/>
        <w:rPr>
          <w:rFonts w:ascii="Times New Roman" w:hAnsi="Times New Roman" w:cs="Times New Roman"/>
          <w:b/>
          <w:color w:val="auto"/>
          <w:sz w:val="30"/>
          <w:szCs w:val="30"/>
        </w:rPr>
      </w:pPr>
      <w:bookmarkStart w:id="17" w:name="_Toc85120874"/>
      <w:bookmarkStart w:id="18" w:name="_Toc26172"/>
      <w:r>
        <w:rPr>
          <w:rFonts w:hint="default" w:ascii="Times New Roman" w:hAnsi="Times New Roman" w:cs="Times New Roman"/>
          <w:b/>
          <w:color w:val="auto"/>
          <w:sz w:val="30"/>
          <w:szCs w:val="30"/>
        </w:rPr>
        <w:t>3.2建设内容</w:t>
      </w:r>
      <w:bookmarkEnd w:id="17"/>
      <w:bookmarkEnd w:id="18"/>
    </w:p>
    <w:p>
      <w:pPr>
        <w:adjustRightInd w:val="0"/>
        <w:snapToGrid w:val="0"/>
        <w:spacing w:line="360" w:lineRule="auto"/>
        <w:ind w:firstLine="480" w:firstLineChars="200"/>
        <w:rPr>
          <w:rFonts w:ascii="Times New Roman" w:hAnsi="Times New Roman" w:cs="Times New Roman"/>
          <w:bCs/>
          <w:color w:val="auto"/>
          <w:sz w:val="24"/>
          <w:szCs w:val="24"/>
        </w:rPr>
      </w:pPr>
      <w:r>
        <w:rPr>
          <w:rFonts w:ascii="Times New Roman" w:hAnsi="Times New Roman" w:cs="Times New Roman"/>
          <w:bCs/>
          <w:color w:val="auto"/>
          <w:sz w:val="24"/>
          <w:szCs w:val="24"/>
        </w:rPr>
        <w:t>本项目</w:t>
      </w:r>
      <w:r>
        <w:rPr>
          <w:rFonts w:hint="default" w:ascii="Times New Roman" w:hAnsi="Times New Roman" w:cs="Times New Roman"/>
          <w:color w:val="auto"/>
          <w:kern w:val="0"/>
          <w:sz w:val="24"/>
          <w:szCs w:val="24"/>
        </w:rPr>
        <w:t>共有DMP-30生产线1条、PPA固化剂生产线2条、改性胺固化剂生产线1条、聚酰胺固化剂生产线1条，共生产特种胺12.6kt/a</w:t>
      </w:r>
      <w:r>
        <w:rPr>
          <w:rFonts w:ascii="Times New Roman" w:hAnsi="Times New Roman" w:cs="Times New Roman"/>
          <w:color w:val="auto"/>
          <w:sz w:val="24"/>
          <w:szCs w:val="24"/>
        </w:rPr>
        <w:t>。项目占地面积32932m</w:t>
      </w:r>
      <w:r>
        <w:rPr>
          <w:rFonts w:ascii="Times New Roman" w:hAnsi="Times New Roman" w:cs="Times New Roman"/>
          <w:color w:val="auto"/>
          <w:sz w:val="24"/>
          <w:szCs w:val="24"/>
          <w:vertAlign w:val="superscript"/>
        </w:rPr>
        <w:t>2</w:t>
      </w:r>
      <w:r>
        <w:rPr>
          <w:rFonts w:hint="default" w:ascii="Times New Roman" w:hAnsi="Times New Roman" w:cs="Times New Roman"/>
          <w:bCs/>
          <w:color w:val="auto"/>
          <w:sz w:val="24"/>
          <w:szCs w:val="24"/>
        </w:rPr>
        <w:t>。</w:t>
      </w:r>
    </w:p>
    <w:p>
      <w:pPr>
        <w:spacing w:line="360" w:lineRule="auto"/>
        <w:ind w:firstLine="480" w:firstLineChars="200"/>
        <w:rPr>
          <w:rFonts w:ascii="Times New Roman" w:hAnsi="Times New Roman" w:cs="Times New Roman"/>
          <w:color w:val="auto"/>
          <w:sz w:val="24"/>
          <w:szCs w:val="24"/>
        </w:rPr>
      </w:pPr>
      <w:r>
        <w:rPr>
          <w:rFonts w:hint="default" w:ascii="Times New Roman" w:hAnsi="Times New Roman" w:cs="Times New Roman"/>
          <w:color w:val="auto"/>
          <w:sz w:val="24"/>
          <w:szCs w:val="24"/>
        </w:rPr>
        <w:t>企业基本情况见表3.2-1，主要建筑内容见表3.2-2。</w:t>
      </w:r>
    </w:p>
    <w:p>
      <w:pPr>
        <w:autoSpaceDE w:val="0"/>
        <w:autoSpaceDN w:val="0"/>
        <w:adjustRightInd w:val="0"/>
        <w:jc w:val="center"/>
        <w:rPr>
          <w:rFonts w:ascii="Times New Roman" w:hAnsi="Times New Roman" w:cs="Times New Roman"/>
          <w:b/>
          <w:color w:val="auto"/>
          <w:spacing w:val="10"/>
          <w:kern w:val="24"/>
          <w:szCs w:val="21"/>
        </w:rPr>
      </w:pPr>
      <w:r>
        <w:rPr>
          <w:rFonts w:ascii="Times New Roman" w:hAnsi="Times New Roman" w:eastAsia="宋体" w:cs="Times New Roman"/>
          <w:b/>
          <w:color w:val="auto"/>
          <w:spacing w:val="10"/>
          <w:kern w:val="24"/>
          <w:szCs w:val="21"/>
        </w:rPr>
        <w:t>表3.</w:t>
      </w:r>
      <w:r>
        <w:rPr>
          <w:rFonts w:hint="default" w:ascii="Times New Roman" w:hAnsi="Times New Roman" w:eastAsia="宋体" w:cs="Times New Roman"/>
          <w:b/>
          <w:color w:val="auto"/>
          <w:spacing w:val="10"/>
          <w:kern w:val="24"/>
          <w:szCs w:val="21"/>
        </w:rPr>
        <w:t>2</w:t>
      </w:r>
      <w:r>
        <w:rPr>
          <w:rFonts w:ascii="Times New Roman" w:hAnsi="Times New Roman" w:eastAsia="宋体" w:cs="Times New Roman"/>
          <w:b/>
          <w:color w:val="auto"/>
          <w:spacing w:val="10"/>
          <w:kern w:val="24"/>
          <w:szCs w:val="21"/>
        </w:rPr>
        <w:t>-1</w:t>
      </w:r>
      <w:r>
        <w:rPr>
          <w:rFonts w:hint="default" w:ascii="Times New Roman" w:hAnsi="Times New Roman" w:eastAsia="宋体" w:cs="Times New Roman"/>
          <w:b/>
          <w:color w:val="auto"/>
          <w:spacing w:val="10"/>
          <w:kern w:val="24"/>
          <w:szCs w:val="21"/>
        </w:rPr>
        <w:t xml:space="preserve">  </w:t>
      </w:r>
      <w:r>
        <w:rPr>
          <w:rFonts w:ascii="Times New Roman" w:hAnsi="Times New Roman" w:eastAsia="宋体" w:cs="Times New Roman"/>
          <w:b/>
          <w:color w:val="auto"/>
          <w:spacing w:val="10"/>
          <w:kern w:val="24"/>
          <w:szCs w:val="21"/>
        </w:rPr>
        <w:t>工程</w:t>
      </w:r>
      <w:r>
        <w:rPr>
          <w:rFonts w:hint="default" w:ascii="Times New Roman" w:hAnsi="Times New Roman" w:eastAsia="宋体" w:cs="Times New Roman"/>
          <w:b/>
          <w:color w:val="auto"/>
          <w:spacing w:val="10"/>
          <w:kern w:val="24"/>
          <w:szCs w:val="21"/>
        </w:rPr>
        <w:t>建设</w:t>
      </w:r>
      <w:r>
        <w:rPr>
          <w:rFonts w:ascii="Times New Roman" w:hAnsi="Times New Roman" w:eastAsia="宋体" w:cs="Times New Roman"/>
          <w:b/>
          <w:color w:val="auto"/>
          <w:spacing w:val="10"/>
          <w:kern w:val="24"/>
          <w:szCs w:val="21"/>
        </w:rPr>
        <w:t>基本情况一览表</w:t>
      </w:r>
    </w:p>
    <w:tbl>
      <w:tblPr>
        <w:tblStyle w:val="28"/>
        <w:tblW w:w="8522"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52"/>
        <w:gridCol w:w="1501"/>
        <w:gridCol w:w="626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blHeader/>
        </w:trPr>
        <w:tc>
          <w:tcPr>
            <w:tcW w:w="752" w:type="dxa"/>
            <w:vAlign w:val="center"/>
          </w:tcPr>
          <w:p>
            <w:pPr>
              <w:spacing w:before="31" w:beforeLines="10" w:after="31" w:afterLines="10"/>
              <w:jc w:val="center"/>
              <w:rPr>
                <w:rFonts w:ascii="Times New Roman" w:hAnsi="Times New Roman" w:cs="Times New Roman"/>
                <w:b/>
                <w:color w:val="auto"/>
                <w:szCs w:val="21"/>
              </w:rPr>
            </w:pPr>
            <w:r>
              <w:rPr>
                <w:rFonts w:ascii="Times New Roman" w:hAnsi="Times New Roman" w:cs="Times New Roman"/>
                <w:b/>
                <w:color w:val="auto"/>
                <w:szCs w:val="21"/>
              </w:rPr>
              <w:t>序号</w:t>
            </w:r>
          </w:p>
        </w:tc>
        <w:tc>
          <w:tcPr>
            <w:tcW w:w="1501" w:type="dxa"/>
            <w:vAlign w:val="center"/>
          </w:tcPr>
          <w:p>
            <w:pPr>
              <w:spacing w:before="31" w:beforeLines="10" w:after="31" w:afterLines="10"/>
              <w:jc w:val="center"/>
              <w:rPr>
                <w:rFonts w:ascii="Times New Roman" w:hAnsi="Times New Roman" w:cs="Times New Roman"/>
                <w:b/>
                <w:color w:val="auto"/>
                <w:szCs w:val="21"/>
              </w:rPr>
            </w:pPr>
            <w:r>
              <w:rPr>
                <w:rFonts w:ascii="Times New Roman" w:hAnsi="Times New Roman" w:cs="Times New Roman"/>
                <w:b/>
                <w:color w:val="auto"/>
                <w:szCs w:val="21"/>
              </w:rPr>
              <w:t>类别</w:t>
            </w:r>
          </w:p>
        </w:tc>
        <w:tc>
          <w:tcPr>
            <w:tcW w:w="6269" w:type="dxa"/>
            <w:vAlign w:val="center"/>
          </w:tcPr>
          <w:p>
            <w:pPr>
              <w:spacing w:before="31" w:beforeLines="10" w:after="31" w:afterLines="10"/>
              <w:jc w:val="center"/>
              <w:rPr>
                <w:rFonts w:ascii="Times New Roman" w:hAnsi="Times New Roman" w:cs="Times New Roman"/>
                <w:b/>
                <w:color w:val="auto"/>
                <w:szCs w:val="21"/>
              </w:rPr>
            </w:pPr>
            <w:r>
              <w:rPr>
                <w:rFonts w:ascii="Times New Roman" w:hAnsi="Times New Roman" w:cs="Times New Roman"/>
                <w:b/>
                <w:color w:val="auto"/>
                <w:szCs w:val="21"/>
              </w:rPr>
              <w:t>基本情况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52" w:type="dxa"/>
            <w:vAlign w:val="center"/>
          </w:tcPr>
          <w:p>
            <w:pPr>
              <w:spacing w:before="31" w:beforeLines="10" w:after="31" w:afterLines="10"/>
              <w:jc w:val="center"/>
              <w:rPr>
                <w:rFonts w:ascii="Times New Roman" w:hAnsi="Times New Roman" w:cs="Times New Roman"/>
                <w:color w:val="auto"/>
                <w:szCs w:val="21"/>
              </w:rPr>
            </w:pPr>
            <w:r>
              <w:rPr>
                <w:rFonts w:ascii="Times New Roman" w:hAnsi="Times New Roman" w:cs="Times New Roman"/>
                <w:color w:val="auto"/>
                <w:szCs w:val="21"/>
              </w:rPr>
              <w:t>1</w:t>
            </w:r>
          </w:p>
        </w:tc>
        <w:tc>
          <w:tcPr>
            <w:tcW w:w="1501" w:type="dxa"/>
            <w:vAlign w:val="center"/>
          </w:tcPr>
          <w:p>
            <w:pPr>
              <w:spacing w:before="31" w:beforeLines="10" w:after="31" w:afterLines="10"/>
              <w:jc w:val="center"/>
              <w:rPr>
                <w:rFonts w:ascii="Times New Roman" w:hAnsi="Times New Roman" w:cs="Times New Roman"/>
                <w:color w:val="auto"/>
                <w:szCs w:val="21"/>
              </w:rPr>
            </w:pPr>
            <w:r>
              <w:rPr>
                <w:rFonts w:ascii="Times New Roman" w:hAnsi="Times New Roman" w:cs="Times New Roman"/>
                <w:color w:val="auto"/>
                <w:szCs w:val="21"/>
              </w:rPr>
              <w:t>项目名称</w:t>
            </w:r>
          </w:p>
        </w:tc>
        <w:tc>
          <w:tcPr>
            <w:tcW w:w="6269" w:type="dxa"/>
            <w:vAlign w:val="center"/>
          </w:tcPr>
          <w:p>
            <w:pPr>
              <w:spacing w:before="31" w:beforeLines="10" w:after="31" w:afterLines="10"/>
              <w:jc w:val="center"/>
              <w:rPr>
                <w:rFonts w:ascii="Times New Roman" w:hAnsi="Times New Roman" w:cs="Times New Roman"/>
                <w:color w:val="auto"/>
                <w:szCs w:val="21"/>
              </w:rPr>
            </w:pPr>
            <w:r>
              <w:rPr>
                <w:rFonts w:hint="default" w:ascii="Times New Roman" w:hAnsi="Times New Roman" w:cs="Times New Roman"/>
                <w:color w:val="auto"/>
                <w:kern w:val="0"/>
                <w:szCs w:val="21"/>
              </w:rPr>
              <w:t>岳阳中展科技有限公司12.6kt/a特种胺项目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52" w:type="dxa"/>
            <w:vAlign w:val="center"/>
          </w:tcPr>
          <w:p>
            <w:pPr>
              <w:spacing w:before="31" w:beforeLines="10" w:after="31" w:afterLines="10"/>
              <w:jc w:val="center"/>
              <w:rPr>
                <w:rFonts w:ascii="Times New Roman" w:hAnsi="Times New Roman" w:cs="Times New Roman"/>
                <w:color w:val="auto"/>
                <w:szCs w:val="21"/>
              </w:rPr>
            </w:pPr>
            <w:r>
              <w:rPr>
                <w:rFonts w:ascii="Times New Roman" w:hAnsi="Times New Roman" w:cs="Times New Roman"/>
                <w:color w:val="auto"/>
                <w:szCs w:val="21"/>
              </w:rPr>
              <w:t>2</w:t>
            </w:r>
          </w:p>
        </w:tc>
        <w:tc>
          <w:tcPr>
            <w:tcW w:w="1501" w:type="dxa"/>
            <w:vAlign w:val="center"/>
          </w:tcPr>
          <w:p>
            <w:pPr>
              <w:spacing w:before="31" w:beforeLines="10" w:after="31" w:afterLines="10"/>
              <w:jc w:val="center"/>
              <w:rPr>
                <w:rFonts w:ascii="Times New Roman" w:hAnsi="Times New Roman" w:cs="Times New Roman"/>
                <w:color w:val="auto"/>
                <w:szCs w:val="21"/>
              </w:rPr>
            </w:pPr>
            <w:r>
              <w:rPr>
                <w:rFonts w:ascii="Times New Roman" w:hAnsi="Times New Roman" w:cs="Times New Roman"/>
                <w:color w:val="auto"/>
                <w:szCs w:val="21"/>
              </w:rPr>
              <w:t>建设单位</w:t>
            </w:r>
          </w:p>
        </w:tc>
        <w:tc>
          <w:tcPr>
            <w:tcW w:w="6269" w:type="dxa"/>
            <w:vAlign w:val="center"/>
          </w:tcPr>
          <w:p>
            <w:pPr>
              <w:spacing w:before="31" w:beforeLines="10" w:after="31" w:afterLines="10"/>
              <w:jc w:val="center"/>
              <w:rPr>
                <w:rFonts w:ascii="Times New Roman" w:hAnsi="Times New Roman" w:cs="Times New Roman"/>
                <w:color w:val="auto"/>
                <w:szCs w:val="21"/>
              </w:rPr>
            </w:pPr>
            <w:r>
              <w:rPr>
                <w:rFonts w:hint="default" w:ascii="Times New Roman" w:hAnsi="Times New Roman" w:cs="Times New Roman"/>
                <w:color w:val="auto"/>
                <w:szCs w:val="21"/>
              </w:rPr>
              <w:t>岳阳中展科技有限公司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52" w:type="dxa"/>
            <w:vAlign w:val="center"/>
          </w:tcPr>
          <w:p>
            <w:pPr>
              <w:spacing w:before="31" w:beforeLines="10" w:after="31" w:afterLines="10"/>
              <w:jc w:val="center"/>
              <w:rPr>
                <w:rFonts w:ascii="Times New Roman" w:hAnsi="Times New Roman" w:cs="Times New Roman"/>
                <w:color w:val="auto"/>
                <w:szCs w:val="21"/>
              </w:rPr>
            </w:pPr>
            <w:r>
              <w:rPr>
                <w:rFonts w:ascii="Times New Roman" w:hAnsi="Times New Roman" w:cs="Times New Roman"/>
                <w:color w:val="auto"/>
                <w:szCs w:val="21"/>
              </w:rPr>
              <w:t>3</w:t>
            </w:r>
          </w:p>
        </w:tc>
        <w:tc>
          <w:tcPr>
            <w:tcW w:w="1501" w:type="dxa"/>
            <w:vAlign w:val="center"/>
          </w:tcPr>
          <w:p>
            <w:pPr>
              <w:spacing w:before="31" w:beforeLines="10" w:after="31" w:afterLines="10"/>
              <w:jc w:val="center"/>
              <w:rPr>
                <w:rFonts w:ascii="Times New Roman" w:hAnsi="Times New Roman" w:cs="Times New Roman"/>
                <w:color w:val="auto"/>
                <w:szCs w:val="21"/>
              </w:rPr>
            </w:pPr>
            <w:r>
              <w:rPr>
                <w:rFonts w:ascii="Times New Roman" w:hAnsi="Times New Roman" w:cs="Times New Roman"/>
                <w:color w:val="auto"/>
                <w:szCs w:val="21"/>
              </w:rPr>
              <w:t>建设地点</w:t>
            </w:r>
          </w:p>
        </w:tc>
        <w:tc>
          <w:tcPr>
            <w:tcW w:w="6269" w:type="dxa"/>
            <w:vAlign w:val="center"/>
          </w:tcPr>
          <w:p>
            <w:pPr>
              <w:spacing w:before="31" w:beforeLines="10" w:after="31" w:afterLines="10"/>
              <w:jc w:val="center"/>
              <w:rPr>
                <w:rFonts w:ascii="Times New Roman" w:hAnsi="Times New Roman" w:cs="Times New Roman"/>
                <w:color w:val="auto"/>
                <w:szCs w:val="21"/>
              </w:rPr>
            </w:pPr>
            <w:r>
              <w:rPr>
                <w:rFonts w:hint="default" w:ascii="Times New Roman" w:hAnsi="Times New Roman" w:cs="Times New Roman"/>
                <w:color w:val="auto"/>
                <w:szCs w:val="21"/>
              </w:rPr>
              <w:t>岳阳绿色化工产业园云溪片区西北角（企业厂区中心坐标为东经东经：113.249101052；北纬：29.5060111442）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52" w:type="dxa"/>
            <w:vAlign w:val="center"/>
          </w:tcPr>
          <w:p>
            <w:pPr>
              <w:spacing w:before="31" w:beforeLines="10" w:after="31" w:afterLines="10"/>
              <w:jc w:val="center"/>
              <w:rPr>
                <w:rFonts w:ascii="Times New Roman" w:hAnsi="Times New Roman" w:cs="Times New Roman"/>
                <w:color w:val="auto"/>
                <w:szCs w:val="21"/>
              </w:rPr>
            </w:pPr>
            <w:r>
              <w:rPr>
                <w:rFonts w:ascii="Times New Roman" w:hAnsi="Times New Roman" w:cs="Times New Roman"/>
                <w:color w:val="auto"/>
                <w:szCs w:val="21"/>
              </w:rPr>
              <w:t>4</w:t>
            </w:r>
          </w:p>
        </w:tc>
        <w:tc>
          <w:tcPr>
            <w:tcW w:w="1501" w:type="dxa"/>
            <w:vAlign w:val="center"/>
          </w:tcPr>
          <w:p>
            <w:pPr>
              <w:spacing w:before="31" w:beforeLines="10" w:after="31" w:afterLines="10"/>
              <w:jc w:val="center"/>
              <w:rPr>
                <w:rFonts w:ascii="Times New Roman" w:hAnsi="Times New Roman" w:cs="Times New Roman"/>
                <w:color w:val="auto"/>
                <w:szCs w:val="21"/>
              </w:rPr>
            </w:pPr>
            <w:r>
              <w:rPr>
                <w:rFonts w:ascii="Times New Roman" w:hAnsi="Times New Roman" w:cs="Times New Roman"/>
                <w:color w:val="auto"/>
                <w:szCs w:val="21"/>
              </w:rPr>
              <w:t>建设性质</w:t>
            </w:r>
          </w:p>
        </w:tc>
        <w:tc>
          <w:tcPr>
            <w:tcW w:w="6269" w:type="dxa"/>
            <w:vAlign w:val="center"/>
          </w:tcPr>
          <w:p>
            <w:pPr>
              <w:spacing w:before="31" w:beforeLines="10" w:after="31" w:afterLines="10"/>
              <w:jc w:val="center"/>
              <w:rPr>
                <w:rFonts w:ascii="Times New Roman" w:hAnsi="Times New Roman" w:cs="Times New Roman"/>
                <w:color w:val="auto"/>
                <w:szCs w:val="21"/>
              </w:rPr>
            </w:pPr>
            <w:r>
              <w:rPr>
                <w:rFonts w:hint="default" w:ascii="Times New Roman" w:hAnsi="Times New Roman" w:cs="Times New Roman"/>
                <w:color w:val="auto"/>
                <w:szCs w:val="21"/>
              </w:rPr>
              <w:t>迁扩建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52" w:type="dxa"/>
            <w:vAlign w:val="center"/>
          </w:tcPr>
          <w:p>
            <w:pPr>
              <w:spacing w:before="31" w:beforeLines="10" w:after="31" w:afterLines="10"/>
              <w:jc w:val="center"/>
              <w:rPr>
                <w:rFonts w:ascii="Times New Roman" w:hAnsi="Times New Roman" w:cs="Times New Roman"/>
                <w:color w:val="auto"/>
                <w:szCs w:val="21"/>
              </w:rPr>
            </w:pPr>
            <w:r>
              <w:rPr>
                <w:rFonts w:ascii="Times New Roman" w:hAnsi="Times New Roman" w:cs="Times New Roman"/>
                <w:color w:val="auto"/>
                <w:szCs w:val="21"/>
              </w:rPr>
              <w:t>5</w:t>
            </w:r>
          </w:p>
        </w:tc>
        <w:tc>
          <w:tcPr>
            <w:tcW w:w="1501" w:type="dxa"/>
            <w:vAlign w:val="center"/>
          </w:tcPr>
          <w:p>
            <w:pPr>
              <w:spacing w:before="31" w:beforeLines="10" w:after="31" w:afterLines="10"/>
              <w:jc w:val="center"/>
              <w:rPr>
                <w:rFonts w:ascii="Times New Roman" w:hAnsi="Times New Roman" w:cs="Times New Roman"/>
                <w:color w:val="auto"/>
                <w:szCs w:val="21"/>
              </w:rPr>
            </w:pPr>
            <w:r>
              <w:rPr>
                <w:rFonts w:ascii="Times New Roman" w:hAnsi="Times New Roman" w:cs="Times New Roman"/>
                <w:color w:val="auto"/>
                <w:szCs w:val="21"/>
              </w:rPr>
              <w:t>建设规模</w:t>
            </w:r>
          </w:p>
        </w:tc>
        <w:tc>
          <w:tcPr>
            <w:tcW w:w="6269" w:type="dxa"/>
            <w:vAlign w:val="center"/>
          </w:tcPr>
          <w:p>
            <w:pPr>
              <w:spacing w:before="31" w:beforeLines="10" w:after="31" w:afterLines="10"/>
              <w:jc w:val="center"/>
              <w:rPr>
                <w:rFonts w:ascii="Times New Roman" w:hAnsi="Times New Roman" w:cs="Times New Roman"/>
                <w:color w:val="auto"/>
                <w:szCs w:val="21"/>
              </w:rPr>
            </w:pPr>
            <w:r>
              <w:rPr>
                <w:rFonts w:hint="default" w:ascii="Times New Roman" w:hAnsi="Times New Roman" w:cs="Times New Roman"/>
                <w:color w:val="auto"/>
                <w:szCs w:val="21"/>
              </w:rPr>
              <w:t>生产</w:t>
            </w:r>
            <w:r>
              <w:rPr>
                <w:rFonts w:ascii="Times New Roman" w:hAnsi="Times New Roman" w:cs="Times New Roman"/>
                <w:color w:val="auto"/>
                <w:szCs w:val="21"/>
              </w:rPr>
              <w:t>特种胺12.6kt/年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52" w:type="dxa"/>
            <w:vMerge w:val="restart"/>
            <w:vAlign w:val="center"/>
          </w:tcPr>
          <w:p>
            <w:pPr>
              <w:spacing w:before="31" w:beforeLines="10" w:after="31" w:afterLines="10"/>
              <w:jc w:val="center"/>
              <w:rPr>
                <w:rFonts w:ascii="Times New Roman" w:hAnsi="Times New Roman" w:cs="Times New Roman"/>
                <w:color w:val="auto"/>
                <w:szCs w:val="21"/>
              </w:rPr>
            </w:pPr>
            <w:r>
              <w:rPr>
                <w:rFonts w:ascii="Times New Roman" w:hAnsi="Times New Roman" w:cs="Times New Roman"/>
                <w:color w:val="auto"/>
                <w:szCs w:val="21"/>
              </w:rPr>
              <w:t>6</w:t>
            </w:r>
          </w:p>
        </w:tc>
        <w:tc>
          <w:tcPr>
            <w:tcW w:w="1501" w:type="dxa"/>
            <w:vMerge w:val="restart"/>
            <w:vAlign w:val="center"/>
          </w:tcPr>
          <w:p>
            <w:pPr>
              <w:spacing w:before="31" w:beforeLines="10" w:after="31" w:afterLines="10"/>
              <w:jc w:val="center"/>
              <w:rPr>
                <w:rFonts w:ascii="Times New Roman" w:hAnsi="Times New Roman" w:cs="Times New Roman"/>
                <w:color w:val="auto"/>
                <w:szCs w:val="21"/>
              </w:rPr>
            </w:pPr>
            <w:r>
              <w:rPr>
                <w:rFonts w:ascii="Times New Roman" w:hAnsi="Times New Roman" w:cs="Times New Roman"/>
                <w:color w:val="auto"/>
                <w:szCs w:val="21"/>
              </w:rPr>
              <w:t>建设内容</w:t>
            </w:r>
          </w:p>
        </w:tc>
        <w:tc>
          <w:tcPr>
            <w:tcW w:w="6269" w:type="dxa"/>
            <w:vAlign w:val="center"/>
          </w:tcPr>
          <w:p>
            <w:pPr>
              <w:spacing w:before="31" w:beforeLines="10" w:after="31" w:afterLines="10"/>
              <w:rPr>
                <w:rFonts w:ascii="Times New Roman" w:hAnsi="Times New Roman" w:cs="Times New Roman"/>
                <w:color w:val="auto"/>
                <w:szCs w:val="21"/>
              </w:rPr>
            </w:pPr>
            <w:r>
              <w:rPr>
                <w:rFonts w:hint="default" w:ascii="Times New Roman" w:hAnsi="Times New Roman" w:cs="Times New Roman"/>
                <w:color w:val="auto"/>
                <w:kern w:val="0"/>
                <w:szCs w:val="21"/>
              </w:rPr>
              <w:t>甲类车间一：</w:t>
            </w:r>
            <w:r>
              <w:rPr>
                <w:rFonts w:hint="default" w:ascii="Times New Roman" w:hAnsi="Times New Roman" w:cs="Times New Roman"/>
                <w:color w:val="auto"/>
              </w:rPr>
              <w:t>占地面积9</w:t>
            </w:r>
            <w:r>
              <w:rPr>
                <w:rFonts w:hint="eastAsia" w:ascii="Times New Roman" w:hAnsi="Times New Roman" w:cs="Times New Roman"/>
                <w:color w:val="auto"/>
                <w:lang w:val="en-US" w:eastAsia="zh-CN"/>
              </w:rPr>
              <w:t>34</w:t>
            </w:r>
            <w:r>
              <w:rPr>
                <w:rFonts w:hint="default" w:ascii="Times New Roman" w:hAnsi="Times New Roman" w:cs="Times New Roman"/>
                <w:color w:val="auto"/>
              </w:rPr>
              <w:t>m</w:t>
            </w:r>
            <w:r>
              <w:rPr>
                <w:rFonts w:hint="default" w:ascii="Times New Roman" w:hAnsi="Times New Roman" w:cs="Times New Roman"/>
                <w:color w:val="auto"/>
                <w:vertAlign w:val="superscript"/>
              </w:rPr>
              <w:t>2</w:t>
            </w:r>
            <w:r>
              <w:rPr>
                <w:rFonts w:hint="default" w:ascii="Times New Roman" w:hAnsi="Times New Roman" w:cs="Times New Roman"/>
                <w:color w:val="auto"/>
              </w:rPr>
              <w:t>，建筑面积2</w:t>
            </w:r>
            <w:r>
              <w:rPr>
                <w:rFonts w:hint="eastAsia" w:ascii="Times New Roman" w:hAnsi="Times New Roman" w:cs="Times New Roman"/>
                <w:color w:val="auto"/>
                <w:lang w:val="en-US" w:eastAsia="zh-CN"/>
              </w:rPr>
              <w:t>835</w:t>
            </w:r>
            <w:r>
              <w:rPr>
                <w:rFonts w:hint="default" w:ascii="Times New Roman" w:hAnsi="Times New Roman" w:cs="Times New Roman"/>
                <w:color w:val="auto"/>
              </w:rPr>
              <w:t>m</w:t>
            </w:r>
            <w:r>
              <w:rPr>
                <w:rFonts w:hint="default" w:ascii="Times New Roman" w:hAnsi="Times New Roman" w:cs="Times New Roman"/>
                <w:color w:val="auto"/>
                <w:vertAlign w:val="superscript"/>
              </w:rPr>
              <w:t>2</w:t>
            </w:r>
            <w:r>
              <w:rPr>
                <w:rFonts w:hint="default" w:ascii="Times New Roman" w:hAnsi="Times New Roman" w:cs="Times New Roman"/>
                <w:color w:val="auto"/>
              </w:rPr>
              <w:t>，框架结构，3F（本次评价生产使用）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rPr>
        <w:tc>
          <w:tcPr>
            <w:tcW w:w="752" w:type="dxa"/>
            <w:vMerge w:val="continue"/>
            <w:vAlign w:val="center"/>
          </w:tcPr>
          <w:p>
            <w:pPr>
              <w:spacing w:before="31" w:beforeLines="10" w:after="31" w:afterLines="10"/>
              <w:jc w:val="center"/>
              <w:rPr>
                <w:rFonts w:ascii="Times New Roman" w:hAnsi="Times New Roman" w:cs="Times New Roman"/>
                <w:color w:val="auto"/>
                <w:szCs w:val="21"/>
              </w:rPr>
            </w:pPr>
          </w:p>
        </w:tc>
        <w:tc>
          <w:tcPr>
            <w:tcW w:w="1501" w:type="dxa"/>
            <w:vMerge w:val="continue"/>
            <w:vAlign w:val="center"/>
          </w:tcPr>
          <w:p>
            <w:pPr>
              <w:spacing w:before="31" w:beforeLines="10" w:after="31" w:afterLines="10"/>
              <w:jc w:val="center"/>
              <w:rPr>
                <w:rFonts w:ascii="Times New Roman" w:hAnsi="Times New Roman" w:cs="Times New Roman"/>
                <w:color w:val="auto"/>
                <w:szCs w:val="21"/>
              </w:rPr>
            </w:pPr>
          </w:p>
        </w:tc>
        <w:tc>
          <w:tcPr>
            <w:tcW w:w="6269" w:type="dxa"/>
            <w:vAlign w:val="center"/>
          </w:tcPr>
          <w:p>
            <w:pPr>
              <w:jc w:val="left"/>
              <w:rPr>
                <w:rFonts w:ascii="Times New Roman" w:hAnsi="Times New Roman" w:cs="Times New Roman"/>
                <w:color w:val="auto"/>
              </w:rPr>
            </w:pPr>
            <w:r>
              <w:rPr>
                <w:rFonts w:hint="default" w:ascii="Times New Roman" w:hAnsi="Times New Roman" w:cs="Times New Roman"/>
                <w:color w:val="auto"/>
                <w:kern w:val="0"/>
                <w:szCs w:val="21"/>
              </w:rPr>
              <w:t>甲类车间二：</w:t>
            </w:r>
            <w:r>
              <w:rPr>
                <w:rFonts w:hint="default" w:ascii="Times New Roman" w:hAnsi="Times New Roman" w:cs="Times New Roman"/>
                <w:color w:val="auto"/>
              </w:rPr>
              <w:t>占地面积1200m</w:t>
            </w:r>
            <w:r>
              <w:rPr>
                <w:rFonts w:hint="default" w:ascii="Times New Roman" w:hAnsi="Times New Roman" w:cs="Times New Roman"/>
                <w:color w:val="auto"/>
                <w:vertAlign w:val="superscript"/>
              </w:rPr>
              <w:t>2</w:t>
            </w:r>
            <w:r>
              <w:rPr>
                <w:rFonts w:hint="default" w:ascii="Times New Roman" w:hAnsi="Times New Roman" w:cs="Times New Roman"/>
                <w:color w:val="auto"/>
              </w:rPr>
              <w:t>，建筑面积3600m</w:t>
            </w:r>
            <w:r>
              <w:rPr>
                <w:rFonts w:hint="default" w:ascii="Times New Roman" w:hAnsi="Times New Roman" w:cs="Times New Roman"/>
                <w:color w:val="auto"/>
                <w:vertAlign w:val="superscript"/>
              </w:rPr>
              <w:t>2</w:t>
            </w:r>
            <w:r>
              <w:rPr>
                <w:rFonts w:hint="default" w:ascii="Times New Roman" w:hAnsi="Times New Roman" w:cs="Times New Roman"/>
                <w:color w:val="auto"/>
              </w:rPr>
              <w:t>，框架结构，3F（远期发展预留，本次为闲置）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3" w:hRule="atLeast"/>
        </w:trPr>
        <w:tc>
          <w:tcPr>
            <w:tcW w:w="752" w:type="dxa"/>
            <w:vAlign w:val="center"/>
          </w:tcPr>
          <w:p>
            <w:pPr>
              <w:spacing w:before="31" w:beforeLines="10" w:after="31" w:afterLines="10"/>
              <w:jc w:val="center"/>
              <w:rPr>
                <w:rFonts w:ascii="Times New Roman" w:hAnsi="Times New Roman" w:cs="Times New Roman"/>
                <w:color w:val="auto"/>
                <w:szCs w:val="21"/>
              </w:rPr>
            </w:pPr>
            <w:r>
              <w:rPr>
                <w:rFonts w:ascii="Times New Roman" w:hAnsi="Times New Roman" w:cs="Times New Roman"/>
                <w:color w:val="auto"/>
                <w:szCs w:val="21"/>
              </w:rPr>
              <w:t>7</w:t>
            </w:r>
          </w:p>
        </w:tc>
        <w:tc>
          <w:tcPr>
            <w:tcW w:w="1501" w:type="dxa"/>
            <w:vAlign w:val="center"/>
          </w:tcPr>
          <w:p>
            <w:pPr>
              <w:spacing w:before="31" w:beforeLines="10" w:after="31" w:afterLines="10"/>
              <w:jc w:val="center"/>
              <w:rPr>
                <w:rFonts w:ascii="Times New Roman" w:hAnsi="Times New Roman" w:cs="Times New Roman"/>
                <w:color w:val="auto"/>
                <w:szCs w:val="21"/>
              </w:rPr>
            </w:pPr>
            <w:r>
              <w:rPr>
                <w:rFonts w:ascii="Times New Roman" w:hAnsi="Times New Roman" w:cs="Times New Roman"/>
                <w:color w:val="auto"/>
                <w:szCs w:val="21"/>
              </w:rPr>
              <w:t>环评情况</w:t>
            </w:r>
          </w:p>
        </w:tc>
        <w:tc>
          <w:tcPr>
            <w:tcW w:w="6269" w:type="dxa"/>
            <w:vAlign w:val="center"/>
          </w:tcPr>
          <w:p>
            <w:pPr>
              <w:spacing w:before="31" w:beforeLines="10" w:after="31" w:afterLines="10"/>
              <w:rPr>
                <w:rFonts w:ascii="Times New Roman" w:hAnsi="Times New Roman" w:cs="Times New Roman"/>
                <w:color w:val="auto"/>
                <w:szCs w:val="21"/>
              </w:rPr>
            </w:pPr>
            <w:r>
              <w:rPr>
                <w:rFonts w:ascii="Times New Roman" w:hAnsi="Times New Roman" w:cs="Times New Roman"/>
                <w:color w:val="auto"/>
                <w:szCs w:val="21"/>
              </w:rPr>
              <w:t>20</w:t>
            </w:r>
            <w:r>
              <w:rPr>
                <w:rFonts w:hint="default" w:ascii="Times New Roman" w:hAnsi="Times New Roman" w:cs="Times New Roman"/>
                <w:color w:val="auto"/>
                <w:szCs w:val="21"/>
              </w:rPr>
              <w:t>19</w:t>
            </w:r>
            <w:r>
              <w:rPr>
                <w:rFonts w:ascii="Times New Roman" w:hAnsi="Times New Roman" w:cs="Times New Roman"/>
                <w:color w:val="auto"/>
                <w:szCs w:val="21"/>
              </w:rPr>
              <w:t>年</w:t>
            </w:r>
            <w:r>
              <w:rPr>
                <w:rFonts w:hint="default" w:ascii="Times New Roman" w:hAnsi="Times New Roman" w:cs="Times New Roman"/>
                <w:color w:val="auto"/>
                <w:szCs w:val="21"/>
              </w:rPr>
              <w:t>湖南博咨环境技术咨询服务有限公司</w:t>
            </w:r>
            <w:r>
              <w:rPr>
                <w:rFonts w:ascii="Times New Roman" w:hAnsi="Times New Roman" w:cs="Times New Roman"/>
                <w:color w:val="auto"/>
                <w:szCs w:val="21"/>
              </w:rPr>
              <w:t>完成了</w:t>
            </w:r>
            <w:r>
              <w:rPr>
                <w:rFonts w:hint="default" w:ascii="Times New Roman" w:hAnsi="Times New Roman" w:cs="Times New Roman"/>
                <w:color w:val="auto"/>
                <w:szCs w:val="21"/>
              </w:rPr>
              <w:t>《</w:t>
            </w:r>
            <w:r>
              <w:rPr>
                <w:rFonts w:hint="default" w:ascii="Times New Roman" w:hAnsi="Times New Roman" w:cs="Times New Roman"/>
                <w:color w:val="auto"/>
                <w:kern w:val="0"/>
                <w:szCs w:val="21"/>
              </w:rPr>
              <w:t>岳阳中展科技有限公司12.6kt/a特种胺项目</w:t>
            </w:r>
            <w:r>
              <w:rPr>
                <w:rFonts w:hint="default" w:ascii="Times New Roman" w:hAnsi="Times New Roman" w:cs="Times New Roman"/>
                <w:color w:val="auto"/>
                <w:szCs w:val="21"/>
              </w:rPr>
              <w:t>环境影响报告书》</w:t>
            </w:r>
            <w:r>
              <w:rPr>
                <w:rFonts w:ascii="Times New Roman" w:hAnsi="Times New Roman" w:cs="Times New Roman"/>
                <w:color w:val="auto"/>
                <w:szCs w:val="21"/>
              </w:rPr>
              <w:t>，20</w:t>
            </w:r>
            <w:r>
              <w:rPr>
                <w:rFonts w:hint="default" w:ascii="Times New Roman" w:hAnsi="Times New Roman" w:cs="Times New Roman"/>
                <w:color w:val="auto"/>
                <w:szCs w:val="21"/>
              </w:rPr>
              <w:t>19</w:t>
            </w:r>
            <w:r>
              <w:rPr>
                <w:rFonts w:ascii="Times New Roman" w:hAnsi="Times New Roman" w:cs="Times New Roman"/>
                <w:color w:val="auto"/>
                <w:szCs w:val="21"/>
              </w:rPr>
              <w:t>年</w:t>
            </w:r>
            <w:r>
              <w:rPr>
                <w:rFonts w:hint="default" w:ascii="Times New Roman" w:hAnsi="Times New Roman" w:cs="Times New Roman"/>
                <w:color w:val="auto"/>
                <w:szCs w:val="21"/>
              </w:rPr>
              <w:t>7</w:t>
            </w:r>
            <w:r>
              <w:rPr>
                <w:rFonts w:ascii="Times New Roman" w:hAnsi="Times New Roman" w:cs="Times New Roman"/>
                <w:color w:val="auto"/>
                <w:szCs w:val="21"/>
              </w:rPr>
              <w:t>月</w:t>
            </w:r>
            <w:r>
              <w:rPr>
                <w:rFonts w:hint="default" w:ascii="Times New Roman" w:hAnsi="Times New Roman" w:cs="Times New Roman"/>
                <w:color w:val="auto"/>
                <w:szCs w:val="21"/>
              </w:rPr>
              <w:t>30</w:t>
            </w:r>
            <w:r>
              <w:rPr>
                <w:rFonts w:ascii="Times New Roman" w:hAnsi="Times New Roman" w:cs="Times New Roman"/>
                <w:color w:val="auto"/>
                <w:szCs w:val="21"/>
              </w:rPr>
              <w:t>日</w:t>
            </w:r>
            <w:r>
              <w:rPr>
                <w:rFonts w:hint="default" w:ascii="Times New Roman" w:hAnsi="Times New Roman" w:cs="Times New Roman"/>
                <w:color w:val="auto"/>
                <w:szCs w:val="21"/>
              </w:rPr>
              <w:t>获得该项目批复，批文号：</w:t>
            </w:r>
            <w:r>
              <w:rPr>
                <w:rFonts w:hint="default" w:ascii="Times New Roman" w:hAnsi="Times New Roman" w:cs="Times New Roman"/>
                <w:bCs/>
                <w:color w:val="auto"/>
                <w:szCs w:val="21"/>
              </w:rPr>
              <w:t>岳环评〔2019〕104号。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3" w:hRule="atLeast"/>
        </w:trPr>
        <w:tc>
          <w:tcPr>
            <w:tcW w:w="752" w:type="dxa"/>
            <w:vAlign w:val="center"/>
          </w:tcPr>
          <w:p>
            <w:pPr>
              <w:spacing w:before="31" w:beforeLines="10" w:after="31" w:afterLines="10"/>
              <w:jc w:val="center"/>
              <w:rPr>
                <w:rFonts w:ascii="Times New Roman" w:hAnsi="Times New Roman" w:cs="Times New Roman"/>
                <w:color w:val="auto"/>
                <w:szCs w:val="21"/>
              </w:rPr>
            </w:pPr>
            <w:r>
              <w:rPr>
                <w:rFonts w:hint="default" w:ascii="Times New Roman" w:hAnsi="Times New Roman" w:cs="Times New Roman"/>
                <w:color w:val="auto"/>
                <w:szCs w:val="21"/>
              </w:rPr>
              <w:t>8</w:t>
            </w:r>
          </w:p>
        </w:tc>
        <w:tc>
          <w:tcPr>
            <w:tcW w:w="1501" w:type="dxa"/>
            <w:vAlign w:val="center"/>
          </w:tcPr>
          <w:p>
            <w:pPr>
              <w:spacing w:before="31" w:beforeLines="10" w:after="31" w:afterLines="10"/>
              <w:jc w:val="center"/>
              <w:rPr>
                <w:rFonts w:hint="default" w:ascii="Times New Roman" w:hAnsi="Times New Roman" w:cs="Times New Roman"/>
                <w:color w:val="auto"/>
                <w:szCs w:val="21"/>
              </w:rPr>
            </w:pPr>
            <w:r>
              <w:rPr>
                <w:rFonts w:hint="default" w:ascii="Times New Roman" w:hAnsi="Times New Roman" w:cs="Times New Roman"/>
                <w:color w:val="auto"/>
                <w:szCs w:val="21"/>
              </w:rPr>
              <w:t>动工时间</w:t>
            </w:r>
          </w:p>
        </w:tc>
        <w:tc>
          <w:tcPr>
            <w:tcW w:w="6269" w:type="dxa"/>
            <w:vAlign w:val="center"/>
          </w:tcPr>
          <w:p>
            <w:pPr>
              <w:spacing w:before="31" w:beforeLines="10" w:after="31" w:afterLines="10"/>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color w:val="auto"/>
                <w:szCs w:val="21"/>
                <w:lang w:val="en-US" w:eastAsia="zh-CN"/>
              </w:rPr>
              <w:t>2020年3月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52" w:type="dxa"/>
            <w:vAlign w:val="center"/>
          </w:tcPr>
          <w:p>
            <w:pPr>
              <w:spacing w:before="31" w:beforeLines="10" w:after="31" w:afterLines="10"/>
              <w:jc w:val="center"/>
              <w:rPr>
                <w:rFonts w:ascii="Times New Roman" w:hAnsi="Times New Roman" w:cs="Times New Roman"/>
                <w:color w:val="auto"/>
                <w:szCs w:val="21"/>
              </w:rPr>
            </w:pPr>
            <w:r>
              <w:rPr>
                <w:rFonts w:ascii="Times New Roman" w:hAnsi="Times New Roman" w:cs="Times New Roman"/>
                <w:color w:val="auto"/>
                <w:szCs w:val="21"/>
              </w:rPr>
              <w:t>9</w:t>
            </w:r>
          </w:p>
        </w:tc>
        <w:tc>
          <w:tcPr>
            <w:tcW w:w="1501" w:type="dxa"/>
            <w:vAlign w:val="center"/>
          </w:tcPr>
          <w:p>
            <w:pPr>
              <w:spacing w:before="31" w:beforeLines="10" w:after="31" w:afterLines="10"/>
              <w:jc w:val="center"/>
              <w:rPr>
                <w:rFonts w:ascii="Times New Roman" w:hAnsi="Times New Roman" w:cs="Times New Roman"/>
                <w:color w:val="auto"/>
                <w:szCs w:val="21"/>
              </w:rPr>
            </w:pPr>
            <w:r>
              <w:rPr>
                <w:rFonts w:hint="default" w:ascii="Times New Roman" w:hAnsi="Times New Roman" w:cs="Times New Roman"/>
                <w:color w:val="auto"/>
                <w:szCs w:val="21"/>
              </w:rPr>
              <w:t>环保工程情况</w:t>
            </w:r>
          </w:p>
        </w:tc>
        <w:tc>
          <w:tcPr>
            <w:tcW w:w="6269" w:type="dxa"/>
            <w:vAlign w:val="center"/>
          </w:tcPr>
          <w:p>
            <w:pPr>
              <w:rPr>
                <w:rFonts w:hint="eastAsia" w:ascii="Times New Roman" w:hAnsi="Times New Roman" w:cs="Times New Roman"/>
                <w:color w:val="auto"/>
                <w:szCs w:val="21"/>
                <w:lang w:val="en-US" w:eastAsia="zh-CN"/>
              </w:rPr>
            </w:pPr>
            <w:r>
              <w:rPr>
                <w:rFonts w:hint="default" w:ascii="Times New Roman" w:hAnsi="Times New Roman" w:cs="Times New Roman"/>
                <w:color w:val="auto"/>
                <w:szCs w:val="21"/>
              </w:rPr>
              <w:t>废气：工艺</w:t>
            </w:r>
            <w:r>
              <w:rPr>
                <w:rFonts w:hint="default" w:ascii="Times New Roman" w:hAnsi="Times New Roman" w:cs="Times New Roman"/>
                <w:color w:val="auto"/>
                <w:kern w:val="0"/>
                <w:szCs w:val="21"/>
              </w:rPr>
              <w:t>废气（反应釜、回收釜、高位槽、包装、储罐区废气）：“强制冷凝+水吸收+酸吸收+</w:t>
            </w:r>
            <w:r>
              <w:rPr>
                <w:rFonts w:hint="eastAsia" w:ascii="Times New Roman" w:hAnsi="Times New Roman" w:cs="Times New Roman"/>
                <w:color w:val="auto"/>
                <w:kern w:val="0"/>
                <w:szCs w:val="21"/>
                <w:lang w:val="en-US" w:eastAsia="zh-CN"/>
              </w:rPr>
              <w:t>酸</w:t>
            </w:r>
            <w:r>
              <w:rPr>
                <w:rFonts w:hint="default" w:ascii="Times New Roman" w:hAnsi="Times New Roman" w:cs="Times New Roman"/>
                <w:color w:val="auto"/>
                <w:kern w:val="0"/>
                <w:szCs w:val="21"/>
              </w:rPr>
              <w:t>吸收+</w:t>
            </w:r>
            <w:r>
              <w:rPr>
                <w:rFonts w:hint="eastAsia" w:ascii="Times New Roman" w:hAnsi="Times New Roman" w:cs="Times New Roman"/>
                <w:color w:val="auto"/>
                <w:kern w:val="0"/>
                <w:szCs w:val="21"/>
                <w:lang w:val="en-US" w:eastAsia="zh-CN"/>
              </w:rPr>
              <w:t>酸吸收+</w:t>
            </w:r>
            <w:r>
              <w:rPr>
                <w:rFonts w:hint="default" w:ascii="Times New Roman" w:hAnsi="Times New Roman" w:cs="Times New Roman"/>
                <w:color w:val="auto"/>
                <w:kern w:val="0"/>
                <w:szCs w:val="21"/>
              </w:rPr>
              <w:t>除雾板+</w:t>
            </w:r>
            <w:r>
              <w:rPr>
                <w:rFonts w:hint="eastAsia" w:ascii="Times New Roman" w:hAnsi="Times New Roman" w:cs="Times New Roman"/>
                <w:color w:val="auto"/>
                <w:kern w:val="0"/>
                <w:szCs w:val="21"/>
                <w:lang w:val="en-US" w:eastAsia="zh-CN"/>
              </w:rPr>
              <w:t>活性炭吸附+</w:t>
            </w:r>
            <w:r>
              <w:rPr>
                <w:rFonts w:hint="default" w:ascii="Times New Roman" w:hAnsi="Times New Roman" w:cs="Times New Roman"/>
                <w:color w:val="auto"/>
                <w:kern w:val="0"/>
                <w:szCs w:val="21"/>
              </w:rPr>
              <w:t>排气筒”1套，排放高度30m。污水处理站废气：污水处理站废气：“</w:t>
            </w:r>
            <w:r>
              <w:rPr>
                <w:rFonts w:hint="eastAsia" w:ascii="Times New Roman" w:hAnsi="Times New Roman" w:cs="Times New Roman"/>
                <w:color w:val="auto"/>
                <w:kern w:val="0"/>
                <w:szCs w:val="21"/>
                <w:lang w:val="en-US" w:eastAsia="zh-CN"/>
              </w:rPr>
              <w:t>水吸收+酸吸收+</w:t>
            </w:r>
            <w:r>
              <w:rPr>
                <w:rFonts w:hint="default" w:ascii="Times New Roman" w:hAnsi="Times New Roman" w:cs="Times New Roman"/>
                <w:color w:val="auto"/>
                <w:kern w:val="0"/>
                <w:szCs w:val="21"/>
              </w:rPr>
              <w:t>生物除臭喷淋+排气筒”1套，排气筒高度15m。</w:t>
            </w:r>
            <w:r>
              <w:rPr>
                <w:rFonts w:hint="eastAsia" w:ascii="Times New Roman" w:hAnsi="Times New Roman" w:cs="Times New Roman"/>
                <w:color w:val="auto"/>
                <w:kern w:val="0"/>
                <w:szCs w:val="21"/>
                <w:lang w:val="en-US" w:eastAsia="zh-CN"/>
              </w:rPr>
              <w:t>化验室废气处理系统增加</w:t>
            </w:r>
            <w:r>
              <w:rPr>
                <w:rFonts w:hint="eastAsia" w:ascii="Times New Roman" w:hAnsi="Times New Roman" w:cs="Times New Roman"/>
                <w:color w:val="auto"/>
                <w:szCs w:val="21"/>
                <w:lang w:val="en-US" w:eastAsia="zh-CN"/>
              </w:rPr>
              <w:t>了一套酸吸收装置。</w:t>
            </w:r>
          </w:p>
          <w:p>
            <w:pPr>
              <w:rPr>
                <w:rFonts w:ascii="Times New Roman" w:hAnsi="Times New Roman" w:cs="Times New Roman"/>
                <w:color w:val="auto"/>
                <w:szCs w:val="21"/>
              </w:rPr>
            </w:pPr>
            <w:r>
              <w:rPr>
                <w:rFonts w:hint="default" w:ascii="Times New Roman" w:hAnsi="Times New Roman" w:cs="Times New Roman"/>
                <w:color w:val="auto"/>
                <w:szCs w:val="21"/>
              </w:rPr>
              <w:t>废水：生产废水：经厂区自建污水处理站（收集池+调节池+水解酸化+AO+沉淀）处理后、排入云溪污水处理厂；生活污水：通过隔油池+化粪池+厂区自建污水处理站（收集池+调节池+水解酸化+AO+沉淀）处理后、排入云溪污水处理厂处理。</w:t>
            </w:r>
          </w:p>
          <w:p>
            <w:pPr>
              <w:rPr>
                <w:rFonts w:ascii="Times New Roman" w:hAnsi="Times New Roman" w:cs="Times New Roman"/>
                <w:color w:val="auto"/>
                <w:szCs w:val="21"/>
              </w:rPr>
            </w:pPr>
            <w:r>
              <w:rPr>
                <w:rFonts w:hint="default" w:ascii="Times New Roman" w:hAnsi="Times New Roman" w:cs="Times New Roman"/>
                <w:color w:val="auto"/>
                <w:szCs w:val="21"/>
              </w:rPr>
              <w:t>噪声：</w:t>
            </w:r>
            <w:r>
              <w:rPr>
                <w:rFonts w:ascii="Times New Roman" w:hAnsi="Times New Roman" w:cs="Times New Roman"/>
                <w:color w:val="auto"/>
                <w:szCs w:val="21"/>
              </w:rPr>
              <w:t>噪声源设备置于室内，采用隔声、基础减振等降噪措施</w:t>
            </w:r>
            <w:r>
              <w:rPr>
                <w:rFonts w:hint="default" w:ascii="Times New Roman" w:hAnsi="Times New Roman" w:cs="Times New Roman"/>
                <w:color w:val="auto"/>
                <w:szCs w:val="21"/>
              </w:rPr>
              <w:t>。</w:t>
            </w:r>
          </w:p>
          <w:p>
            <w:pPr>
              <w:rPr>
                <w:rFonts w:ascii="Times New Roman" w:hAnsi="Times New Roman" w:cs="Times New Roman"/>
                <w:color w:val="auto"/>
                <w:szCs w:val="21"/>
              </w:rPr>
            </w:pPr>
            <w:r>
              <w:rPr>
                <w:rFonts w:hint="default" w:ascii="Times New Roman" w:hAnsi="Times New Roman" w:cs="Times New Roman"/>
                <w:color w:val="auto"/>
                <w:szCs w:val="21"/>
              </w:rPr>
              <w:t>固废：</w:t>
            </w:r>
            <w:r>
              <w:rPr>
                <w:rFonts w:ascii="Times New Roman" w:hAnsi="Times New Roman" w:cs="Times New Roman"/>
                <w:color w:val="auto"/>
                <w:kern w:val="0"/>
                <w:szCs w:val="21"/>
              </w:rPr>
              <w:t>工作人员生活垃圾由</w:t>
            </w:r>
            <w:r>
              <w:rPr>
                <w:rFonts w:hint="default" w:ascii="Times New Roman" w:hAnsi="Times New Roman" w:cs="Times New Roman"/>
                <w:color w:val="auto"/>
                <w:kern w:val="0"/>
                <w:szCs w:val="21"/>
              </w:rPr>
              <w:t>环</w:t>
            </w:r>
            <w:r>
              <w:rPr>
                <w:rFonts w:ascii="Times New Roman" w:hAnsi="Times New Roman" w:cs="Times New Roman"/>
                <w:color w:val="auto"/>
                <w:kern w:val="0"/>
                <w:szCs w:val="21"/>
              </w:rPr>
              <w:t>卫部门统一清运</w:t>
            </w:r>
            <w:r>
              <w:rPr>
                <w:rFonts w:hint="default" w:ascii="Times New Roman" w:hAnsi="Times New Roman" w:cs="Times New Roman"/>
                <w:color w:val="auto"/>
                <w:kern w:val="0"/>
                <w:szCs w:val="21"/>
              </w:rPr>
              <w:t>；</w:t>
            </w:r>
            <w:r>
              <w:rPr>
                <w:rFonts w:hint="default" w:ascii="Times New Roman" w:hAnsi="Times New Roman" w:cs="Times New Roman"/>
                <w:color w:val="auto"/>
                <w:szCs w:val="21"/>
              </w:rPr>
              <w:t>设置危废暂存间（一间，建筑面积</w:t>
            </w:r>
            <w:r>
              <w:rPr>
                <w:rFonts w:hint="eastAsia" w:ascii="Times New Roman" w:hAnsi="Times New Roman" w:cs="Times New Roman"/>
                <w:color w:val="auto"/>
                <w:szCs w:val="21"/>
                <w:lang w:val="en-US" w:eastAsia="zh-CN"/>
              </w:rPr>
              <w:t>2</w:t>
            </w:r>
            <w:r>
              <w:rPr>
                <w:rFonts w:hint="default" w:ascii="Times New Roman" w:hAnsi="Times New Roman" w:cs="Times New Roman"/>
                <w:color w:val="auto"/>
                <w:szCs w:val="21"/>
              </w:rPr>
              <w:t>0</w:t>
            </w:r>
            <w:r>
              <w:rPr>
                <w:rFonts w:hint="eastAsia" w:ascii="Times New Roman" w:hAnsi="Times New Roman" w:cs="Times New Roman"/>
                <w:color w:val="auto"/>
                <w:szCs w:val="21"/>
                <w:lang w:val="en-US" w:eastAsia="zh-CN"/>
              </w:rPr>
              <w:t>9</w:t>
            </w:r>
            <w:r>
              <w:rPr>
                <w:rFonts w:hint="default" w:ascii="Times New Roman" w:hAnsi="Times New Roman" w:cs="Times New Roman"/>
                <w:color w:val="auto"/>
                <w:szCs w:val="21"/>
              </w:rPr>
              <w:t>m</w:t>
            </w:r>
            <w:r>
              <w:rPr>
                <w:rFonts w:hint="default" w:ascii="Times New Roman" w:hAnsi="Times New Roman" w:cs="Times New Roman"/>
                <w:color w:val="auto"/>
                <w:szCs w:val="21"/>
                <w:vertAlign w:val="superscript"/>
              </w:rPr>
              <w:t>2</w:t>
            </w:r>
            <w:r>
              <w:rPr>
                <w:rFonts w:hint="default" w:ascii="Times New Roman" w:hAnsi="Times New Roman" w:cs="Times New Roman"/>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52" w:type="dxa"/>
            <w:vAlign w:val="center"/>
          </w:tcPr>
          <w:p>
            <w:pPr>
              <w:spacing w:before="31" w:beforeLines="10" w:after="31" w:afterLines="10"/>
              <w:jc w:val="center"/>
              <w:rPr>
                <w:rFonts w:ascii="Times New Roman" w:hAnsi="Times New Roman" w:cs="Times New Roman"/>
                <w:color w:val="auto"/>
                <w:szCs w:val="21"/>
              </w:rPr>
            </w:pPr>
            <w:r>
              <w:rPr>
                <w:rFonts w:ascii="Times New Roman" w:hAnsi="Times New Roman" w:cs="Times New Roman"/>
                <w:color w:val="auto"/>
                <w:szCs w:val="21"/>
              </w:rPr>
              <w:t>10</w:t>
            </w:r>
          </w:p>
        </w:tc>
        <w:tc>
          <w:tcPr>
            <w:tcW w:w="1501" w:type="dxa"/>
            <w:vAlign w:val="center"/>
          </w:tcPr>
          <w:p>
            <w:pPr>
              <w:spacing w:before="31" w:beforeLines="10" w:after="31" w:afterLines="10"/>
              <w:jc w:val="center"/>
              <w:rPr>
                <w:rFonts w:ascii="Times New Roman" w:hAnsi="Times New Roman" w:cs="Times New Roman"/>
                <w:color w:val="auto"/>
                <w:szCs w:val="21"/>
              </w:rPr>
            </w:pPr>
            <w:r>
              <w:rPr>
                <w:rFonts w:ascii="Times New Roman" w:hAnsi="Times New Roman" w:cs="Times New Roman"/>
                <w:color w:val="auto"/>
                <w:szCs w:val="21"/>
              </w:rPr>
              <w:t>工程投资情况</w:t>
            </w:r>
          </w:p>
        </w:tc>
        <w:tc>
          <w:tcPr>
            <w:tcW w:w="6269" w:type="dxa"/>
            <w:vAlign w:val="center"/>
          </w:tcPr>
          <w:p>
            <w:pPr>
              <w:spacing w:before="31" w:beforeLines="10" w:after="31" w:afterLines="10"/>
              <w:jc w:val="center"/>
              <w:rPr>
                <w:rFonts w:ascii="Times New Roman" w:hAnsi="Times New Roman" w:cs="Times New Roman"/>
                <w:color w:val="auto"/>
                <w:szCs w:val="21"/>
              </w:rPr>
            </w:pPr>
            <w:r>
              <w:rPr>
                <w:rFonts w:hint="default" w:ascii="Times New Roman" w:hAnsi="Times New Roman" w:cs="Times New Roman"/>
                <w:color w:val="auto"/>
                <w:szCs w:val="21"/>
              </w:rPr>
              <w:t>本次验收实际</w:t>
            </w:r>
            <w:r>
              <w:rPr>
                <w:rFonts w:ascii="Times New Roman" w:hAnsi="Times New Roman" w:cs="Times New Roman"/>
                <w:color w:val="auto"/>
                <w:szCs w:val="21"/>
              </w:rPr>
              <w:t>投资总额</w:t>
            </w:r>
            <w:r>
              <w:rPr>
                <w:rFonts w:ascii="Times New Roman" w:hAnsi="Times New Roman" w:cs="Times New Roman"/>
                <w:b/>
                <w:color w:val="auto"/>
                <w:szCs w:val="21"/>
              </w:rPr>
              <w:t>10125.62</w:t>
            </w:r>
            <w:r>
              <w:rPr>
                <w:rFonts w:ascii="Times New Roman" w:hAnsi="Times New Roman" w:cs="Times New Roman"/>
                <w:color w:val="auto"/>
                <w:szCs w:val="21"/>
              </w:rPr>
              <w:t>万，环保投资</w:t>
            </w:r>
            <w:bookmarkStart w:id="19" w:name="_Hlk92353214"/>
            <w:r>
              <w:rPr>
                <w:rFonts w:hint="eastAsia" w:ascii="Times New Roman" w:hAnsi="Times New Roman" w:cs="Times New Roman"/>
                <w:color w:val="auto"/>
                <w:szCs w:val="21"/>
                <w:lang w:val="en-US" w:eastAsia="zh-CN"/>
              </w:rPr>
              <w:t>约786.8</w:t>
            </w:r>
            <w:r>
              <w:rPr>
                <w:rFonts w:ascii="Times New Roman" w:hAnsi="Times New Roman" w:cs="Times New Roman"/>
                <w:color w:val="auto"/>
                <w:szCs w:val="21"/>
              </w:rPr>
              <w:t>万</w:t>
            </w:r>
            <w:bookmarkEnd w:id="19"/>
            <w:r>
              <w:rPr>
                <w:rFonts w:ascii="Times New Roman" w:hAnsi="Times New Roman" w:cs="Times New Roman"/>
                <w:color w:val="auto"/>
                <w:szCs w:val="21"/>
              </w:rPr>
              <w:t>，占</w:t>
            </w:r>
            <w:r>
              <w:rPr>
                <w:rFonts w:hint="eastAsia" w:ascii="Times New Roman" w:hAnsi="Times New Roman" w:cs="Times New Roman"/>
                <w:color w:val="auto"/>
                <w:szCs w:val="21"/>
                <w:lang w:val="en-US" w:eastAsia="zh-CN"/>
              </w:rPr>
              <w:t>7.77</w:t>
            </w:r>
            <w:r>
              <w:rPr>
                <w:rFonts w:ascii="Times New Roman" w:hAnsi="Times New Roman" w:cs="Times New Roman"/>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63" w:hRule="atLeast"/>
        </w:trPr>
        <w:tc>
          <w:tcPr>
            <w:tcW w:w="752" w:type="dxa"/>
            <w:vAlign w:val="center"/>
          </w:tcPr>
          <w:p>
            <w:pPr>
              <w:spacing w:before="31" w:beforeLines="10" w:after="31" w:afterLines="10"/>
              <w:jc w:val="center"/>
              <w:rPr>
                <w:rFonts w:ascii="Times New Roman" w:hAnsi="Times New Roman" w:cs="Times New Roman"/>
                <w:color w:val="auto"/>
                <w:szCs w:val="21"/>
              </w:rPr>
            </w:pPr>
            <w:r>
              <w:rPr>
                <w:rFonts w:ascii="Times New Roman" w:hAnsi="Times New Roman" w:cs="Times New Roman"/>
                <w:color w:val="auto"/>
                <w:szCs w:val="21"/>
              </w:rPr>
              <w:t>11</w:t>
            </w:r>
          </w:p>
        </w:tc>
        <w:tc>
          <w:tcPr>
            <w:tcW w:w="1501" w:type="dxa"/>
            <w:vAlign w:val="center"/>
          </w:tcPr>
          <w:p>
            <w:pPr>
              <w:spacing w:before="31" w:beforeLines="10" w:after="31" w:afterLines="10"/>
              <w:jc w:val="center"/>
              <w:rPr>
                <w:rFonts w:ascii="Times New Roman" w:hAnsi="Times New Roman" w:cs="Times New Roman"/>
                <w:color w:val="auto"/>
                <w:szCs w:val="21"/>
              </w:rPr>
            </w:pPr>
            <w:r>
              <w:rPr>
                <w:rFonts w:ascii="Times New Roman" w:hAnsi="Times New Roman" w:cs="Times New Roman"/>
                <w:color w:val="auto"/>
                <w:szCs w:val="21"/>
              </w:rPr>
              <w:t>工作时间</w:t>
            </w:r>
          </w:p>
        </w:tc>
        <w:tc>
          <w:tcPr>
            <w:tcW w:w="6269" w:type="dxa"/>
            <w:vAlign w:val="center"/>
          </w:tcPr>
          <w:p>
            <w:pPr>
              <w:spacing w:before="31" w:beforeLines="10" w:after="31" w:afterLines="10"/>
              <w:jc w:val="center"/>
              <w:rPr>
                <w:rFonts w:ascii="Times New Roman" w:hAnsi="Times New Roman" w:cs="Times New Roman"/>
                <w:color w:val="auto"/>
                <w:szCs w:val="21"/>
              </w:rPr>
            </w:pPr>
            <w:r>
              <w:rPr>
                <w:rFonts w:ascii="Times New Roman" w:hAnsi="Times New Roman" w:cs="Times New Roman"/>
                <w:bCs/>
                <w:color w:val="auto"/>
                <w:szCs w:val="21"/>
              </w:rPr>
              <w:t>工作制度采用四班三运转，每班工作8小时，年工作333天，年生产时间7992小时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752" w:type="dxa"/>
            <w:vAlign w:val="center"/>
          </w:tcPr>
          <w:p>
            <w:pPr>
              <w:spacing w:before="31" w:beforeLines="10" w:after="31" w:afterLines="10"/>
              <w:jc w:val="center"/>
              <w:rPr>
                <w:rFonts w:ascii="Times New Roman" w:hAnsi="Times New Roman" w:cs="Times New Roman"/>
                <w:color w:val="auto"/>
                <w:szCs w:val="21"/>
              </w:rPr>
            </w:pPr>
            <w:r>
              <w:rPr>
                <w:rFonts w:ascii="Times New Roman" w:hAnsi="Times New Roman" w:cs="Times New Roman"/>
                <w:color w:val="auto"/>
                <w:szCs w:val="21"/>
              </w:rPr>
              <w:t>12</w:t>
            </w:r>
          </w:p>
        </w:tc>
        <w:tc>
          <w:tcPr>
            <w:tcW w:w="1501" w:type="dxa"/>
            <w:vAlign w:val="center"/>
          </w:tcPr>
          <w:p>
            <w:pPr>
              <w:spacing w:before="31" w:beforeLines="10" w:after="31" w:afterLines="10"/>
              <w:jc w:val="center"/>
              <w:rPr>
                <w:rFonts w:ascii="Times New Roman" w:hAnsi="Times New Roman" w:cs="Times New Roman"/>
                <w:color w:val="auto"/>
                <w:szCs w:val="21"/>
              </w:rPr>
            </w:pPr>
            <w:r>
              <w:rPr>
                <w:rFonts w:ascii="Times New Roman" w:hAnsi="Times New Roman" w:cs="Times New Roman"/>
                <w:color w:val="auto"/>
                <w:szCs w:val="21"/>
              </w:rPr>
              <w:t>工程占地面积</w:t>
            </w:r>
          </w:p>
        </w:tc>
        <w:tc>
          <w:tcPr>
            <w:tcW w:w="6269" w:type="dxa"/>
            <w:vAlign w:val="center"/>
          </w:tcPr>
          <w:p>
            <w:pPr>
              <w:spacing w:before="31" w:beforeLines="10" w:after="31" w:afterLines="10"/>
              <w:jc w:val="center"/>
              <w:rPr>
                <w:rFonts w:ascii="Times New Roman" w:hAnsi="Times New Roman" w:cs="Times New Roman"/>
                <w:color w:val="auto"/>
                <w:szCs w:val="21"/>
              </w:rPr>
            </w:pPr>
            <w:r>
              <w:rPr>
                <w:rFonts w:hint="default" w:ascii="Times New Roman" w:hAnsi="Times New Roman" w:cs="Times New Roman"/>
                <w:color w:val="auto"/>
                <w:szCs w:val="21"/>
              </w:rPr>
              <w:t>占地</w:t>
            </w:r>
            <w:r>
              <w:rPr>
                <w:rFonts w:ascii="Times New Roman" w:hAnsi="Times New Roman" w:cs="Times New Roman"/>
                <w:color w:val="auto"/>
                <w:szCs w:val="21"/>
              </w:rPr>
              <w:t>面积32932m</w:t>
            </w:r>
            <w:r>
              <w:rPr>
                <w:rFonts w:ascii="Times New Roman" w:hAnsi="Times New Roman" w:cs="Times New Roman"/>
                <w:color w:val="auto"/>
                <w:szCs w:val="21"/>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4" w:hRule="atLeast"/>
        </w:trPr>
        <w:tc>
          <w:tcPr>
            <w:tcW w:w="752" w:type="dxa"/>
            <w:vAlign w:val="center"/>
          </w:tcPr>
          <w:p>
            <w:pPr>
              <w:spacing w:before="31" w:beforeLines="10" w:after="31" w:afterLines="10"/>
              <w:jc w:val="center"/>
              <w:rPr>
                <w:rFonts w:ascii="Times New Roman" w:hAnsi="Times New Roman" w:cs="Times New Roman"/>
                <w:color w:val="auto"/>
                <w:szCs w:val="21"/>
              </w:rPr>
            </w:pPr>
            <w:r>
              <w:rPr>
                <w:rFonts w:ascii="Times New Roman" w:hAnsi="Times New Roman" w:cs="Times New Roman"/>
                <w:color w:val="auto"/>
                <w:szCs w:val="21"/>
              </w:rPr>
              <w:t>13</w:t>
            </w:r>
          </w:p>
        </w:tc>
        <w:tc>
          <w:tcPr>
            <w:tcW w:w="1501" w:type="dxa"/>
            <w:vAlign w:val="center"/>
          </w:tcPr>
          <w:p>
            <w:pPr>
              <w:spacing w:before="31" w:beforeLines="10" w:after="31" w:afterLines="10"/>
              <w:jc w:val="center"/>
              <w:rPr>
                <w:rFonts w:ascii="Times New Roman" w:hAnsi="Times New Roman" w:cs="Times New Roman"/>
                <w:color w:val="auto"/>
                <w:szCs w:val="21"/>
              </w:rPr>
            </w:pPr>
            <w:r>
              <w:rPr>
                <w:rFonts w:ascii="Times New Roman" w:hAnsi="Times New Roman" w:cs="Times New Roman"/>
                <w:color w:val="auto"/>
                <w:szCs w:val="21"/>
              </w:rPr>
              <w:t>劳动定员</w:t>
            </w:r>
          </w:p>
        </w:tc>
        <w:tc>
          <w:tcPr>
            <w:tcW w:w="6269" w:type="dxa"/>
            <w:vAlign w:val="center"/>
          </w:tcPr>
          <w:p>
            <w:pPr>
              <w:spacing w:before="31" w:beforeLines="10" w:after="31" w:afterLines="10"/>
              <w:jc w:val="center"/>
              <w:rPr>
                <w:rFonts w:ascii="Times New Roman" w:hAnsi="Times New Roman" w:cs="Times New Roman"/>
                <w:color w:val="auto"/>
                <w:szCs w:val="21"/>
              </w:rPr>
            </w:pPr>
            <w:r>
              <w:rPr>
                <w:rFonts w:hint="default" w:ascii="Times New Roman" w:hAnsi="Times New Roman" w:cs="Times New Roman"/>
                <w:color w:val="auto"/>
                <w:szCs w:val="21"/>
              </w:rPr>
              <w:t>6</w:t>
            </w:r>
            <w:r>
              <w:rPr>
                <w:rFonts w:ascii="Times New Roman" w:hAnsi="Times New Roman" w:cs="Times New Roman"/>
                <w:color w:val="auto"/>
                <w:szCs w:val="21"/>
              </w:rPr>
              <w:t>0人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4" w:hRule="atLeast"/>
        </w:trPr>
        <w:tc>
          <w:tcPr>
            <w:tcW w:w="752" w:type="dxa"/>
            <w:vAlign w:val="center"/>
          </w:tcPr>
          <w:p>
            <w:pPr>
              <w:spacing w:before="31" w:beforeLines="10" w:after="31" w:afterLines="10"/>
              <w:jc w:val="center"/>
              <w:rPr>
                <w:rFonts w:ascii="Times New Roman" w:hAnsi="Times New Roman" w:cs="Times New Roman"/>
                <w:color w:val="auto"/>
                <w:szCs w:val="21"/>
              </w:rPr>
            </w:pPr>
            <w:r>
              <w:rPr>
                <w:rFonts w:hint="default" w:ascii="Times New Roman" w:hAnsi="Times New Roman" w:cs="Times New Roman"/>
                <w:color w:val="auto"/>
                <w:szCs w:val="21"/>
              </w:rPr>
              <w:t>1</w:t>
            </w:r>
            <w:r>
              <w:rPr>
                <w:rFonts w:ascii="Times New Roman" w:hAnsi="Times New Roman" w:cs="Times New Roman"/>
                <w:color w:val="auto"/>
                <w:szCs w:val="21"/>
              </w:rPr>
              <w:t>4</w:t>
            </w:r>
          </w:p>
        </w:tc>
        <w:tc>
          <w:tcPr>
            <w:tcW w:w="1501" w:type="dxa"/>
            <w:vAlign w:val="center"/>
          </w:tcPr>
          <w:p>
            <w:pPr>
              <w:spacing w:before="31" w:beforeLines="10" w:after="31" w:afterLines="10"/>
              <w:jc w:val="center"/>
              <w:rPr>
                <w:rFonts w:ascii="Times New Roman" w:hAnsi="Times New Roman" w:cs="Times New Roman"/>
                <w:color w:val="auto"/>
                <w:szCs w:val="21"/>
              </w:rPr>
            </w:pPr>
            <w:r>
              <w:rPr>
                <w:rFonts w:hint="default" w:ascii="Times New Roman" w:hAnsi="Times New Roman" w:cs="Times New Roman"/>
                <w:color w:val="auto"/>
                <w:szCs w:val="21"/>
              </w:rPr>
              <w:t>验收范围</w:t>
            </w:r>
          </w:p>
        </w:tc>
        <w:tc>
          <w:tcPr>
            <w:tcW w:w="6269" w:type="dxa"/>
            <w:vAlign w:val="center"/>
          </w:tcPr>
          <w:p>
            <w:pPr>
              <w:spacing w:before="31" w:beforeLines="10" w:after="31" w:afterLines="10"/>
              <w:jc w:val="center"/>
              <w:rPr>
                <w:rFonts w:hint="default" w:ascii="Times New Roman" w:hAnsi="Times New Roman" w:cs="Times New Roman"/>
                <w:color w:val="auto"/>
                <w:szCs w:val="21"/>
              </w:rPr>
            </w:pPr>
            <w:r>
              <w:rPr>
                <w:rFonts w:hint="default" w:ascii="Times New Roman" w:hAnsi="Times New Roman" w:cs="Times New Roman"/>
                <w:color w:val="auto"/>
                <w:szCs w:val="21"/>
              </w:rPr>
              <w:t>本次自主验收范围</w:t>
            </w:r>
            <w:r>
              <w:rPr>
                <w:rFonts w:hint="default" w:ascii="Times New Roman" w:hAnsi="Times New Roman" w:cs="Times New Roman"/>
                <w:color w:val="auto"/>
                <w:szCs w:val="21"/>
                <w:lang w:val="en-US" w:eastAsia="zh-CN"/>
              </w:rPr>
              <w:t>为</w:t>
            </w:r>
            <w:r>
              <w:rPr>
                <w:rFonts w:hint="default" w:ascii="Times New Roman" w:hAnsi="Times New Roman" w:cs="Times New Roman"/>
                <w:color w:val="auto"/>
                <w:szCs w:val="21"/>
              </w:rPr>
              <w:t>岳阳中展科技有限公司12.6kt/a特种胺项目废气、废水、噪声、固废废物污染防治设施等竣工环保设施及其他设施。</w:t>
            </w:r>
          </w:p>
        </w:tc>
      </w:tr>
    </w:tbl>
    <w:p>
      <w:pPr>
        <w:autoSpaceDE w:val="0"/>
        <w:autoSpaceDN w:val="0"/>
        <w:adjustRightInd w:val="0"/>
        <w:jc w:val="center"/>
        <w:rPr>
          <w:rFonts w:ascii="Times New Roman" w:hAnsi="Times New Roman" w:eastAsia="宋体" w:cs="Times New Roman"/>
          <w:b/>
          <w:color w:val="auto"/>
          <w:spacing w:val="10"/>
          <w:kern w:val="24"/>
          <w:szCs w:val="21"/>
        </w:rPr>
      </w:pPr>
      <w:r>
        <w:rPr>
          <w:rFonts w:ascii="Times New Roman" w:hAnsi="Times New Roman" w:eastAsia="宋体" w:cs="Times New Roman"/>
          <w:b/>
          <w:color w:val="auto"/>
          <w:spacing w:val="10"/>
          <w:kern w:val="24"/>
          <w:szCs w:val="21"/>
        </w:rPr>
        <w:t>表3.</w:t>
      </w:r>
      <w:r>
        <w:rPr>
          <w:rFonts w:hint="default" w:ascii="Times New Roman" w:hAnsi="Times New Roman" w:eastAsia="宋体" w:cs="Times New Roman"/>
          <w:b/>
          <w:color w:val="auto"/>
          <w:spacing w:val="10"/>
          <w:kern w:val="24"/>
          <w:szCs w:val="21"/>
        </w:rPr>
        <w:t>2</w:t>
      </w:r>
      <w:r>
        <w:rPr>
          <w:rFonts w:ascii="Times New Roman" w:hAnsi="Times New Roman" w:eastAsia="宋体" w:cs="Times New Roman"/>
          <w:b/>
          <w:color w:val="auto"/>
          <w:spacing w:val="10"/>
          <w:kern w:val="24"/>
          <w:szCs w:val="21"/>
        </w:rPr>
        <w:t>-2</w:t>
      </w:r>
      <w:r>
        <w:rPr>
          <w:rFonts w:hint="default" w:ascii="Times New Roman" w:hAnsi="Times New Roman" w:eastAsia="宋体" w:cs="Times New Roman"/>
          <w:b/>
          <w:color w:val="auto"/>
          <w:spacing w:val="10"/>
          <w:kern w:val="24"/>
          <w:szCs w:val="21"/>
        </w:rPr>
        <w:t>环评建设内容与实际建设内容一览表</w:t>
      </w:r>
    </w:p>
    <w:tbl>
      <w:tblPr>
        <w:tblStyle w:val="28"/>
        <w:tblW w:w="852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52"/>
        <w:gridCol w:w="436"/>
        <w:gridCol w:w="437"/>
        <w:gridCol w:w="2535"/>
        <w:gridCol w:w="2472"/>
        <w:gridCol w:w="199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2" w:type="dxa"/>
            <w:tcBorders>
              <w:tl2br w:val="nil"/>
              <w:tr2bl w:val="nil"/>
            </w:tcBorders>
            <w:vAlign w:val="center"/>
          </w:tcPr>
          <w:p>
            <w:pPr>
              <w:tabs>
                <w:tab w:val="left" w:pos="1021"/>
              </w:tabs>
              <w:jc w:val="center"/>
              <w:rPr>
                <w:rFonts w:ascii="Times New Roman" w:hAnsi="Times New Roman" w:cs="Times New Roman"/>
                <w:color w:val="auto"/>
                <w:szCs w:val="21"/>
              </w:rPr>
            </w:pPr>
            <w:bookmarkStart w:id="20" w:name="_Hlk92353152"/>
            <w:r>
              <w:rPr>
                <w:rFonts w:ascii="Times New Roman" w:hAnsi="Times New Roman" w:cs="Times New Roman"/>
                <w:color w:val="auto"/>
                <w:szCs w:val="21"/>
              </w:rPr>
              <w:t>工程类别</w:t>
            </w:r>
          </w:p>
        </w:tc>
        <w:tc>
          <w:tcPr>
            <w:tcW w:w="873" w:type="dxa"/>
            <w:gridSpan w:val="2"/>
            <w:tcBorders>
              <w:tl2br w:val="nil"/>
              <w:tr2bl w:val="nil"/>
            </w:tcBorders>
            <w:vAlign w:val="center"/>
          </w:tcPr>
          <w:p>
            <w:pPr>
              <w:tabs>
                <w:tab w:val="left" w:pos="1021"/>
              </w:tabs>
              <w:jc w:val="center"/>
              <w:rPr>
                <w:rFonts w:ascii="Times New Roman" w:hAnsi="Times New Roman" w:cs="Times New Roman"/>
                <w:color w:val="auto"/>
                <w:szCs w:val="21"/>
              </w:rPr>
            </w:pPr>
            <w:r>
              <w:rPr>
                <w:rFonts w:ascii="Times New Roman" w:hAnsi="Times New Roman" w:cs="Times New Roman"/>
                <w:color w:val="auto"/>
                <w:szCs w:val="21"/>
              </w:rPr>
              <w:t>单项工程名称</w:t>
            </w:r>
          </w:p>
        </w:tc>
        <w:tc>
          <w:tcPr>
            <w:tcW w:w="2535" w:type="dxa"/>
            <w:tcBorders>
              <w:tl2br w:val="nil"/>
              <w:tr2bl w:val="nil"/>
            </w:tcBorders>
            <w:vAlign w:val="center"/>
          </w:tcPr>
          <w:p>
            <w:pPr>
              <w:tabs>
                <w:tab w:val="left" w:pos="1021"/>
              </w:tabs>
              <w:jc w:val="center"/>
              <w:rPr>
                <w:rFonts w:ascii="Times New Roman" w:hAnsi="Times New Roman" w:cs="Times New Roman"/>
                <w:color w:val="auto"/>
                <w:szCs w:val="21"/>
              </w:rPr>
            </w:pPr>
            <w:r>
              <w:rPr>
                <w:rFonts w:hint="default" w:ascii="Times New Roman" w:hAnsi="Times New Roman" w:eastAsia="宋体" w:cs="Times New Roman"/>
                <w:b/>
                <w:bCs/>
                <w:color w:val="auto"/>
                <w:spacing w:val="-4"/>
                <w:kern w:val="0"/>
                <w:szCs w:val="21"/>
              </w:rPr>
              <w:t>环评审批建设内容</w:t>
            </w:r>
          </w:p>
        </w:tc>
        <w:tc>
          <w:tcPr>
            <w:tcW w:w="2472" w:type="dxa"/>
            <w:tcBorders>
              <w:tl2br w:val="nil"/>
              <w:tr2bl w:val="nil"/>
            </w:tcBorders>
            <w:vAlign w:val="center"/>
          </w:tcPr>
          <w:p>
            <w:pPr>
              <w:tabs>
                <w:tab w:val="left" w:pos="1021"/>
              </w:tabs>
              <w:jc w:val="center"/>
              <w:rPr>
                <w:rFonts w:ascii="Times New Roman" w:hAnsi="Times New Roman" w:cs="Times New Roman"/>
                <w:color w:val="auto"/>
                <w:szCs w:val="21"/>
              </w:rPr>
            </w:pPr>
            <w:r>
              <w:rPr>
                <w:rFonts w:hint="default" w:ascii="Times New Roman" w:hAnsi="Times New Roman" w:eastAsia="宋体" w:cs="Times New Roman"/>
                <w:b/>
                <w:bCs/>
                <w:color w:val="auto"/>
                <w:spacing w:val="-4"/>
                <w:kern w:val="0"/>
                <w:szCs w:val="21"/>
              </w:rPr>
              <w:t>实际建设内容</w:t>
            </w:r>
          </w:p>
        </w:tc>
        <w:tc>
          <w:tcPr>
            <w:tcW w:w="1990" w:type="dxa"/>
            <w:tcBorders>
              <w:tl2br w:val="nil"/>
              <w:tr2bl w:val="nil"/>
            </w:tcBorders>
            <w:vAlign w:val="center"/>
          </w:tcPr>
          <w:p>
            <w:pPr>
              <w:tabs>
                <w:tab w:val="left" w:pos="1021"/>
              </w:tabs>
              <w:jc w:val="center"/>
              <w:rPr>
                <w:rFonts w:ascii="Times New Roman" w:hAnsi="Times New Roman" w:cs="Times New Roman"/>
                <w:color w:val="auto"/>
                <w:szCs w:val="21"/>
              </w:rPr>
            </w:pPr>
            <w:r>
              <w:rPr>
                <w:rFonts w:hint="default" w:ascii="Times New Roman" w:hAnsi="Times New Roman" w:eastAsia="宋体" w:cs="Times New Roman"/>
                <w:b/>
                <w:bCs/>
                <w:color w:val="auto"/>
                <w:spacing w:val="-4"/>
                <w:kern w:val="0"/>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652" w:type="dxa"/>
            <w:vMerge w:val="restart"/>
            <w:tcBorders>
              <w:tl2br w:val="nil"/>
              <w:tr2bl w:val="nil"/>
            </w:tcBorders>
            <w:vAlign w:val="center"/>
          </w:tcPr>
          <w:p>
            <w:pPr>
              <w:tabs>
                <w:tab w:val="left" w:pos="1021"/>
              </w:tabs>
              <w:jc w:val="center"/>
              <w:rPr>
                <w:rFonts w:ascii="Times New Roman" w:hAnsi="Times New Roman" w:cs="Times New Roman"/>
                <w:color w:val="auto"/>
                <w:szCs w:val="21"/>
              </w:rPr>
            </w:pPr>
            <w:r>
              <w:rPr>
                <w:rFonts w:ascii="Times New Roman" w:hAnsi="Times New Roman" w:cs="Times New Roman"/>
                <w:color w:val="auto"/>
                <w:szCs w:val="21"/>
              </w:rPr>
              <w:t>主体工程</w:t>
            </w:r>
          </w:p>
        </w:tc>
        <w:tc>
          <w:tcPr>
            <w:tcW w:w="873" w:type="dxa"/>
            <w:gridSpan w:val="2"/>
            <w:tcBorders>
              <w:tl2br w:val="nil"/>
              <w:tr2bl w:val="nil"/>
            </w:tcBorders>
            <w:vAlign w:val="center"/>
          </w:tcPr>
          <w:p>
            <w:pPr>
              <w:ind w:right="126" w:rightChars="60"/>
              <w:jc w:val="center"/>
              <w:rPr>
                <w:rFonts w:ascii="Times New Roman" w:hAnsi="Times New Roman" w:cs="Times New Roman"/>
                <w:color w:val="auto"/>
                <w:szCs w:val="21"/>
              </w:rPr>
            </w:pPr>
            <w:r>
              <w:rPr>
                <w:rFonts w:ascii="Times New Roman" w:hAnsi="Times New Roman" w:cs="Times New Roman"/>
                <w:snapToGrid w:val="0"/>
                <w:color w:val="auto"/>
              </w:rPr>
              <w:t>甲类车间一</w:t>
            </w:r>
          </w:p>
        </w:tc>
        <w:tc>
          <w:tcPr>
            <w:tcW w:w="2535" w:type="dxa"/>
            <w:tcBorders>
              <w:tl2br w:val="nil"/>
              <w:tr2bl w:val="nil"/>
            </w:tcBorders>
            <w:vAlign w:val="center"/>
          </w:tcPr>
          <w:p>
            <w:pPr>
              <w:tabs>
                <w:tab w:val="left" w:pos="1021"/>
              </w:tabs>
              <w:rPr>
                <w:rFonts w:ascii="Times New Roman" w:hAnsi="Times New Roman" w:cs="Times New Roman"/>
                <w:color w:val="auto"/>
                <w:szCs w:val="21"/>
              </w:rPr>
            </w:pPr>
            <w:r>
              <w:rPr>
                <w:rFonts w:hint="default" w:ascii="Times New Roman" w:hAnsi="Times New Roman" w:cs="Times New Roman"/>
                <w:color w:val="auto"/>
              </w:rPr>
              <w:t>占地面积9</w:t>
            </w:r>
            <w:r>
              <w:rPr>
                <w:rFonts w:hint="eastAsia" w:ascii="Times New Roman" w:hAnsi="Times New Roman" w:cs="Times New Roman"/>
                <w:color w:val="auto"/>
                <w:lang w:val="en-US" w:eastAsia="zh-CN"/>
              </w:rPr>
              <w:t>00</w:t>
            </w:r>
            <w:r>
              <w:rPr>
                <w:rFonts w:hint="default" w:ascii="Times New Roman" w:hAnsi="Times New Roman" w:cs="Times New Roman"/>
                <w:color w:val="auto"/>
              </w:rPr>
              <w:t>m</w:t>
            </w:r>
            <w:r>
              <w:rPr>
                <w:rFonts w:hint="default" w:ascii="Times New Roman" w:hAnsi="Times New Roman" w:cs="Times New Roman"/>
                <w:color w:val="auto"/>
                <w:vertAlign w:val="superscript"/>
              </w:rPr>
              <w:t>2</w:t>
            </w:r>
            <w:r>
              <w:rPr>
                <w:rFonts w:hint="default" w:ascii="Times New Roman" w:hAnsi="Times New Roman" w:cs="Times New Roman"/>
                <w:color w:val="auto"/>
              </w:rPr>
              <w:t>，建筑面积2700m</w:t>
            </w:r>
            <w:r>
              <w:rPr>
                <w:rFonts w:hint="default" w:ascii="Times New Roman" w:hAnsi="Times New Roman" w:cs="Times New Roman"/>
                <w:color w:val="auto"/>
                <w:vertAlign w:val="superscript"/>
              </w:rPr>
              <w:t>2</w:t>
            </w:r>
            <w:r>
              <w:rPr>
                <w:rFonts w:hint="default" w:ascii="Times New Roman" w:hAnsi="Times New Roman" w:cs="Times New Roman"/>
                <w:color w:val="auto"/>
              </w:rPr>
              <w:t>，框架结构，3F（本次评价生产使用）</w:t>
            </w:r>
          </w:p>
        </w:tc>
        <w:tc>
          <w:tcPr>
            <w:tcW w:w="2472" w:type="dxa"/>
            <w:tcBorders>
              <w:tl2br w:val="nil"/>
              <w:tr2bl w:val="nil"/>
            </w:tcBorders>
            <w:vAlign w:val="center"/>
          </w:tcPr>
          <w:p>
            <w:pPr>
              <w:ind w:right="126" w:rightChars="60"/>
              <w:jc w:val="center"/>
              <w:rPr>
                <w:rFonts w:ascii="Times New Roman" w:hAnsi="Times New Roman" w:cs="Times New Roman"/>
                <w:color w:val="auto"/>
                <w:szCs w:val="21"/>
              </w:rPr>
            </w:pPr>
            <w:r>
              <w:rPr>
                <w:rFonts w:ascii="Times New Roman" w:hAnsi="Times New Roman" w:cs="Times New Roman"/>
                <w:color w:val="auto"/>
              </w:rPr>
              <w:t>占地面积</w:t>
            </w:r>
            <w:r>
              <w:rPr>
                <w:rFonts w:hint="eastAsia" w:ascii="Times New Roman" w:hAnsi="Times New Roman" w:cs="Times New Roman"/>
                <w:color w:val="auto"/>
                <w:lang w:val="en-US" w:eastAsia="zh-CN"/>
              </w:rPr>
              <w:t>934</w:t>
            </w:r>
            <w:r>
              <w:rPr>
                <w:rFonts w:ascii="Times New Roman" w:hAnsi="Times New Roman" w:cs="Times New Roman"/>
                <w:color w:val="auto"/>
              </w:rPr>
              <w:t>m</w:t>
            </w:r>
            <w:r>
              <w:rPr>
                <w:rFonts w:ascii="Times New Roman" w:hAnsi="Times New Roman" w:cs="Times New Roman"/>
                <w:color w:val="auto"/>
                <w:vertAlign w:val="superscript"/>
              </w:rPr>
              <w:t>2</w:t>
            </w:r>
            <w:r>
              <w:rPr>
                <w:rFonts w:ascii="Times New Roman" w:hAnsi="Times New Roman" w:cs="Times New Roman"/>
                <w:color w:val="auto"/>
              </w:rPr>
              <w:t>，建筑面积</w:t>
            </w:r>
            <w:r>
              <w:rPr>
                <w:rFonts w:hint="eastAsia" w:ascii="Times New Roman" w:hAnsi="Times New Roman" w:cs="Times New Roman"/>
                <w:color w:val="auto"/>
                <w:lang w:val="en-US" w:eastAsia="zh-CN"/>
              </w:rPr>
              <w:t>2835</w:t>
            </w:r>
            <w:r>
              <w:rPr>
                <w:rFonts w:ascii="Times New Roman" w:hAnsi="Times New Roman" w:cs="Times New Roman"/>
                <w:color w:val="auto"/>
              </w:rPr>
              <w:t>m</w:t>
            </w:r>
            <w:r>
              <w:rPr>
                <w:rFonts w:ascii="Times New Roman" w:hAnsi="Times New Roman" w:cs="Times New Roman"/>
                <w:color w:val="auto"/>
                <w:vertAlign w:val="superscript"/>
              </w:rPr>
              <w:t>2</w:t>
            </w:r>
            <w:r>
              <w:rPr>
                <w:rFonts w:ascii="Times New Roman" w:hAnsi="Times New Roman" w:cs="Times New Roman"/>
                <w:color w:val="auto"/>
              </w:rPr>
              <w:t>，框架结构，3F（本次评价生产使用）</w:t>
            </w:r>
          </w:p>
        </w:tc>
        <w:tc>
          <w:tcPr>
            <w:tcW w:w="1990" w:type="dxa"/>
            <w:tcBorders>
              <w:tl2br w:val="nil"/>
              <w:tr2bl w:val="nil"/>
            </w:tcBorders>
            <w:vAlign w:val="center"/>
          </w:tcPr>
          <w:p>
            <w:pPr>
              <w:tabs>
                <w:tab w:val="left" w:pos="1021"/>
              </w:tabs>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pacing w:val="-4"/>
                <w:kern w:val="0"/>
                <w:szCs w:val="21"/>
                <w:lang w:val="en-US" w:eastAsia="zh-CN"/>
              </w:rPr>
              <w:t>实际建设面积略大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652" w:type="dxa"/>
            <w:vMerge w:val="continue"/>
            <w:tcBorders>
              <w:tl2br w:val="nil"/>
              <w:tr2bl w:val="nil"/>
            </w:tcBorders>
            <w:vAlign w:val="center"/>
          </w:tcPr>
          <w:p>
            <w:pPr>
              <w:tabs>
                <w:tab w:val="left" w:pos="1021"/>
              </w:tabs>
              <w:jc w:val="center"/>
              <w:rPr>
                <w:rFonts w:ascii="Times New Roman" w:hAnsi="Times New Roman" w:cs="Times New Roman"/>
                <w:color w:val="auto"/>
                <w:szCs w:val="21"/>
              </w:rPr>
            </w:pPr>
          </w:p>
        </w:tc>
        <w:tc>
          <w:tcPr>
            <w:tcW w:w="873" w:type="dxa"/>
            <w:gridSpan w:val="2"/>
            <w:tcBorders>
              <w:tl2br w:val="nil"/>
              <w:tr2bl w:val="nil"/>
            </w:tcBorders>
            <w:vAlign w:val="center"/>
          </w:tcPr>
          <w:p>
            <w:pPr>
              <w:ind w:right="126" w:rightChars="60"/>
              <w:jc w:val="center"/>
              <w:rPr>
                <w:rFonts w:ascii="Times New Roman" w:hAnsi="Times New Roman" w:cs="Times New Roman"/>
                <w:color w:val="auto"/>
                <w:kern w:val="0"/>
                <w:szCs w:val="21"/>
              </w:rPr>
            </w:pPr>
            <w:r>
              <w:rPr>
                <w:rFonts w:ascii="Times New Roman" w:hAnsi="Times New Roman" w:cs="Times New Roman"/>
                <w:snapToGrid w:val="0"/>
                <w:color w:val="auto"/>
              </w:rPr>
              <w:t>甲类车间二</w:t>
            </w:r>
          </w:p>
        </w:tc>
        <w:tc>
          <w:tcPr>
            <w:tcW w:w="2535" w:type="dxa"/>
            <w:tcBorders>
              <w:tl2br w:val="nil"/>
              <w:tr2bl w:val="nil"/>
            </w:tcBorders>
            <w:vAlign w:val="center"/>
          </w:tcPr>
          <w:p>
            <w:pPr>
              <w:jc w:val="left"/>
              <w:rPr>
                <w:rFonts w:ascii="Times New Roman" w:hAnsi="Times New Roman" w:cs="Times New Roman"/>
                <w:color w:val="auto"/>
              </w:rPr>
            </w:pPr>
            <w:r>
              <w:rPr>
                <w:rFonts w:hint="default" w:ascii="Times New Roman" w:hAnsi="Times New Roman" w:cs="Times New Roman"/>
                <w:color w:val="auto"/>
              </w:rPr>
              <w:t>占地面积1200m</w:t>
            </w:r>
            <w:r>
              <w:rPr>
                <w:rFonts w:hint="default" w:ascii="Times New Roman" w:hAnsi="Times New Roman" w:cs="Times New Roman"/>
                <w:color w:val="auto"/>
                <w:vertAlign w:val="superscript"/>
              </w:rPr>
              <w:t>2</w:t>
            </w:r>
            <w:r>
              <w:rPr>
                <w:rFonts w:hint="default" w:ascii="Times New Roman" w:hAnsi="Times New Roman" w:cs="Times New Roman"/>
                <w:color w:val="auto"/>
              </w:rPr>
              <w:t>，建筑面积3600m</w:t>
            </w:r>
            <w:r>
              <w:rPr>
                <w:rFonts w:hint="default" w:ascii="Times New Roman" w:hAnsi="Times New Roman" w:cs="Times New Roman"/>
                <w:color w:val="auto"/>
                <w:vertAlign w:val="superscript"/>
              </w:rPr>
              <w:t>2</w:t>
            </w:r>
            <w:r>
              <w:rPr>
                <w:rFonts w:hint="default" w:ascii="Times New Roman" w:hAnsi="Times New Roman" w:cs="Times New Roman"/>
                <w:color w:val="auto"/>
              </w:rPr>
              <w:t>，框架结构，3F</w:t>
            </w:r>
            <w:r>
              <w:rPr>
                <w:rFonts w:hint="default" w:ascii="Times New Roman" w:hAnsi="Times New Roman" w:cs="Times New Roman"/>
                <w:b/>
                <w:bCs/>
                <w:color w:val="auto"/>
              </w:rPr>
              <w:t>（远期发展预留，本次为闲置）</w:t>
            </w:r>
          </w:p>
        </w:tc>
        <w:tc>
          <w:tcPr>
            <w:tcW w:w="2472" w:type="dxa"/>
            <w:tcBorders>
              <w:tl2br w:val="nil"/>
              <w:tr2bl w:val="nil"/>
            </w:tcBorders>
            <w:vAlign w:val="center"/>
          </w:tcPr>
          <w:p>
            <w:pPr>
              <w:ind w:right="126" w:rightChars="60"/>
              <w:jc w:val="center"/>
              <w:rPr>
                <w:rFonts w:ascii="Times New Roman" w:hAnsi="Times New Roman" w:cs="Times New Roman"/>
                <w:color w:val="auto"/>
                <w:szCs w:val="21"/>
              </w:rPr>
            </w:pPr>
            <w:r>
              <w:rPr>
                <w:rFonts w:ascii="Times New Roman" w:hAnsi="Times New Roman" w:cs="Times New Roman"/>
                <w:color w:val="auto"/>
              </w:rPr>
              <w:t>占地面积1200m</w:t>
            </w:r>
            <w:r>
              <w:rPr>
                <w:rFonts w:ascii="Times New Roman" w:hAnsi="Times New Roman" w:cs="Times New Roman"/>
                <w:color w:val="auto"/>
                <w:vertAlign w:val="superscript"/>
              </w:rPr>
              <w:t>2</w:t>
            </w:r>
            <w:r>
              <w:rPr>
                <w:rFonts w:ascii="Times New Roman" w:hAnsi="Times New Roman" w:cs="Times New Roman"/>
                <w:color w:val="auto"/>
              </w:rPr>
              <w:t>，建筑面积3600m</w:t>
            </w:r>
            <w:r>
              <w:rPr>
                <w:rFonts w:ascii="Times New Roman" w:hAnsi="Times New Roman" w:cs="Times New Roman"/>
                <w:color w:val="auto"/>
                <w:vertAlign w:val="superscript"/>
              </w:rPr>
              <w:t>2</w:t>
            </w:r>
            <w:r>
              <w:rPr>
                <w:rFonts w:ascii="Times New Roman" w:hAnsi="Times New Roman" w:cs="Times New Roman"/>
                <w:color w:val="auto"/>
              </w:rPr>
              <w:t>，框架结构，3F</w:t>
            </w:r>
            <w:r>
              <w:rPr>
                <w:rFonts w:ascii="Times New Roman" w:hAnsi="Times New Roman" w:cs="Times New Roman"/>
                <w:b/>
                <w:bCs/>
                <w:color w:val="auto"/>
              </w:rPr>
              <w:t>（属于二期建设内容，目前为厂内闲置空地）</w:t>
            </w:r>
          </w:p>
        </w:tc>
        <w:tc>
          <w:tcPr>
            <w:tcW w:w="1990" w:type="dxa"/>
            <w:tcBorders>
              <w:tl2br w:val="nil"/>
              <w:tr2bl w:val="nil"/>
            </w:tcBorders>
            <w:vAlign w:val="center"/>
          </w:tcPr>
          <w:p>
            <w:pPr>
              <w:tabs>
                <w:tab w:val="left" w:pos="1021"/>
              </w:tabs>
              <w:jc w:val="center"/>
              <w:rPr>
                <w:rFonts w:hint="default" w:ascii="Times New Roman" w:hAnsi="Times New Roman" w:eastAsia="宋体" w:cs="Times New Roman"/>
                <w:color w:val="auto"/>
                <w:spacing w:val="-4"/>
                <w:kern w:val="0"/>
                <w:szCs w:val="21"/>
                <w:lang w:val="en-US" w:eastAsia="zh-CN"/>
              </w:rPr>
            </w:pPr>
            <w:r>
              <w:rPr>
                <w:rFonts w:hint="default" w:ascii="Times New Roman" w:hAnsi="Times New Roman" w:eastAsia="宋体" w:cs="Times New Roman"/>
                <w:color w:val="auto"/>
                <w:spacing w:val="-4"/>
                <w:kern w:val="0"/>
                <w:szCs w:val="21"/>
                <w:lang w:val="en-US" w:eastAsia="zh-CN"/>
              </w:rPr>
              <w:t>目前未建设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2" w:type="dxa"/>
            <w:vMerge w:val="restart"/>
            <w:tcBorders>
              <w:tl2br w:val="nil"/>
              <w:tr2bl w:val="nil"/>
            </w:tcBorders>
            <w:vAlign w:val="center"/>
          </w:tcPr>
          <w:p>
            <w:pPr>
              <w:tabs>
                <w:tab w:val="left" w:pos="1021"/>
              </w:tabs>
              <w:jc w:val="center"/>
              <w:rPr>
                <w:rFonts w:ascii="Times New Roman" w:hAnsi="Times New Roman" w:cs="Times New Roman"/>
                <w:color w:val="auto"/>
                <w:szCs w:val="21"/>
              </w:rPr>
            </w:pPr>
            <w:r>
              <w:rPr>
                <w:rFonts w:ascii="Times New Roman" w:hAnsi="Times New Roman" w:cs="Times New Roman"/>
                <w:color w:val="auto"/>
                <w:szCs w:val="21"/>
              </w:rPr>
              <w:t>公用工程</w:t>
            </w:r>
          </w:p>
        </w:tc>
        <w:tc>
          <w:tcPr>
            <w:tcW w:w="873" w:type="dxa"/>
            <w:gridSpan w:val="2"/>
            <w:tcBorders>
              <w:tl2br w:val="nil"/>
              <w:tr2bl w:val="nil"/>
            </w:tcBorders>
            <w:vAlign w:val="center"/>
          </w:tcPr>
          <w:p>
            <w:pPr>
              <w:ind w:right="126" w:rightChars="60"/>
              <w:jc w:val="center"/>
              <w:rPr>
                <w:rFonts w:ascii="Times New Roman" w:hAnsi="Times New Roman" w:cs="Times New Roman"/>
                <w:color w:val="auto"/>
                <w:szCs w:val="21"/>
              </w:rPr>
            </w:pPr>
            <w:r>
              <w:rPr>
                <w:rFonts w:ascii="Times New Roman" w:hAnsi="Times New Roman" w:cs="Times New Roman"/>
                <w:snapToGrid w:val="0"/>
                <w:color w:val="auto"/>
              </w:rPr>
              <w:t>供电</w:t>
            </w:r>
          </w:p>
        </w:tc>
        <w:tc>
          <w:tcPr>
            <w:tcW w:w="2535" w:type="dxa"/>
            <w:tcBorders>
              <w:tl2br w:val="nil"/>
              <w:tr2bl w:val="nil"/>
            </w:tcBorders>
            <w:vAlign w:val="center"/>
          </w:tcPr>
          <w:p>
            <w:pPr>
              <w:tabs>
                <w:tab w:val="left" w:pos="1021"/>
              </w:tabs>
              <w:rPr>
                <w:rFonts w:hint="eastAsia" w:ascii="Times New Roman" w:hAnsi="Times New Roman" w:cs="Times New Roman" w:eastAsiaTheme="minorEastAsia"/>
                <w:color w:val="auto"/>
                <w:szCs w:val="21"/>
                <w:lang w:val="en-US" w:eastAsia="zh-CN"/>
              </w:rPr>
            </w:pPr>
            <w:r>
              <w:rPr>
                <w:rFonts w:hint="default" w:ascii="Times New Roman" w:hAnsi="Times New Roman" w:cs="Times New Roman"/>
                <w:color w:val="auto"/>
                <w:kern w:val="0"/>
                <w:szCs w:val="21"/>
              </w:rPr>
              <w:t>由</w:t>
            </w:r>
            <w:r>
              <w:rPr>
                <w:rFonts w:hint="eastAsia" w:ascii="Times New Roman" w:hAnsi="Times New Roman" w:cs="Times New Roman"/>
                <w:color w:val="auto"/>
                <w:kern w:val="0"/>
                <w:szCs w:val="21"/>
                <w:lang w:val="en-US" w:eastAsia="zh-CN"/>
              </w:rPr>
              <w:t>国家电</w:t>
            </w:r>
            <w:r>
              <w:rPr>
                <w:rFonts w:hint="default" w:ascii="Times New Roman" w:hAnsi="Times New Roman" w:cs="Times New Roman"/>
                <w:color w:val="auto"/>
                <w:kern w:val="0"/>
                <w:szCs w:val="21"/>
              </w:rPr>
              <w:t>网</w:t>
            </w:r>
            <w:r>
              <w:rPr>
                <w:rFonts w:hint="eastAsia" w:ascii="Times New Roman" w:hAnsi="Times New Roman" w:cs="Times New Roman"/>
                <w:color w:val="auto"/>
                <w:kern w:val="0"/>
                <w:szCs w:val="21"/>
                <w:lang w:val="en-US" w:eastAsia="zh-CN"/>
              </w:rPr>
              <w:t>提供</w:t>
            </w:r>
          </w:p>
        </w:tc>
        <w:tc>
          <w:tcPr>
            <w:tcW w:w="2472" w:type="dxa"/>
            <w:tcBorders>
              <w:tl2br w:val="nil"/>
              <w:tr2bl w:val="nil"/>
            </w:tcBorders>
            <w:vAlign w:val="center"/>
          </w:tcPr>
          <w:p>
            <w:pPr>
              <w:ind w:right="126" w:rightChars="60"/>
              <w:jc w:val="center"/>
              <w:rPr>
                <w:rFonts w:hint="default" w:ascii="Times New Roman" w:hAnsi="Times New Roman" w:cs="Times New Roman" w:eastAsiaTheme="minorEastAsia"/>
                <w:color w:val="auto"/>
                <w:szCs w:val="21"/>
                <w:lang w:val="en-US" w:eastAsia="zh-CN"/>
              </w:rPr>
            </w:pPr>
            <w:r>
              <w:rPr>
                <w:rFonts w:ascii="Times New Roman" w:hAnsi="Times New Roman" w:cs="Times New Roman"/>
                <w:snapToGrid w:val="0"/>
                <w:color w:val="auto"/>
              </w:rPr>
              <w:t>自园区内变电站引入一路10kV供电线路。</w:t>
            </w:r>
            <w:r>
              <w:rPr>
                <w:rFonts w:hint="eastAsia" w:ascii="Times New Roman" w:hAnsi="Times New Roman" w:cs="Times New Roman"/>
                <w:snapToGrid w:val="0"/>
                <w:color w:val="auto"/>
                <w:lang w:val="en-US" w:eastAsia="zh-CN"/>
              </w:rPr>
              <w:t>自备1台柴油发电机</w:t>
            </w:r>
          </w:p>
        </w:tc>
        <w:tc>
          <w:tcPr>
            <w:tcW w:w="1990" w:type="dxa"/>
            <w:tcBorders>
              <w:tl2br w:val="nil"/>
              <w:tr2bl w:val="nil"/>
            </w:tcBorders>
            <w:vAlign w:val="center"/>
          </w:tcPr>
          <w:p>
            <w:pPr>
              <w:tabs>
                <w:tab w:val="left" w:pos="1021"/>
              </w:tabs>
              <w:jc w:val="center"/>
              <w:rPr>
                <w:rFonts w:ascii="Times New Roman" w:hAnsi="Times New Roman" w:cs="Times New Roman"/>
                <w:color w:val="auto"/>
                <w:szCs w:val="21"/>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2" w:type="dxa"/>
            <w:vMerge w:val="continue"/>
            <w:tcBorders>
              <w:tl2br w:val="nil"/>
              <w:tr2bl w:val="nil"/>
            </w:tcBorders>
            <w:vAlign w:val="center"/>
          </w:tcPr>
          <w:p>
            <w:pPr>
              <w:tabs>
                <w:tab w:val="left" w:pos="1021"/>
              </w:tabs>
              <w:jc w:val="center"/>
              <w:rPr>
                <w:rFonts w:ascii="Times New Roman" w:hAnsi="Times New Roman" w:cs="Times New Roman"/>
                <w:color w:val="auto"/>
                <w:szCs w:val="21"/>
              </w:rPr>
            </w:pPr>
          </w:p>
        </w:tc>
        <w:tc>
          <w:tcPr>
            <w:tcW w:w="873" w:type="dxa"/>
            <w:gridSpan w:val="2"/>
            <w:tcBorders>
              <w:tl2br w:val="nil"/>
              <w:tr2bl w:val="nil"/>
            </w:tcBorders>
            <w:vAlign w:val="center"/>
          </w:tcPr>
          <w:p>
            <w:pPr>
              <w:ind w:right="126" w:rightChars="60"/>
              <w:jc w:val="center"/>
              <w:rPr>
                <w:rFonts w:ascii="Times New Roman" w:hAnsi="Times New Roman" w:cs="Times New Roman"/>
                <w:color w:val="auto"/>
                <w:szCs w:val="21"/>
              </w:rPr>
            </w:pPr>
            <w:r>
              <w:rPr>
                <w:rFonts w:ascii="Times New Roman" w:hAnsi="Times New Roman" w:cs="Times New Roman"/>
                <w:snapToGrid w:val="0"/>
                <w:color w:val="auto"/>
              </w:rPr>
              <w:t>供水</w:t>
            </w:r>
          </w:p>
        </w:tc>
        <w:tc>
          <w:tcPr>
            <w:tcW w:w="2535" w:type="dxa"/>
            <w:tcBorders>
              <w:tl2br w:val="nil"/>
              <w:tr2bl w:val="nil"/>
            </w:tcBorders>
            <w:vAlign w:val="center"/>
          </w:tcPr>
          <w:p>
            <w:pPr>
              <w:tabs>
                <w:tab w:val="left" w:pos="1021"/>
              </w:tabs>
              <w:rPr>
                <w:rFonts w:ascii="Times New Roman" w:hAnsi="Times New Roman" w:cs="Times New Roman"/>
                <w:color w:val="auto"/>
                <w:kern w:val="0"/>
                <w:szCs w:val="21"/>
              </w:rPr>
            </w:pPr>
            <w:r>
              <w:rPr>
                <w:rFonts w:ascii="Times New Roman" w:hAnsi="Times New Roman" w:cs="Times New Roman"/>
                <w:snapToGrid w:val="0"/>
                <w:color w:val="auto"/>
              </w:rPr>
              <w:t>新鲜水由园区市政引入一根DN80进水管线（供水能力约80m</w:t>
            </w:r>
            <w:r>
              <w:rPr>
                <w:rFonts w:ascii="Times New Roman" w:hAnsi="Times New Roman" w:cs="Times New Roman"/>
                <w:snapToGrid w:val="0"/>
                <w:color w:val="auto"/>
                <w:vertAlign w:val="superscript"/>
              </w:rPr>
              <w:t>3</w:t>
            </w:r>
            <w:r>
              <w:rPr>
                <w:rFonts w:ascii="Times New Roman" w:hAnsi="Times New Roman" w:cs="Times New Roman"/>
                <w:snapToGrid w:val="0"/>
                <w:color w:val="auto"/>
              </w:rPr>
              <w:t>/h），系统压力0.30Mpa。</w:t>
            </w:r>
          </w:p>
        </w:tc>
        <w:tc>
          <w:tcPr>
            <w:tcW w:w="2472" w:type="dxa"/>
            <w:tcBorders>
              <w:tl2br w:val="nil"/>
              <w:tr2bl w:val="nil"/>
            </w:tcBorders>
            <w:vAlign w:val="center"/>
          </w:tcPr>
          <w:p>
            <w:pPr>
              <w:ind w:right="126" w:rightChars="60"/>
              <w:jc w:val="center"/>
              <w:rPr>
                <w:rFonts w:ascii="Times New Roman" w:hAnsi="Times New Roman" w:cs="Times New Roman"/>
                <w:color w:val="auto"/>
                <w:kern w:val="0"/>
                <w:szCs w:val="21"/>
              </w:rPr>
            </w:pPr>
            <w:r>
              <w:rPr>
                <w:rFonts w:ascii="Times New Roman" w:hAnsi="Times New Roman" w:cs="Times New Roman"/>
                <w:snapToGrid w:val="0"/>
                <w:color w:val="auto"/>
              </w:rPr>
              <w:t>新鲜水由园区市政引入一根DN80进水管线（供水能力约80m</w:t>
            </w:r>
            <w:r>
              <w:rPr>
                <w:rFonts w:ascii="Times New Roman" w:hAnsi="Times New Roman" w:cs="Times New Roman"/>
                <w:snapToGrid w:val="0"/>
                <w:color w:val="auto"/>
                <w:vertAlign w:val="superscript"/>
              </w:rPr>
              <w:t>3</w:t>
            </w:r>
            <w:r>
              <w:rPr>
                <w:rFonts w:ascii="Times New Roman" w:hAnsi="Times New Roman" w:cs="Times New Roman"/>
                <w:snapToGrid w:val="0"/>
                <w:color w:val="auto"/>
              </w:rPr>
              <w:t>/h），系统压力0.30Mpa。</w:t>
            </w:r>
          </w:p>
        </w:tc>
        <w:tc>
          <w:tcPr>
            <w:tcW w:w="1990" w:type="dxa"/>
            <w:tcBorders>
              <w:tl2br w:val="nil"/>
              <w:tr2bl w:val="nil"/>
            </w:tcBorders>
            <w:vAlign w:val="center"/>
          </w:tcPr>
          <w:p>
            <w:pPr>
              <w:tabs>
                <w:tab w:val="left" w:pos="1021"/>
              </w:tabs>
              <w:jc w:val="center"/>
              <w:rPr>
                <w:rFonts w:ascii="Times New Roman" w:hAnsi="Times New Roman" w:eastAsia="宋体" w:cs="Times New Roman"/>
                <w:color w:val="auto"/>
                <w:spacing w:val="-4"/>
                <w:kern w:val="0"/>
                <w:szCs w:val="21"/>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2" w:type="dxa"/>
            <w:vMerge w:val="continue"/>
            <w:tcBorders>
              <w:tl2br w:val="nil"/>
              <w:tr2bl w:val="nil"/>
            </w:tcBorders>
            <w:vAlign w:val="center"/>
          </w:tcPr>
          <w:p>
            <w:pPr>
              <w:tabs>
                <w:tab w:val="left" w:pos="1021"/>
              </w:tabs>
              <w:jc w:val="center"/>
              <w:rPr>
                <w:rFonts w:ascii="Times New Roman" w:hAnsi="Times New Roman" w:cs="Times New Roman"/>
                <w:color w:val="auto"/>
                <w:szCs w:val="21"/>
              </w:rPr>
            </w:pPr>
          </w:p>
        </w:tc>
        <w:tc>
          <w:tcPr>
            <w:tcW w:w="873" w:type="dxa"/>
            <w:gridSpan w:val="2"/>
            <w:tcBorders>
              <w:tl2br w:val="nil"/>
              <w:tr2bl w:val="nil"/>
            </w:tcBorders>
            <w:vAlign w:val="center"/>
          </w:tcPr>
          <w:p>
            <w:pPr>
              <w:ind w:right="126" w:rightChars="60"/>
              <w:jc w:val="center"/>
              <w:rPr>
                <w:rFonts w:ascii="Times New Roman" w:hAnsi="Times New Roman" w:cs="Times New Roman"/>
                <w:color w:val="auto"/>
                <w:szCs w:val="21"/>
              </w:rPr>
            </w:pPr>
            <w:r>
              <w:rPr>
                <w:rFonts w:ascii="Times New Roman" w:hAnsi="Times New Roman" w:cs="Times New Roman"/>
                <w:snapToGrid w:val="0"/>
                <w:color w:val="auto"/>
              </w:rPr>
              <w:t>排水</w:t>
            </w:r>
          </w:p>
        </w:tc>
        <w:tc>
          <w:tcPr>
            <w:tcW w:w="2535" w:type="dxa"/>
            <w:tcBorders>
              <w:tl2br w:val="nil"/>
              <w:tr2bl w:val="nil"/>
            </w:tcBorders>
            <w:vAlign w:val="center"/>
          </w:tcPr>
          <w:p>
            <w:pPr>
              <w:tabs>
                <w:tab w:val="left" w:pos="1021"/>
              </w:tabs>
              <w:rPr>
                <w:rFonts w:ascii="Times New Roman" w:hAnsi="Times New Roman" w:cs="Times New Roman"/>
                <w:color w:val="auto"/>
                <w:kern w:val="0"/>
                <w:szCs w:val="21"/>
              </w:rPr>
            </w:pPr>
            <w:r>
              <w:rPr>
                <w:rFonts w:ascii="Times New Roman" w:hAnsi="Times New Roman" w:cs="Times New Roman"/>
                <w:snapToGrid w:val="0"/>
                <w:color w:val="auto"/>
              </w:rPr>
              <w:t>采用雨污分流制，污水经预处理后排入园区污水管网，</w:t>
            </w:r>
            <w:r>
              <w:rPr>
                <w:rFonts w:ascii="Times New Roman" w:hAnsi="Times New Roman" w:cs="Times New Roman"/>
                <w:iCs/>
                <w:snapToGrid w:val="0"/>
                <w:color w:val="auto"/>
              </w:rPr>
              <w:t>雨水排入园区雨水管网</w:t>
            </w:r>
            <w:r>
              <w:rPr>
                <w:rFonts w:ascii="Times New Roman" w:hAnsi="Times New Roman" w:cs="Times New Roman"/>
                <w:snapToGrid w:val="0"/>
                <w:color w:val="auto"/>
              </w:rPr>
              <w:t>。</w:t>
            </w:r>
          </w:p>
        </w:tc>
        <w:tc>
          <w:tcPr>
            <w:tcW w:w="2472" w:type="dxa"/>
            <w:tcBorders>
              <w:tl2br w:val="nil"/>
              <w:tr2bl w:val="nil"/>
            </w:tcBorders>
            <w:vAlign w:val="center"/>
          </w:tcPr>
          <w:p>
            <w:pPr>
              <w:ind w:right="126" w:rightChars="60"/>
              <w:jc w:val="center"/>
              <w:rPr>
                <w:rFonts w:ascii="Times New Roman" w:hAnsi="Times New Roman" w:cs="Times New Roman"/>
                <w:color w:val="auto"/>
                <w:kern w:val="0"/>
                <w:szCs w:val="21"/>
              </w:rPr>
            </w:pPr>
            <w:r>
              <w:rPr>
                <w:rFonts w:ascii="Times New Roman" w:hAnsi="Times New Roman" w:cs="Times New Roman"/>
                <w:snapToGrid w:val="0"/>
                <w:color w:val="auto"/>
              </w:rPr>
              <w:t>采用雨污分流制，污水经预处理后排入园区污水管网，</w:t>
            </w:r>
            <w:r>
              <w:rPr>
                <w:rFonts w:ascii="Times New Roman" w:hAnsi="Times New Roman" w:cs="Times New Roman"/>
                <w:iCs/>
                <w:snapToGrid w:val="0"/>
                <w:color w:val="auto"/>
              </w:rPr>
              <w:t>雨水排入园区雨水管网</w:t>
            </w:r>
            <w:r>
              <w:rPr>
                <w:rFonts w:ascii="Times New Roman" w:hAnsi="Times New Roman" w:cs="Times New Roman"/>
                <w:snapToGrid w:val="0"/>
                <w:color w:val="auto"/>
              </w:rPr>
              <w:t>。</w:t>
            </w:r>
          </w:p>
        </w:tc>
        <w:tc>
          <w:tcPr>
            <w:tcW w:w="1990" w:type="dxa"/>
            <w:tcBorders>
              <w:tl2br w:val="nil"/>
              <w:tr2bl w:val="nil"/>
            </w:tcBorders>
            <w:vAlign w:val="center"/>
          </w:tcPr>
          <w:p>
            <w:pPr>
              <w:tabs>
                <w:tab w:val="left" w:pos="1021"/>
              </w:tabs>
              <w:jc w:val="center"/>
              <w:rPr>
                <w:rFonts w:ascii="Times New Roman" w:hAnsi="Times New Roman" w:eastAsia="宋体" w:cs="Times New Roman"/>
                <w:color w:val="auto"/>
                <w:spacing w:val="-4"/>
                <w:kern w:val="0"/>
                <w:szCs w:val="21"/>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2" w:type="dxa"/>
            <w:vMerge w:val="continue"/>
            <w:tcBorders>
              <w:tl2br w:val="nil"/>
              <w:tr2bl w:val="nil"/>
            </w:tcBorders>
            <w:vAlign w:val="center"/>
          </w:tcPr>
          <w:p>
            <w:pPr>
              <w:tabs>
                <w:tab w:val="left" w:pos="1021"/>
              </w:tabs>
              <w:jc w:val="center"/>
              <w:rPr>
                <w:rFonts w:ascii="Times New Roman" w:hAnsi="Times New Roman" w:cs="Times New Roman"/>
                <w:color w:val="auto"/>
                <w:szCs w:val="21"/>
              </w:rPr>
            </w:pPr>
          </w:p>
        </w:tc>
        <w:tc>
          <w:tcPr>
            <w:tcW w:w="873" w:type="dxa"/>
            <w:gridSpan w:val="2"/>
            <w:tcBorders>
              <w:tl2br w:val="nil"/>
              <w:tr2bl w:val="nil"/>
            </w:tcBorders>
            <w:vAlign w:val="center"/>
          </w:tcPr>
          <w:p>
            <w:pPr>
              <w:ind w:right="126" w:rightChars="60"/>
              <w:jc w:val="center"/>
              <w:rPr>
                <w:rFonts w:ascii="Times New Roman" w:hAnsi="Times New Roman" w:cs="Times New Roman"/>
                <w:color w:val="auto"/>
                <w:szCs w:val="21"/>
              </w:rPr>
            </w:pPr>
            <w:r>
              <w:rPr>
                <w:rFonts w:ascii="Times New Roman" w:hAnsi="Times New Roman" w:cs="Times New Roman"/>
                <w:snapToGrid w:val="0"/>
                <w:color w:val="auto"/>
              </w:rPr>
              <w:t>供热</w:t>
            </w:r>
          </w:p>
        </w:tc>
        <w:tc>
          <w:tcPr>
            <w:tcW w:w="2535" w:type="dxa"/>
            <w:tcBorders>
              <w:tl2br w:val="nil"/>
              <w:tr2bl w:val="nil"/>
            </w:tcBorders>
            <w:vAlign w:val="center"/>
          </w:tcPr>
          <w:p>
            <w:pPr>
              <w:tabs>
                <w:tab w:val="left" w:pos="1021"/>
              </w:tabs>
              <w:rPr>
                <w:rFonts w:ascii="Times New Roman" w:hAnsi="Times New Roman" w:cs="Times New Roman"/>
                <w:color w:val="auto"/>
                <w:kern w:val="0"/>
                <w:szCs w:val="21"/>
              </w:rPr>
            </w:pPr>
            <w:r>
              <w:rPr>
                <w:rFonts w:hint="default" w:ascii="Times New Roman" w:hAnsi="Times New Roman" w:cs="Times New Roman"/>
                <w:color w:val="auto"/>
                <w:kern w:val="0"/>
                <w:szCs w:val="21"/>
              </w:rPr>
              <w:t>本项目配套的一套50万大卡燃气型导热油锅炉提供260℃导热油供应聚酰胺反应釜加热使用</w:t>
            </w:r>
          </w:p>
        </w:tc>
        <w:tc>
          <w:tcPr>
            <w:tcW w:w="2472" w:type="dxa"/>
            <w:tcBorders>
              <w:tl2br w:val="nil"/>
              <w:tr2bl w:val="nil"/>
            </w:tcBorders>
            <w:vAlign w:val="center"/>
          </w:tcPr>
          <w:p>
            <w:pPr>
              <w:ind w:right="126" w:rightChars="60"/>
              <w:jc w:val="center"/>
              <w:rPr>
                <w:rFonts w:ascii="Times New Roman" w:hAnsi="Times New Roman" w:cs="Times New Roman"/>
                <w:color w:val="auto"/>
                <w:kern w:val="0"/>
                <w:szCs w:val="21"/>
              </w:rPr>
            </w:pPr>
            <w:r>
              <w:rPr>
                <w:rFonts w:ascii="Times New Roman" w:hAnsi="Times New Roman" w:cs="Times New Roman"/>
                <w:snapToGrid w:val="0"/>
                <w:color w:val="auto"/>
              </w:rPr>
              <w:t>本项目配套的一套50万大卡导热油锅炉提供260℃导热油供应聚酰胺反应釜加热使用</w:t>
            </w:r>
            <w:r>
              <w:rPr>
                <w:rFonts w:hint="default" w:ascii="Times New Roman" w:hAnsi="Times New Roman" w:cs="Times New Roman"/>
                <w:snapToGrid w:val="0"/>
                <w:color w:val="auto"/>
              </w:rPr>
              <w:t>，导热油锅炉采用电能</w:t>
            </w:r>
          </w:p>
        </w:tc>
        <w:tc>
          <w:tcPr>
            <w:tcW w:w="1990" w:type="dxa"/>
            <w:tcBorders>
              <w:tl2br w:val="nil"/>
              <w:tr2bl w:val="nil"/>
            </w:tcBorders>
            <w:vAlign w:val="center"/>
          </w:tcPr>
          <w:p>
            <w:pPr>
              <w:tabs>
                <w:tab w:val="left" w:pos="1021"/>
              </w:tabs>
              <w:jc w:val="center"/>
              <w:rPr>
                <w:rFonts w:ascii="Times New Roman" w:hAnsi="Times New Roman" w:eastAsia="宋体" w:cs="Times New Roman"/>
                <w:color w:val="auto"/>
                <w:spacing w:val="-4"/>
                <w:kern w:val="0"/>
                <w:szCs w:val="21"/>
              </w:rPr>
            </w:pPr>
            <w:r>
              <w:rPr>
                <w:rFonts w:hint="default" w:ascii="Times New Roman" w:hAnsi="Times New Roman" w:eastAsia="宋体" w:cs="Times New Roman"/>
                <w:color w:val="auto"/>
                <w:spacing w:val="-4"/>
                <w:kern w:val="0"/>
                <w:szCs w:val="21"/>
              </w:rPr>
              <w:t>导热油炉由燃气型变更用电型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2" w:type="dxa"/>
            <w:vMerge w:val="continue"/>
            <w:tcBorders>
              <w:tl2br w:val="nil"/>
              <w:tr2bl w:val="nil"/>
            </w:tcBorders>
            <w:vAlign w:val="center"/>
          </w:tcPr>
          <w:p>
            <w:pPr>
              <w:tabs>
                <w:tab w:val="left" w:pos="1021"/>
              </w:tabs>
              <w:jc w:val="center"/>
              <w:rPr>
                <w:rFonts w:ascii="Times New Roman" w:hAnsi="Times New Roman" w:cs="Times New Roman"/>
                <w:color w:val="auto"/>
                <w:szCs w:val="21"/>
              </w:rPr>
            </w:pPr>
          </w:p>
        </w:tc>
        <w:tc>
          <w:tcPr>
            <w:tcW w:w="873" w:type="dxa"/>
            <w:gridSpan w:val="2"/>
            <w:tcBorders>
              <w:tl2br w:val="nil"/>
              <w:tr2bl w:val="nil"/>
            </w:tcBorders>
            <w:vAlign w:val="center"/>
          </w:tcPr>
          <w:p>
            <w:pPr>
              <w:ind w:right="126" w:rightChars="60"/>
              <w:jc w:val="center"/>
              <w:rPr>
                <w:rFonts w:ascii="Times New Roman" w:hAnsi="Times New Roman" w:cs="Times New Roman"/>
                <w:color w:val="auto"/>
                <w:szCs w:val="21"/>
              </w:rPr>
            </w:pPr>
            <w:r>
              <w:rPr>
                <w:rFonts w:ascii="Times New Roman" w:hAnsi="Times New Roman" w:cs="Times New Roman"/>
                <w:snapToGrid w:val="0"/>
                <w:color w:val="auto"/>
              </w:rPr>
              <w:t>消防</w:t>
            </w:r>
          </w:p>
        </w:tc>
        <w:tc>
          <w:tcPr>
            <w:tcW w:w="2535" w:type="dxa"/>
            <w:tcBorders>
              <w:tl2br w:val="nil"/>
              <w:tr2bl w:val="nil"/>
            </w:tcBorders>
            <w:vAlign w:val="center"/>
          </w:tcPr>
          <w:p>
            <w:pPr>
              <w:tabs>
                <w:tab w:val="left" w:pos="1021"/>
              </w:tabs>
              <w:rPr>
                <w:rFonts w:ascii="Times New Roman" w:hAnsi="Times New Roman" w:cs="Times New Roman"/>
                <w:color w:val="auto"/>
                <w:szCs w:val="21"/>
              </w:rPr>
            </w:pPr>
            <w:r>
              <w:rPr>
                <w:rFonts w:ascii="Times New Roman" w:hAnsi="Times New Roman" w:cs="Times New Roman"/>
                <w:snapToGrid w:val="0"/>
                <w:color w:val="auto"/>
              </w:rPr>
              <w:t>占地面积230.0</w:t>
            </w:r>
            <w:r>
              <w:rPr>
                <w:rFonts w:ascii="Times New Roman" w:hAnsi="Times New Roman" w:cs="Times New Roman"/>
                <w:color w:val="auto"/>
              </w:rPr>
              <w:t>m</w:t>
            </w:r>
            <w:r>
              <w:rPr>
                <w:rFonts w:ascii="Times New Roman" w:hAnsi="Times New Roman" w:cs="Times New Roman"/>
                <w:color w:val="auto"/>
                <w:vertAlign w:val="superscript"/>
              </w:rPr>
              <w:t>2</w:t>
            </w:r>
            <w:r>
              <w:rPr>
                <w:rFonts w:ascii="Times New Roman" w:hAnsi="Times New Roman" w:cs="Times New Roman"/>
                <w:color w:val="auto"/>
              </w:rPr>
              <w:t>，消防水罐2个，直径8m</w:t>
            </w:r>
          </w:p>
        </w:tc>
        <w:tc>
          <w:tcPr>
            <w:tcW w:w="2472" w:type="dxa"/>
            <w:tcBorders>
              <w:tl2br w:val="nil"/>
              <w:tr2bl w:val="nil"/>
            </w:tcBorders>
            <w:vAlign w:val="center"/>
          </w:tcPr>
          <w:p>
            <w:pPr>
              <w:ind w:right="126" w:rightChars="60"/>
              <w:jc w:val="center"/>
              <w:rPr>
                <w:rFonts w:ascii="Times New Roman" w:hAnsi="Times New Roman" w:cs="Times New Roman"/>
                <w:color w:val="auto"/>
                <w:szCs w:val="21"/>
              </w:rPr>
            </w:pPr>
            <w:r>
              <w:rPr>
                <w:rFonts w:ascii="Times New Roman" w:hAnsi="Times New Roman" w:cs="Times New Roman"/>
                <w:snapToGrid w:val="0"/>
                <w:color w:val="auto"/>
              </w:rPr>
              <w:t>占地面积230.0</w:t>
            </w:r>
            <w:r>
              <w:rPr>
                <w:rFonts w:ascii="Times New Roman" w:hAnsi="Times New Roman" w:cs="Times New Roman"/>
                <w:color w:val="auto"/>
              </w:rPr>
              <w:t>m</w:t>
            </w:r>
            <w:r>
              <w:rPr>
                <w:rFonts w:ascii="Times New Roman" w:hAnsi="Times New Roman" w:cs="Times New Roman"/>
                <w:color w:val="auto"/>
                <w:vertAlign w:val="superscript"/>
              </w:rPr>
              <w:t>2</w:t>
            </w:r>
            <w:r>
              <w:rPr>
                <w:rFonts w:ascii="Times New Roman" w:hAnsi="Times New Roman" w:cs="Times New Roman"/>
                <w:color w:val="auto"/>
              </w:rPr>
              <w:t>，消防水罐2个，直径8m</w:t>
            </w:r>
          </w:p>
        </w:tc>
        <w:tc>
          <w:tcPr>
            <w:tcW w:w="1990" w:type="dxa"/>
            <w:tcBorders>
              <w:tl2br w:val="nil"/>
              <w:tr2bl w:val="nil"/>
            </w:tcBorders>
            <w:vAlign w:val="center"/>
          </w:tcPr>
          <w:p>
            <w:pPr>
              <w:tabs>
                <w:tab w:val="left" w:pos="1021"/>
              </w:tabs>
              <w:jc w:val="center"/>
              <w:rPr>
                <w:rFonts w:ascii="Times New Roman" w:hAnsi="Times New Roman" w:cs="Times New Roman"/>
                <w:color w:val="auto"/>
                <w:szCs w:val="21"/>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2" w:type="dxa"/>
            <w:vMerge w:val="restart"/>
            <w:tcBorders>
              <w:tl2br w:val="nil"/>
              <w:tr2bl w:val="nil"/>
            </w:tcBorders>
            <w:vAlign w:val="center"/>
          </w:tcPr>
          <w:p>
            <w:pPr>
              <w:tabs>
                <w:tab w:val="left" w:pos="1021"/>
              </w:tabs>
              <w:jc w:val="center"/>
              <w:rPr>
                <w:rFonts w:ascii="Times New Roman" w:hAnsi="Times New Roman" w:cs="Times New Roman"/>
                <w:color w:val="auto"/>
                <w:szCs w:val="21"/>
              </w:rPr>
            </w:pPr>
            <w:r>
              <w:rPr>
                <w:rFonts w:ascii="Times New Roman" w:hAnsi="Times New Roman" w:cs="Times New Roman"/>
                <w:color w:val="auto"/>
                <w:szCs w:val="21"/>
              </w:rPr>
              <w:t>辅助工程</w:t>
            </w:r>
          </w:p>
        </w:tc>
        <w:tc>
          <w:tcPr>
            <w:tcW w:w="873" w:type="dxa"/>
            <w:gridSpan w:val="2"/>
            <w:tcBorders>
              <w:tl2br w:val="nil"/>
              <w:tr2bl w:val="nil"/>
            </w:tcBorders>
            <w:vAlign w:val="center"/>
          </w:tcPr>
          <w:p>
            <w:pPr>
              <w:ind w:right="126" w:rightChars="60"/>
              <w:jc w:val="center"/>
              <w:rPr>
                <w:rFonts w:ascii="Times New Roman" w:hAnsi="Times New Roman" w:cs="Times New Roman"/>
                <w:color w:val="auto"/>
                <w:szCs w:val="21"/>
              </w:rPr>
            </w:pPr>
            <w:r>
              <w:rPr>
                <w:rFonts w:ascii="Times New Roman" w:hAnsi="Times New Roman" w:cs="Times New Roman"/>
                <w:snapToGrid w:val="0"/>
                <w:color w:val="auto"/>
              </w:rPr>
              <w:t>门卫</w:t>
            </w:r>
          </w:p>
        </w:tc>
        <w:tc>
          <w:tcPr>
            <w:tcW w:w="2535" w:type="dxa"/>
            <w:tcBorders>
              <w:tl2br w:val="nil"/>
              <w:tr2bl w:val="nil"/>
            </w:tcBorders>
            <w:vAlign w:val="center"/>
          </w:tcPr>
          <w:p>
            <w:pPr>
              <w:tabs>
                <w:tab w:val="left" w:pos="1021"/>
              </w:tabs>
              <w:rPr>
                <w:rFonts w:ascii="Times New Roman" w:hAnsi="Times New Roman" w:cs="Times New Roman"/>
                <w:color w:val="auto"/>
                <w:szCs w:val="21"/>
              </w:rPr>
            </w:pPr>
            <w:r>
              <w:rPr>
                <w:rFonts w:ascii="Times New Roman" w:hAnsi="Times New Roman" w:cs="Times New Roman"/>
                <w:color w:val="auto"/>
              </w:rPr>
              <w:t>占地面积60m</w:t>
            </w:r>
            <w:r>
              <w:rPr>
                <w:rFonts w:ascii="Times New Roman" w:hAnsi="Times New Roman" w:cs="Times New Roman"/>
                <w:color w:val="auto"/>
                <w:vertAlign w:val="superscript"/>
              </w:rPr>
              <w:t>2</w:t>
            </w:r>
            <w:r>
              <w:rPr>
                <w:rFonts w:ascii="Times New Roman" w:hAnsi="Times New Roman" w:cs="Times New Roman"/>
                <w:color w:val="auto"/>
              </w:rPr>
              <w:t>，建筑面积60m</w:t>
            </w:r>
            <w:r>
              <w:rPr>
                <w:rFonts w:ascii="Times New Roman" w:hAnsi="Times New Roman" w:cs="Times New Roman"/>
                <w:color w:val="auto"/>
                <w:vertAlign w:val="superscript"/>
              </w:rPr>
              <w:t>2</w:t>
            </w:r>
            <w:r>
              <w:rPr>
                <w:rFonts w:ascii="Times New Roman" w:hAnsi="Times New Roman" w:cs="Times New Roman"/>
                <w:color w:val="auto"/>
              </w:rPr>
              <w:t>，框架结构，1F</w:t>
            </w:r>
          </w:p>
        </w:tc>
        <w:tc>
          <w:tcPr>
            <w:tcW w:w="2472" w:type="dxa"/>
            <w:tcBorders>
              <w:tl2br w:val="nil"/>
              <w:tr2bl w:val="nil"/>
            </w:tcBorders>
            <w:vAlign w:val="center"/>
          </w:tcPr>
          <w:p>
            <w:pPr>
              <w:ind w:right="126" w:rightChars="60"/>
              <w:jc w:val="center"/>
              <w:rPr>
                <w:rFonts w:ascii="Times New Roman" w:hAnsi="Times New Roman" w:cs="Times New Roman"/>
                <w:color w:val="auto"/>
                <w:szCs w:val="21"/>
              </w:rPr>
            </w:pPr>
            <w:r>
              <w:rPr>
                <w:rFonts w:ascii="Times New Roman" w:hAnsi="Times New Roman" w:cs="Times New Roman"/>
                <w:color w:val="auto"/>
              </w:rPr>
              <w:t>占地面积6</w:t>
            </w:r>
            <w:r>
              <w:rPr>
                <w:rFonts w:hint="eastAsia" w:ascii="Times New Roman" w:hAnsi="Times New Roman" w:cs="Times New Roman"/>
                <w:color w:val="auto"/>
                <w:lang w:val="en-US" w:eastAsia="zh-CN"/>
              </w:rPr>
              <w:t>3</w:t>
            </w:r>
            <w:r>
              <w:rPr>
                <w:rFonts w:ascii="Times New Roman" w:hAnsi="Times New Roman" w:cs="Times New Roman"/>
                <w:color w:val="auto"/>
              </w:rPr>
              <w:t>m</w:t>
            </w:r>
            <w:r>
              <w:rPr>
                <w:rFonts w:ascii="Times New Roman" w:hAnsi="Times New Roman" w:cs="Times New Roman"/>
                <w:color w:val="auto"/>
                <w:vertAlign w:val="superscript"/>
              </w:rPr>
              <w:t>2</w:t>
            </w:r>
            <w:r>
              <w:rPr>
                <w:rFonts w:ascii="Times New Roman" w:hAnsi="Times New Roman" w:cs="Times New Roman"/>
                <w:color w:val="auto"/>
              </w:rPr>
              <w:t>，建筑面积</w:t>
            </w:r>
            <w:r>
              <w:rPr>
                <w:rFonts w:hint="eastAsia" w:ascii="Times New Roman" w:hAnsi="Times New Roman" w:cs="Times New Roman"/>
                <w:color w:val="auto"/>
                <w:lang w:val="en-US" w:eastAsia="zh-CN"/>
              </w:rPr>
              <w:t>63</w:t>
            </w:r>
            <w:r>
              <w:rPr>
                <w:rFonts w:ascii="Times New Roman" w:hAnsi="Times New Roman" w:cs="Times New Roman"/>
                <w:color w:val="auto"/>
              </w:rPr>
              <w:t>m</w:t>
            </w:r>
            <w:r>
              <w:rPr>
                <w:rFonts w:ascii="Times New Roman" w:hAnsi="Times New Roman" w:cs="Times New Roman"/>
                <w:color w:val="auto"/>
                <w:vertAlign w:val="superscript"/>
              </w:rPr>
              <w:t>2</w:t>
            </w:r>
            <w:r>
              <w:rPr>
                <w:rFonts w:ascii="Times New Roman" w:hAnsi="Times New Roman" w:cs="Times New Roman"/>
                <w:color w:val="auto"/>
              </w:rPr>
              <w:t>，框架结构，1F</w:t>
            </w:r>
          </w:p>
        </w:tc>
        <w:tc>
          <w:tcPr>
            <w:tcW w:w="1990" w:type="dxa"/>
            <w:tcBorders>
              <w:tl2br w:val="nil"/>
              <w:tr2bl w:val="nil"/>
            </w:tcBorders>
            <w:vAlign w:val="center"/>
          </w:tcPr>
          <w:p>
            <w:pPr>
              <w:tabs>
                <w:tab w:val="left" w:pos="1021"/>
              </w:tabs>
              <w:jc w:val="center"/>
              <w:rPr>
                <w:rFonts w:ascii="Times New Roman" w:hAnsi="Times New Roman" w:cs="Times New Roman"/>
                <w:color w:val="auto"/>
                <w:szCs w:val="21"/>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2" w:type="dxa"/>
            <w:vMerge w:val="continue"/>
            <w:tcBorders>
              <w:tl2br w:val="nil"/>
              <w:tr2bl w:val="nil"/>
            </w:tcBorders>
            <w:vAlign w:val="center"/>
          </w:tcPr>
          <w:p>
            <w:pPr>
              <w:tabs>
                <w:tab w:val="left" w:pos="1021"/>
              </w:tabs>
              <w:jc w:val="center"/>
              <w:rPr>
                <w:rFonts w:ascii="Times New Roman" w:hAnsi="Times New Roman" w:cs="Times New Roman"/>
                <w:color w:val="auto"/>
                <w:szCs w:val="21"/>
              </w:rPr>
            </w:pPr>
          </w:p>
        </w:tc>
        <w:tc>
          <w:tcPr>
            <w:tcW w:w="873" w:type="dxa"/>
            <w:gridSpan w:val="2"/>
            <w:tcBorders>
              <w:tl2br w:val="nil"/>
              <w:tr2bl w:val="nil"/>
            </w:tcBorders>
            <w:vAlign w:val="center"/>
          </w:tcPr>
          <w:p>
            <w:pPr>
              <w:ind w:right="126" w:rightChars="60"/>
              <w:jc w:val="center"/>
              <w:rPr>
                <w:rFonts w:ascii="Times New Roman" w:hAnsi="Times New Roman" w:cs="Times New Roman"/>
                <w:color w:val="auto"/>
                <w:szCs w:val="21"/>
              </w:rPr>
            </w:pPr>
            <w:r>
              <w:rPr>
                <w:rFonts w:ascii="Times New Roman" w:hAnsi="Times New Roman" w:cs="Times New Roman"/>
                <w:snapToGrid w:val="0"/>
                <w:color w:val="auto"/>
              </w:rPr>
              <w:t>办公</w:t>
            </w:r>
          </w:p>
        </w:tc>
        <w:tc>
          <w:tcPr>
            <w:tcW w:w="2535" w:type="dxa"/>
            <w:tcBorders>
              <w:tl2br w:val="nil"/>
              <w:tr2bl w:val="nil"/>
            </w:tcBorders>
            <w:vAlign w:val="center"/>
          </w:tcPr>
          <w:p>
            <w:pPr>
              <w:tabs>
                <w:tab w:val="left" w:pos="1021"/>
              </w:tabs>
              <w:rPr>
                <w:rFonts w:ascii="Times New Roman" w:hAnsi="Times New Roman" w:cs="Times New Roman"/>
                <w:color w:val="auto"/>
                <w:kern w:val="0"/>
                <w:szCs w:val="21"/>
              </w:rPr>
            </w:pPr>
            <w:r>
              <w:rPr>
                <w:rFonts w:ascii="Times New Roman" w:hAnsi="Times New Roman" w:cs="Times New Roman"/>
                <w:color w:val="auto"/>
                <w:szCs w:val="21"/>
              </w:rPr>
              <w:t>占地面积420m</w:t>
            </w:r>
            <w:r>
              <w:rPr>
                <w:rFonts w:ascii="Times New Roman" w:hAnsi="Times New Roman" w:cs="Times New Roman"/>
                <w:color w:val="auto"/>
                <w:szCs w:val="21"/>
                <w:vertAlign w:val="superscript"/>
              </w:rPr>
              <w:t>2</w:t>
            </w:r>
            <w:r>
              <w:rPr>
                <w:rFonts w:ascii="Times New Roman" w:hAnsi="Times New Roman" w:cs="Times New Roman"/>
                <w:color w:val="auto"/>
                <w:szCs w:val="21"/>
              </w:rPr>
              <w:t>，建筑面积1680m</w:t>
            </w:r>
            <w:r>
              <w:rPr>
                <w:rFonts w:ascii="Times New Roman" w:hAnsi="Times New Roman" w:cs="Times New Roman"/>
                <w:color w:val="auto"/>
                <w:szCs w:val="21"/>
                <w:vertAlign w:val="superscript"/>
              </w:rPr>
              <w:t>2</w:t>
            </w:r>
            <w:r>
              <w:rPr>
                <w:rFonts w:ascii="Times New Roman" w:hAnsi="Times New Roman" w:cs="Times New Roman"/>
                <w:color w:val="auto"/>
                <w:szCs w:val="21"/>
              </w:rPr>
              <w:t>，框架结构，</w:t>
            </w:r>
            <w:r>
              <w:rPr>
                <w:rFonts w:hint="eastAsia" w:ascii="Times New Roman" w:hAnsi="Times New Roman" w:cs="Times New Roman"/>
                <w:color w:val="auto"/>
                <w:szCs w:val="21"/>
                <w:lang w:val="en-US" w:eastAsia="zh-CN"/>
              </w:rPr>
              <w:t>4</w:t>
            </w:r>
            <w:r>
              <w:rPr>
                <w:rFonts w:ascii="Times New Roman" w:hAnsi="Times New Roman" w:cs="Times New Roman"/>
                <w:color w:val="auto"/>
                <w:szCs w:val="21"/>
              </w:rPr>
              <w:t>F（含化验与办公、食堂）</w:t>
            </w:r>
          </w:p>
        </w:tc>
        <w:tc>
          <w:tcPr>
            <w:tcW w:w="2472" w:type="dxa"/>
            <w:tcBorders>
              <w:tl2br w:val="nil"/>
              <w:tr2bl w:val="nil"/>
            </w:tcBorders>
            <w:vAlign w:val="center"/>
          </w:tcPr>
          <w:p>
            <w:pPr>
              <w:ind w:right="126" w:rightChars="60"/>
              <w:jc w:val="center"/>
              <w:rPr>
                <w:rFonts w:ascii="Times New Roman" w:hAnsi="Times New Roman" w:cs="Times New Roman"/>
                <w:color w:val="auto"/>
                <w:kern w:val="0"/>
                <w:szCs w:val="21"/>
              </w:rPr>
            </w:pPr>
            <w:r>
              <w:rPr>
                <w:rFonts w:ascii="Times New Roman" w:hAnsi="Times New Roman" w:cs="Times New Roman"/>
                <w:color w:val="auto"/>
              </w:rPr>
              <w:t>占地面积4</w:t>
            </w:r>
            <w:r>
              <w:rPr>
                <w:rFonts w:hint="eastAsia" w:ascii="Times New Roman" w:hAnsi="Times New Roman" w:cs="Times New Roman"/>
                <w:color w:val="auto"/>
                <w:lang w:val="en-US" w:eastAsia="zh-CN"/>
              </w:rPr>
              <w:t>31</w:t>
            </w:r>
            <w:r>
              <w:rPr>
                <w:rFonts w:ascii="Times New Roman" w:hAnsi="Times New Roman" w:cs="Times New Roman"/>
                <w:color w:val="auto"/>
              </w:rPr>
              <w:t>m</w:t>
            </w:r>
            <w:r>
              <w:rPr>
                <w:rFonts w:ascii="Times New Roman" w:hAnsi="Times New Roman" w:cs="Times New Roman"/>
                <w:color w:val="auto"/>
                <w:vertAlign w:val="superscript"/>
              </w:rPr>
              <w:t>2</w:t>
            </w:r>
            <w:r>
              <w:rPr>
                <w:rFonts w:ascii="Times New Roman" w:hAnsi="Times New Roman" w:cs="Times New Roman"/>
                <w:color w:val="auto"/>
              </w:rPr>
              <w:t>，建筑面积</w:t>
            </w:r>
            <w:r>
              <w:rPr>
                <w:rFonts w:hint="eastAsia" w:ascii="Times New Roman" w:hAnsi="Times New Roman" w:cs="Times New Roman"/>
                <w:color w:val="auto"/>
                <w:lang w:val="en-US" w:eastAsia="zh-CN"/>
              </w:rPr>
              <w:t>1799.6</w:t>
            </w:r>
            <w:r>
              <w:rPr>
                <w:rFonts w:ascii="Times New Roman" w:hAnsi="Times New Roman" w:cs="Times New Roman"/>
                <w:color w:val="auto"/>
              </w:rPr>
              <w:t>m</w:t>
            </w:r>
            <w:r>
              <w:rPr>
                <w:rFonts w:ascii="Times New Roman" w:hAnsi="Times New Roman" w:cs="Times New Roman"/>
                <w:color w:val="auto"/>
                <w:vertAlign w:val="superscript"/>
              </w:rPr>
              <w:t>2</w:t>
            </w:r>
            <w:r>
              <w:rPr>
                <w:rFonts w:ascii="Times New Roman" w:hAnsi="Times New Roman" w:cs="Times New Roman"/>
                <w:color w:val="auto"/>
              </w:rPr>
              <w:t>，框架结构，</w:t>
            </w:r>
            <w:r>
              <w:rPr>
                <w:rFonts w:hint="eastAsia" w:ascii="Times New Roman" w:hAnsi="Times New Roman" w:cs="Times New Roman"/>
                <w:color w:val="auto"/>
                <w:lang w:val="en-US" w:eastAsia="zh-CN"/>
              </w:rPr>
              <w:t>4</w:t>
            </w:r>
            <w:r>
              <w:rPr>
                <w:rFonts w:ascii="Times New Roman" w:hAnsi="Times New Roman" w:cs="Times New Roman"/>
                <w:color w:val="auto"/>
              </w:rPr>
              <w:t>F（办公、食堂）</w:t>
            </w:r>
          </w:p>
        </w:tc>
        <w:tc>
          <w:tcPr>
            <w:tcW w:w="1990" w:type="dxa"/>
            <w:tcBorders>
              <w:tl2br w:val="nil"/>
              <w:tr2bl w:val="nil"/>
            </w:tcBorders>
            <w:vAlign w:val="center"/>
          </w:tcPr>
          <w:p>
            <w:pPr>
              <w:tabs>
                <w:tab w:val="left" w:pos="1021"/>
              </w:tabs>
              <w:jc w:val="center"/>
              <w:rPr>
                <w:rFonts w:ascii="Times New Roman" w:hAnsi="Times New Roman" w:eastAsia="宋体" w:cs="Times New Roman"/>
                <w:color w:val="auto"/>
                <w:spacing w:val="-4"/>
                <w:kern w:val="0"/>
                <w:szCs w:val="21"/>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2" w:type="dxa"/>
            <w:vMerge w:val="continue"/>
            <w:tcBorders>
              <w:tl2br w:val="nil"/>
              <w:tr2bl w:val="nil"/>
            </w:tcBorders>
            <w:vAlign w:val="center"/>
          </w:tcPr>
          <w:p>
            <w:pPr>
              <w:tabs>
                <w:tab w:val="left" w:pos="1021"/>
              </w:tabs>
              <w:jc w:val="center"/>
              <w:rPr>
                <w:rFonts w:ascii="Times New Roman" w:hAnsi="Times New Roman" w:cs="Times New Roman"/>
                <w:color w:val="auto"/>
                <w:szCs w:val="21"/>
              </w:rPr>
            </w:pPr>
          </w:p>
        </w:tc>
        <w:tc>
          <w:tcPr>
            <w:tcW w:w="873" w:type="dxa"/>
            <w:gridSpan w:val="2"/>
            <w:tcBorders>
              <w:tl2br w:val="nil"/>
              <w:tr2bl w:val="nil"/>
            </w:tcBorders>
            <w:vAlign w:val="center"/>
          </w:tcPr>
          <w:p>
            <w:pPr>
              <w:ind w:right="126" w:rightChars="60"/>
              <w:jc w:val="center"/>
              <w:rPr>
                <w:rFonts w:ascii="Times New Roman" w:hAnsi="Times New Roman" w:cs="Times New Roman"/>
                <w:color w:val="auto"/>
                <w:kern w:val="0"/>
                <w:szCs w:val="21"/>
              </w:rPr>
            </w:pPr>
            <w:r>
              <w:rPr>
                <w:rFonts w:ascii="Times New Roman" w:hAnsi="Times New Roman" w:cs="Times New Roman"/>
                <w:snapToGrid w:val="0"/>
                <w:color w:val="auto"/>
              </w:rPr>
              <w:t>辅助用房</w:t>
            </w:r>
          </w:p>
        </w:tc>
        <w:tc>
          <w:tcPr>
            <w:tcW w:w="2535" w:type="dxa"/>
            <w:tcBorders>
              <w:tl2br w:val="nil"/>
              <w:tr2bl w:val="nil"/>
            </w:tcBorders>
            <w:vAlign w:val="center"/>
          </w:tcPr>
          <w:p>
            <w:pPr>
              <w:tabs>
                <w:tab w:val="left" w:pos="1021"/>
              </w:tabs>
              <w:rPr>
                <w:rFonts w:ascii="Times New Roman" w:hAnsi="Times New Roman" w:cs="Times New Roman"/>
                <w:color w:val="auto"/>
                <w:kern w:val="0"/>
                <w:szCs w:val="21"/>
              </w:rPr>
            </w:pPr>
            <w:r>
              <w:rPr>
                <w:rFonts w:ascii="Times New Roman" w:hAnsi="Times New Roman" w:cs="Times New Roman"/>
                <w:color w:val="auto"/>
              </w:rPr>
              <w:t>占地面积144m</w:t>
            </w:r>
            <w:r>
              <w:rPr>
                <w:rFonts w:ascii="Times New Roman" w:hAnsi="Times New Roman" w:cs="Times New Roman"/>
                <w:color w:val="auto"/>
                <w:vertAlign w:val="superscript"/>
              </w:rPr>
              <w:t>2</w:t>
            </w:r>
            <w:r>
              <w:rPr>
                <w:rFonts w:ascii="Times New Roman" w:hAnsi="Times New Roman" w:cs="Times New Roman"/>
                <w:color w:val="auto"/>
              </w:rPr>
              <w:t>，建筑面积432m</w:t>
            </w:r>
            <w:r>
              <w:rPr>
                <w:rFonts w:ascii="Times New Roman" w:hAnsi="Times New Roman" w:cs="Times New Roman"/>
                <w:color w:val="auto"/>
                <w:vertAlign w:val="superscript"/>
              </w:rPr>
              <w:t>2</w:t>
            </w:r>
            <w:r>
              <w:rPr>
                <w:rFonts w:ascii="Times New Roman" w:hAnsi="Times New Roman" w:cs="Times New Roman"/>
                <w:color w:val="auto"/>
              </w:rPr>
              <w:t>，框架结构，</w:t>
            </w:r>
            <w:r>
              <w:rPr>
                <w:rFonts w:hint="eastAsia" w:ascii="Times New Roman" w:hAnsi="Times New Roman" w:cs="Times New Roman"/>
                <w:color w:val="auto"/>
                <w:lang w:val="en-US" w:eastAsia="zh-CN"/>
              </w:rPr>
              <w:t>3</w:t>
            </w:r>
            <w:r>
              <w:rPr>
                <w:rFonts w:ascii="Times New Roman" w:hAnsi="Times New Roman" w:cs="Times New Roman"/>
                <w:color w:val="auto"/>
              </w:rPr>
              <w:t>F</w:t>
            </w:r>
          </w:p>
        </w:tc>
        <w:tc>
          <w:tcPr>
            <w:tcW w:w="2472" w:type="dxa"/>
            <w:tcBorders>
              <w:tl2br w:val="nil"/>
              <w:tr2bl w:val="nil"/>
            </w:tcBorders>
            <w:vAlign w:val="center"/>
          </w:tcPr>
          <w:p>
            <w:pPr>
              <w:ind w:right="126" w:rightChars="60"/>
              <w:jc w:val="center"/>
              <w:rPr>
                <w:rFonts w:ascii="Times New Roman" w:hAnsi="Times New Roman" w:cs="Times New Roman"/>
                <w:color w:val="auto"/>
                <w:kern w:val="0"/>
                <w:szCs w:val="21"/>
              </w:rPr>
            </w:pPr>
            <w:r>
              <w:rPr>
                <w:rFonts w:ascii="Times New Roman" w:hAnsi="Times New Roman" w:cs="Times New Roman"/>
                <w:color w:val="auto"/>
              </w:rPr>
              <w:t>占地面积14</w:t>
            </w:r>
            <w:r>
              <w:rPr>
                <w:rFonts w:hint="eastAsia" w:ascii="Times New Roman" w:hAnsi="Times New Roman" w:cs="Times New Roman"/>
                <w:color w:val="auto"/>
                <w:lang w:val="en-US" w:eastAsia="zh-CN"/>
              </w:rPr>
              <w:t>9</w:t>
            </w:r>
            <w:r>
              <w:rPr>
                <w:rFonts w:ascii="Times New Roman" w:hAnsi="Times New Roman" w:cs="Times New Roman"/>
                <w:color w:val="auto"/>
              </w:rPr>
              <w:t>m</w:t>
            </w:r>
            <w:r>
              <w:rPr>
                <w:rFonts w:ascii="Times New Roman" w:hAnsi="Times New Roman" w:cs="Times New Roman"/>
                <w:color w:val="auto"/>
                <w:vertAlign w:val="superscript"/>
              </w:rPr>
              <w:t>2</w:t>
            </w:r>
            <w:r>
              <w:rPr>
                <w:rFonts w:ascii="Times New Roman" w:hAnsi="Times New Roman" w:cs="Times New Roman"/>
                <w:color w:val="auto"/>
              </w:rPr>
              <w:t>，建筑面积</w:t>
            </w:r>
            <w:r>
              <w:rPr>
                <w:rFonts w:hint="eastAsia" w:ascii="Times New Roman" w:hAnsi="Times New Roman" w:cs="Times New Roman"/>
                <w:color w:val="auto"/>
                <w:lang w:val="en-US" w:eastAsia="zh-CN"/>
              </w:rPr>
              <w:t>450</w:t>
            </w:r>
            <w:r>
              <w:rPr>
                <w:rFonts w:ascii="Times New Roman" w:hAnsi="Times New Roman" w:cs="Times New Roman"/>
                <w:color w:val="auto"/>
              </w:rPr>
              <w:t>m</w:t>
            </w:r>
            <w:r>
              <w:rPr>
                <w:rFonts w:ascii="Times New Roman" w:hAnsi="Times New Roman" w:cs="Times New Roman"/>
                <w:color w:val="auto"/>
                <w:vertAlign w:val="superscript"/>
              </w:rPr>
              <w:t>2</w:t>
            </w:r>
            <w:r>
              <w:rPr>
                <w:rFonts w:ascii="Times New Roman" w:hAnsi="Times New Roman" w:cs="Times New Roman"/>
                <w:color w:val="auto"/>
              </w:rPr>
              <w:t>，框架结构，</w:t>
            </w:r>
            <w:r>
              <w:rPr>
                <w:rFonts w:hint="eastAsia" w:ascii="Times New Roman" w:hAnsi="Times New Roman" w:cs="Times New Roman"/>
                <w:color w:val="auto"/>
                <w:lang w:val="en-US" w:eastAsia="zh-CN"/>
              </w:rPr>
              <w:t>一楼消防泵房，二楼化验室，三楼研发室。3</w:t>
            </w:r>
            <w:r>
              <w:rPr>
                <w:rFonts w:ascii="Times New Roman" w:hAnsi="Times New Roman" w:cs="Times New Roman"/>
                <w:color w:val="auto"/>
              </w:rPr>
              <w:t>F</w:t>
            </w:r>
          </w:p>
        </w:tc>
        <w:tc>
          <w:tcPr>
            <w:tcW w:w="1990" w:type="dxa"/>
            <w:tcBorders>
              <w:tl2br w:val="nil"/>
              <w:tr2bl w:val="nil"/>
            </w:tcBorders>
            <w:vAlign w:val="center"/>
          </w:tcPr>
          <w:p>
            <w:pPr>
              <w:tabs>
                <w:tab w:val="left" w:pos="1021"/>
              </w:tabs>
              <w:jc w:val="center"/>
              <w:rPr>
                <w:rFonts w:ascii="Times New Roman" w:hAnsi="Times New Roman" w:eastAsia="宋体" w:cs="Times New Roman"/>
                <w:color w:val="auto"/>
                <w:spacing w:val="-4"/>
                <w:kern w:val="0"/>
                <w:szCs w:val="21"/>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2" w:type="dxa"/>
            <w:vMerge w:val="continue"/>
            <w:tcBorders>
              <w:tl2br w:val="nil"/>
              <w:tr2bl w:val="nil"/>
            </w:tcBorders>
            <w:vAlign w:val="center"/>
          </w:tcPr>
          <w:p>
            <w:pPr>
              <w:tabs>
                <w:tab w:val="left" w:pos="1021"/>
              </w:tabs>
              <w:jc w:val="center"/>
              <w:rPr>
                <w:rFonts w:ascii="Times New Roman" w:hAnsi="Times New Roman" w:cs="Times New Roman"/>
                <w:color w:val="auto"/>
                <w:szCs w:val="21"/>
              </w:rPr>
            </w:pPr>
          </w:p>
        </w:tc>
        <w:tc>
          <w:tcPr>
            <w:tcW w:w="873" w:type="dxa"/>
            <w:gridSpan w:val="2"/>
            <w:tcBorders>
              <w:tl2br w:val="nil"/>
              <w:tr2bl w:val="nil"/>
            </w:tcBorders>
            <w:vAlign w:val="center"/>
          </w:tcPr>
          <w:p>
            <w:pPr>
              <w:ind w:right="126" w:rightChars="60"/>
              <w:jc w:val="center"/>
              <w:rPr>
                <w:rFonts w:ascii="Times New Roman" w:hAnsi="Times New Roman" w:cs="Times New Roman"/>
                <w:color w:val="auto"/>
                <w:kern w:val="0"/>
                <w:szCs w:val="21"/>
              </w:rPr>
            </w:pPr>
            <w:r>
              <w:rPr>
                <w:rFonts w:ascii="Times New Roman" w:hAnsi="Times New Roman" w:cs="Times New Roman"/>
                <w:snapToGrid w:val="0"/>
                <w:color w:val="auto"/>
              </w:rPr>
              <w:t>总变电、热媒站</w:t>
            </w:r>
          </w:p>
        </w:tc>
        <w:tc>
          <w:tcPr>
            <w:tcW w:w="2535" w:type="dxa"/>
            <w:tcBorders>
              <w:tl2br w:val="nil"/>
              <w:tr2bl w:val="nil"/>
            </w:tcBorders>
            <w:vAlign w:val="center"/>
          </w:tcPr>
          <w:p>
            <w:pPr>
              <w:tabs>
                <w:tab w:val="left" w:pos="1021"/>
              </w:tabs>
              <w:rPr>
                <w:rFonts w:ascii="Times New Roman" w:hAnsi="Times New Roman" w:cs="Times New Roman"/>
                <w:color w:val="auto"/>
                <w:kern w:val="0"/>
                <w:szCs w:val="21"/>
              </w:rPr>
            </w:pPr>
            <w:r>
              <w:rPr>
                <w:rFonts w:ascii="Times New Roman" w:hAnsi="Times New Roman" w:cs="Times New Roman"/>
                <w:color w:val="auto"/>
                <w:szCs w:val="21"/>
              </w:rPr>
              <w:t>占地面积144m</w:t>
            </w:r>
            <w:r>
              <w:rPr>
                <w:rFonts w:ascii="Times New Roman" w:hAnsi="Times New Roman" w:cs="Times New Roman"/>
                <w:color w:val="auto"/>
                <w:szCs w:val="21"/>
                <w:vertAlign w:val="superscript"/>
              </w:rPr>
              <w:t>2</w:t>
            </w:r>
            <w:r>
              <w:rPr>
                <w:rFonts w:ascii="Times New Roman" w:hAnsi="Times New Roman" w:cs="Times New Roman"/>
                <w:color w:val="auto"/>
                <w:szCs w:val="21"/>
              </w:rPr>
              <w:t>，建筑面积144m</w:t>
            </w:r>
            <w:r>
              <w:rPr>
                <w:rFonts w:ascii="Times New Roman" w:hAnsi="Times New Roman" w:cs="Times New Roman"/>
                <w:color w:val="auto"/>
                <w:szCs w:val="21"/>
                <w:vertAlign w:val="superscript"/>
              </w:rPr>
              <w:t>2</w:t>
            </w:r>
            <w:r>
              <w:rPr>
                <w:rFonts w:ascii="Times New Roman" w:hAnsi="Times New Roman" w:cs="Times New Roman"/>
                <w:color w:val="auto"/>
                <w:szCs w:val="21"/>
              </w:rPr>
              <w:t>，框架结构，1F</w:t>
            </w:r>
          </w:p>
        </w:tc>
        <w:tc>
          <w:tcPr>
            <w:tcW w:w="2472" w:type="dxa"/>
            <w:tcBorders>
              <w:tl2br w:val="nil"/>
              <w:tr2bl w:val="nil"/>
            </w:tcBorders>
            <w:vAlign w:val="center"/>
          </w:tcPr>
          <w:p>
            <w:pPr>
              <w:ind w:right="126" w:rightChars="60"/>
              <w:jc w:val="center"/>
              <w:rPr>
                <w:rFonts w:ascii="Times New Roman" w:hAnsi="Times New Roman" w:cs="Times New Roman"/>
                <w:color w:val="auto"/>
                <w:kern w:val="0"/>
                <w:szCs w:val="21"/>
              </w:rPr>
            </w:pPr>
            <w:r>
              <w:rPr>
                <w:rFonts w:ascii="Times New Roman" w:hAnsi="Times New Roman" w:cs="Times New Roman"/>
                <w:color w:val="auto"/>
              </w:rPr>
              <w:t>占地面积144m</w:t>
            </w:r>
            <w:r>
              <w:rPr>
                <w:rFonts w:ascii="Times New Roman" w:hAnsi="Times New Roman" w:cs="Times New Roman"/>
                <w:color w:val="auto"/>
                <w:vertAlign w:val="superscript"/>
              </w:rPr>
              <w:t>2</w:t>
            </w:r>
            <w:r>
              <w:rPr>
                <w:rFonts w:ascii="Times New Roman" w:hAnsi="Times New Roman" w:cs="Times New Roman"/>
                <w:color w:val="auto"/>
              </w:rPr>
              <w:t>，建筑面积144m</w:t>
            </w:r>
            <w:r>
              <w:rPr>
                <w:rFonts w:ascii="Times New Roman" w:hAnsi="Times New Roman" w:cs="Times New Roman"/>
                <w:color w:val="auto"/>
                <w:vertAlign w:val="superscript"/>
              </w:rPr>
              <w:t>2</w:t>
            </w:r>
            <w:r>
              <w:rPr>
                <w:rFonts w:ascii="Times New Roman" w:hAnsi="Times New Roman" w:cs="Times New Roman"/>
                <w:color w:val="auto"/>
              </w:rPr>
              <w:t>，框架结构，1F</w:t>
            </w:r>
          </w:p>
        </w:tc>
        <w:tc>
          <w:tcPr>
            <w:tcW w:w="1990" w:type="dxa"/>
            <w:tcBorders>
              <w:tl2br w:val="nil"/>
              <w:tr2bl w:val="nil"/>
            </w:tcBorders>
            <w:vAlign w:val="center"/>
          </w:tcPr>
          <w:p>
            <w:pPr>
              <w:tabs>
                <w:tab w:val="left" w:pos="1021"/>
              </w:tabs>
              <w:jc w:val="center"/>
              <w:rPr>
                <w:rFonts w:ascii="Times New Roman" w:hAnsi="Times New Roman" w:eastAsia="宋体" w:cs="Times New Roman"/>
                <w:color w:val="auto"/>
                <w:spacing w:val="-4"/>
                <w:kern w:val="0"/>
                <w:szCs w:val="21"/>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2" w:type="dxa"/>
            <w:vMerge w:val="continue"/>
            <w:tcBorders>
              <w:tl2br w:val="nil"/>
              <w:tr2bl w:val="nil"/>
            </w:tcBorders>
            <w:vAlign w:val="center"/>
          </w:tcPr>
          <w:p>
            <w:pPr>
              <w:tabs>
                <w:tab w:val="left" w:pos="1021"/>
              </w:tabs>
              <w:jc w:val="center"/>
              <w:rPr>
                <w:rFonts w:ascii="Times New Roman" w:hAnsi="Times New Roman" w:cs="Times New Roman"/>
                <w:color w:val="auto"/>
                <w:szCs w:val="21"/>
              </w:rPr>
            </w:pPr>
          </w:p>
        </w:tc>
        <w:tc>
          <w:tcPr>
            <w:tcW w:w="873" w:type="dxa"/>
            <w:gridSpan w:val="2"/>
            <w:tcBorders>
              <w:tl2br w:val="nil"/>
              <w:tr2bl w:val="nil"/>
            </w:tcBorders>
            <w:vAlign w:val="center"/>
          </w:tcPr>
          <w:p>
            <w:pPr>
              <w:ind w:right="126" w:rightChars="60"/>
              <w:jc w:val="center"/>
              <w:rPr>
                <w:rFonts w:ascii="Times New Roman" w:hAnsi="Times New Roman" w:cs="Times New Roman"/>
                <w:color w:val="auto"/>
                <w:kern w:val="0"/>
                <w:szCs w:val="21"/>
              </w:rPr>
            </w:pPr>
            <w:r>
              <w:rPr>
                <w:rFonts w:ascii="Times New Roman" w:hAnsi="Times New Roman" w:cs="Times New Roman"/>
                <w:snapToGrid w:val="0"/>
                <w:color w:val="auto"/>
              </w:rPr>
              <w:t>控制室</w:t>
            </w:r>
          </w:p>
        </w:tc>
        <w:tc>
          <w:tcPr>
            <w:tcW w:w="2535" w:type="dxa"/>
            <w:tcBorders>
              <w:tl2br w:val="nil"/>
              <w:tr2bl w:val="nil"/>
            </w:tcBorders>
            <w:vAlign w:val="center"/>
          </w:tcPr>
          <w:p>
            <w:pPr>
              <w:tabs>
                <w:tab w:val="left" w:pos="1021"/>
              </w:tabs>
              <w:rPr>
                <w:rFonts w:ascii="Times New Roman" w:hAnsi="Times New Roman" w:cs="Times New Roman"/>
                <w:color w:val="auto"/>
                <w:kern w:val="0"/>
                <w:szCs w:val="21"/>
              </w:rPr>
            </w:pPr>
            <w:r>
              <w:rPr>
                <w:rFonts w:ascii="Times New Roman" w:hAnsi="Times New Roman" w:cs="Times New Roman"/>
                <w:color w:val="auto"/>
                <w:szCs w:val="21"/>
              </w:rPr>
              <w:t>占地面积216m</w:t>
            </w:r>
            <w:r>
              <w:rPr>
                <w:rFonts w:ascii="Times New Roman" w:hAnsi="Times New Roman" w:cs="Times New Roman"/>
                <w:color w:val="auto"/>
                <w:szCs w:val="21"/>
                <w:vertAlign w:val="superscript"/>
              </w:rPr>
              <w:t>2</w:t>
            </w:r>
            <w:r>
              <w:rPr>
                <w:rFonts w:ascii="Times New Roman" w:hAnsi="Times New Roman" w:cs="Times New Roman"/>
                <w:color w:val="auto"/>
                <w:szCs w:val="21"/>
              </w:rPr>
              <w:t>，建筑面积216m</w:t>
            </w:r>
            <w:r>
              <w:rPr>
                <w:rFonts w:ascii="Times New Roman" w:hAnsi="Times New Roman" w:cs="Times New Roman"/>
                <w:color w:val="auto"/>
                <w:szCs w:val="21"/>
                <w:vertAlign w:val="superscript"/>
              </w:rPr>
              <w:t>2</w:t>
            </w:r>
            <w:r>
              <w:rPr>
                <w:rFonts w:ascii="Times New Roman" w:hAnsi="Times New Roman" w:cs="Times New Roman"/>
                <w:color w:val="auto"/>
                <w:szCs w:val="21"/>
              </w:rPr>
              <w:t>，框架结构，1F</w:t>
            </w:r>
          </w:p>
        </w:tc>
        <w:tc>
          <w:tcPr>
            <w:tcW w:w="2472" w:type="dxa"/>
            <w:tcBorders>
              <w:tl2br w:val="nil"/>
              <w:tr2bl w:val="nil"/>
            </w:tcBorders>
            <w:vAlign w:val="center"/>
          </w:tcPr>
          <w:p>
            <w:pPr>
              <w:ind w:right="126" w:rightChars="60"/>
              <w:jc w:val="center"/>
              <w:rPr>
                <w:rFonts w:ascii="Times New Roman" w:hAnsi="Times New Roman" w:cs="Times New Roman"/>
                <w:color w:val="auto"/>
                <w:kern w:val="0"/>
                <w:szCs w:val="21"/>
              </w:rPr>
            </w:pPr>
            <w:r>
              <w:rPr>
                <w:rFonts w:ascii="Times New Roman" w:hAnsi="Times New Roman" w:cs="Times New Roman"/>
                <w:color w:val="auto"/>
              </w:rPr>
              <w:t>占地面积2</w:t>
            </w:r>
            <w:r>
              <w:rPr>
                <w:rFonts w:hint="eastAsia" w:ascii="Times New Roman" w:hAnsi="Times New Roman" w:cs="Times New Roman"/>
                <w:color w:val="auto"/>
                <w:lang w:val="en-US" w:eastAsia="zh-CN"/>
              </w:rPr>
              <w:t>43</w:t>
            </w:r>
            <w:r>
              <w:rPr>
                <w:rFonts w:ascii="Times New Roman" w:hAnsi="Times New Roman" w:cs="Times New Roman"/>
                <w:color w:val="auto"/>
              </w:rPr>
              <w:t>m</w:t>
            </w:r>
            <w:r>
              <w:rPr>
                <w:rFonts w:ascii="Times New Roman" w:hAnsi="Times New Roman" w:cs="Times New Roman"/>
                <w:color w:val="auto"/>
                <w:vertAlign w:val="superscript"/>
              </w:rPr>
              <w:t>2</w:t>
            </w:r>
            <w:r>
              <w:rPr>
                <w:rFonts w:ascii="Times New Roman" w:hAnsi="Times New Roman" w:cs="Times New Roman"/>
                <w:color w:val="auto"/>
              </w:rPr>
              <w:t>，建筑面积2</w:t>
            </w:r>
            <w:r>
              <w:rPr>
                <w:rFonts w:hint="eastAsia" w:ascii="Times New Roman" w:hAnsi="Times New Roman" w:cs="Times New Roman"/>
                <w:color w:val="auto"/>
                <w:lang w:val="en-US" w:eastAsia="zh-CN"/>
              </w:rPr>
              <w:t>43</w:t>
            </w:r>
            <w:r>
              <w:rPr>
                <w:rFonts w:ascii="Times New Roman" w:hAnsi="Times New Roman" w:cs="Times New Roman"/>
                <w:color w:val="auto"/>
              </w:rPr>
              <w:t>m</w:t>
            </w:r>
            <w:r>
              <w:rPr>
                <w:rFonts w:ascii="Times New Roman" w:hAnsi="Times New Roman" w:cs="Times New Roman"/>
                <w:color w:val="auto"/>
                <w:vertAlign w:val="superscript"/>
              </w:rPr>
              <w:t>2</w:t>
            </w:r>
            <w:r>
              <w:rPr>
                <w:rFonts w:ascii="Times New Roman" w:hAnsi="Times New Roman" w:cs="Times New Roman"/>
                <w:color w:val="auto"/>
              </w:rPr>
              <w:t>，框架结构，1F</w:t>
            </w:r>
          </w:p>
        </w:tc>
        <w:tc>
          <w:tcPr>
            <w:tcW w:w="1990" w:type="dxa"/>
            <w:tcBorders>
              <w:tl2br w:val="nil"/>
              <w:tr2bl w:val="nil"/>
            </w:tcBorders>
            <w:vAlign w:val="center"/>
          </w:tcPr>
          <w:p>
            <w:pPr>
              <w:tabs>
                <w:tab w:val="left" w:pos="1021"/>
              </w:tabs>
              <w:jc w:val="center"/>
              <w:rPr>
                <w:rFonts w:ascii="Times New Roman" w:hAnsi="Times New Roman" w:eastAsia="宋体" w:cs="Times New Roman"/>
                <w:color w:val="auto"/>
                <w:spacing w:val="-4"/>
                <w:kern w:val="0"/>
                <w:szCs w:val="21"/>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2" w:type="dxa"/>
            <w:vMerge w:val="continue"/>
            <w:tcBorders>
              <w:tl2br w:val="nil"/>
              <w:tr2bl w:val="nil"/>
            </w:tcBorders>
            <w:vAlign w:val="center"/>
          </w:tcPr>
          <w:p>
            <w:pPr>
              <w:tabs>
                <w:tab w:val="left" w:pos="1021"/>
              </w:tabs>
              <w:jc w:val="center"/>
              <w:rPr>
                <w:rFonts w:ascii="Times New Roman" w:hAnsi="Times New Roman" w:cs="Times New Roman"/>
                <w:color w:val="auto"/>
                <w:szCs w:val="21"/>
              </w:rPr>
            </w:pPr>
          </w:p>
        </w:tc>
        <w:tc>
          <w:tcPr>
            <w:tcW w:w="873" w:type="dxa"/>
            <w:gridSpan w:val="2"/>
            <w:tcBorders>
              <w:tl2br w:val="nil"/>
              <w:tr2bl w:val="nil"/>
            </w:tcBorders>
            <w:vAlign w:val="center"/>
          </w:tcPr>
          <w:p>
            <w:pPr>
              <w:ind w:right="126" w:rightChars="60"/>
              <w:jc w:val="center"/>
              <w:rPr>
                <w:rFonts w:ascii="Times New Roman" w:hAnsi="Times New Roman" w:cs="Times New Roman"/>
                <w:color w:val="auto"/>
                <w:szCs w:val="21"/>
              </w:rPr>
            </w:pPr>
            <w:r>
              <w:rPr>
                <w:rFonts w:ascii="Times New Roman" w:hAnsi="Times New Roman" w:cs="Times New Roman"/>
                <w:snapToGrid w:val="0"/>
                <w:color w:val="auto"/>
              </w:rPr>
              <w:t>动力车间</w:t>
            </w:r>
          </w:p>
        </w:tc>
        <w:tc>
          <w:tcPr>
            <w:tcW w:w="2535" w:type="dxa"/>
            <w:tcBorders>
              <w:tl2br w:val="nil"/>
              <w:tr2bl w:val="nil"/>
            </w:tcBorders>
            <w:vAlign w:val="center"/>
          </w:tcPr>
          <w:p>
            <w:pPr>
              <w:ind w:right="126" w:rightChars="60"/>
              <w:jc w:val="center"/>
              <w:rPr>
                <w:rFonts w:ascii="Times New Roman" w:hAnsi="Times New Roman" w:cs="Times New Roman"/>
                <w:color w:val="auto"/>
                <w:kern w:val="0"/>
                <w:szCs w:val="21"/>
              </w:rPr>
            </w:pPr>
            <w:r>
              <w:rPr>
                <w:rFonts w:ascii="Times New Roman" w:hAnsi="Times New Roman" w:cs="Times New Roman"/>
                <w:color w:val="auto"/>
              </w:rPr>
              <w:t>占地面积364m</w:t>
            </w:r>
            <w:r>
              <w:rPr>
                <w:rFonts w:ascii="Times New Roman" w:hAnsi="Times New Roman" w:cs="Times New Roman"/>
                <w:color w:val="auto"/>
                <w:vertAlign w:val="superscript"/>
              </w:rPr>
              <w:t>2</w:t>
            </w:r>
            <w:r>
              <w:rPr>
                <w:rFonts w:ascii="Times New Roman" w:hAnsi="Times New Roman" w:cs="Times New Roman"/>
                <w:color w:val="auto"/>
              </w:rPr>
              <w:t>，建筑面积540m</w:t>
            </w:r>
            <w:r>
              <w:rPr>
                <w:rFonts w:ascii="Times New Roman" w:hAnsi="Times New Roman" w:cs="Times New Roman"/>
                <w:color w:val="auto"/>
                <w:vertAlign w:val="superscript"/>
              </w:rPr>
              <w:t>2</w:t>
            </w:r>
            <w:r>
              <w:rPr>
                <w:rFonts w:ascii="Times New Roman" w:hAnsi="Times New Roman" w:cs="Times New Roman"/>
                <w:color w:val="auto"/>
              </w:rPr>
              <w:t>，框架结构，</w:t>
            </w:r>
            <w:r>
              <w:rPr>
                <w:rFonts w:hint="eastAsia" w:ascii="Times New Roman" w:hAnsi="Times New Roman" w:cs="Times New Roman"/>
                <w:color w:val="auto"/>
                <w:lang w:val="en-US" w:eastAsia="zh-CN"/>
              </w:rPr>
              <w:t>2</w:t>
            </w:r>
            <w:r>
              <w:rPr>
                <w:rFonts w:ascii="Times New Roman" w:hAnsi="Times New Roman" w:cs="Times New Roman"/>
                <w:color w:val="auto"/>
              </w:rPr>
              <w:t>F</w:t>
            </w:r>
          </w:p>
        </w:tc>
        <w:tc>
          <w:tcPr>
            <w:tcW w:w="2472" w:type="dxa"/>
            <w:tcBorders>
              <w:tl2br w:val="nil"/>
              <w:tr2bl w:val="nil"/>
            </w:tcBorders>
            <w:vAlign w:val="center"/>
          </w:tcPr>
          <w:p>
            <w:pPr>
              <w:ind w:right="126" w:rightChars="60"/>
              <w:jc w:val="center"/>
              <w:rPr>
                <w:rFonts w:ascii="Times New Roman" w:hAnsi="Times New Roman" w:cs="Times New Roman"/>
                <w:color w:val="auto"/>
                <w:kern w:val="0"/>
                <w:szCs w:val="21"/>
              </w:rPr>
            </w:pPr>
            <w:r>
              <w:rPr>
                <w:rFonts w:ascii="Times New Roman" w:hAnsi="Times New Roman" w:cs="Times New Roman"/>
                <w:color w:val="auto"/>
              </w:rPr>
              <w:t>占地面积</w:t>
            </w:r>
            <w:r>
              <w:rPr>
                <w:rFonts w:hint="eastAsia" w:ascii="Times New Roman" w:hAnsi="Times New Roman" w:cs="Times New Roman"/>
                <w:color w:val="auto"/>
                <w:lang w:val="en-US" w:eastAsia="zh-CN"/>
              </w:rPr>
              <w:t>259.8</w:t>
            </w:r>
            <w:r>
              <w:rPr>
                <w:rFonts w:ascii="Times New Roman" w:hAnsi="Times New Roman" w:cs="Times New Roman"/>
                <w:color w:val="auto"/>
              </w:rPr>
              <w:t>m</w:t>
            </w:r>
            <w:r>
              <w:rPr>
                <w:rFonts w:ascii="Times New Roman" w:hAnsi="Times New Roman" w:cs="Times New Roman"/>
                <w:color w:val="auto"/>
                <w:vertAlign w:val="superscript"/>
              </w:rPr>
              <w:t>2</w:t>
            </w:r>
            <w:r>
              <w:rPr>
                <w:rFonts w:ascii="Times New Roman" w:hAnsi="Times New Roman" w:cs="Times New Roman"/>
                <w:color w:val="auto"/>
              </w:rPr>
              <w:t>，建筑面积</w:t>
            </w:r>
            <w:r>
              <w:rPr>
                <w:rFonts w:hint="eastAsia" w:ascii="Times New Roman" w:hAnsi="Times New Roman" w:cs="Times New Roman"/>
                <w:color w:val="auto"/>
                <w:lang w:val="en-US" w:eastAsia="zh-CN"/>
              </w:rPr>
              <w:t>519</w:t>
            </w:r>
            <w:r>
              <w:rPr>
                <w:rFonts w:ascii="Times New Roman" w:hAnsi="Times New Roman" w:cs="Times New Roman"/>
                <w:color w:val="auto"/>
              </w:rPr>
              <w:t>m</w:t>
            </w:r>
            <w:r>
              <w:rPr>
                <w:rFonts w:ascii="Times New Roman" w:hAnsi="Times New Roman" w:cs="Times New Roman"/>
                <w:color w:val="auto"/>
                <w:vertAlign w:val="superscript"/>
              </w:rPr>
              <w:t>2</w:t>
            </w:r>
            <w:r>
              <w:rPr>
                <w:rFonts w:ascii="Times New Roman" w:hAnsi="Times New Roman" w:cs="Times New Roman"/>
                <w:color w:val="auto"/>
              </w:rPr>
              <w:t>，框架结构，</w:t>
            </w:r>
            <w:r>
              <w:rPr>
                <w:rFonts w:hint="eastAsia" w:ascii="Times New Roman" w:hAnsi="Times New Roman" w:cs="Times New Roman"/>
                <w:color w:val="auto"/>
                <w:lang w:val="en-US" w:eastAsia="zh-CN"/>
              </w:rPr>
              <w:t>2</w:t>
            </w:r>
            <w:r>
              <w:rPr>
                <w:rFonts w:ascii="Times New Roman" w:hAnsi="Times New Roman" w:cs="Times New Roman"/>
                <w:color w:val="auto"/>
              </w:rPr>
              <w:t>F</w:t>
            </w:r>
          </w:p>
        </w:tc>
        <w:tc>
          <w:tcPr>
            <w:tcW w:w="1990" w:type="dxa"/>
            <w:tcBorders>
              <w:tl2br w:val="nil"/>
              <w:tr2bl w:val="nil"/>
            </w:tcBorders>
            <w:vAlign w:val="center"/>
          </w:tcPr>
          <w:p>
            <w:pPr>
              <w:tabs>
                <w:tab w:val="left" w:pos="1021"/>
              </w:tabs>
              <w:jc w:val="center"/>
              <w:rPr>
                <w:rFonts w:ascii="Times New Roman" w:hAnsi="Times New Roman" w:eastAsia="宋体" w:cs="Times New Roman"/>
                <w:color w:val="auto"/>
                <w:spacing w:val="-4"/>
                <w:kern w:val="0"/>
                <w:szCs w:val="21"/>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2" w:type="dxa"/>
            <w:vMerge w:val="restart"/>
            <w:tcBorders>
              <w:tl2br w:val="nil"/>
              <w:tr2bl w:val="nil"/>
            </w:tcBorders>
            <w:vAlign w:val="center"/>
          </w:tcPr>
          <w:p>
            <w:pPr>
              <w:tabs>
                <w:tab w:val="left" w:pos="1021"/>
              </w:tabs>
              <w:jc w:val="center"/>
              <w:rPr>
                <w:rFonts w:ascii="Times New Roman" w:hAnsi="Times New Roman" w:cs="Times New Roman"/>
                <w:color w:val="auto"/>
                <w:szCs w:val="21"/>
              </w:rPr>
            </w:pPr>
            <w:r>
              <w:rPr>
                <w:rFonts w:ascii="Times New Roman" w:hAnsi="Times New Roman" w:cs="Times New Roman"/>
                <w:color w:val="auto"/>
                <w:szCs w:val="21"/>
              </w:rPr>
              <w:t>储运工程</w:t>
            </w:r>
          </w:p>
        </w:tc>
        <w:tc>
          <w:tcPr>
            <w:tcW w:w="873" w:type="dxa"/>
            <w:gridSpan w:val="2"/>
            <w:tcBorders>
              <w:tl2br w:val="nil"/>
              <w:tr2bl w:val="nil"/>
            </w:tcBorders>
            <w:vAlign w:val="center"/>
          </w:tcPr>
          <w:p>
            <w:pPr>
              <w:ind w:right="126" w:rightChars="60"/>
              <w:jc w:val="center"/>
              <w:rPr>
                <w:rFonts w:ascii="Times New Roman" w:hAnsi="Times New Roman" w:cs="Times New Roman"/>
                <w:color w:val="auto"/>
                <w:szCs w:val="21"/>
              </w:rPr>
            </w:pPr>
            <w:r>
              <w:rPr>
                <w:rFonts w:ascii="Times New Roman" w:hAnsi="Times New Roman" w:cs="Times New Roman"/>
                <w:snapToGrid w:val="0"/>
                <w:color w:val="auto"/>
              </w:rPr>
              <w:t>甲类仓库</w:t>
            </w:r>
          </w:p>
        </w:tc>
        <w:tc>
          <w:tcPr>
            <w:tcW w:w="2535" w:type="dxa"/>
            <w:tcBorders>
              <w:tl2br w:val="nil"/>
              <w:tr2bl w:val="nil"/>
            </w:tcBorders>
            <w:vAlign w:val="center"/>
          </w:tcPr>
          <w:p>
            <w:pPr>
              <w:widowControl/>
              <w:jc w:val="left"/>
              <w:rPr>
                <w:rFonts w:ascii="Times New Roman" w:hAnsi="Times New Roman" w:cs="Times New Roman"/>
                <w:color w:val="auto"/>
                <w:szCs w:val="21"/>
              </w:rPr>
            </w:pPr>
            <w:r>
              <w:rPr>
                <w:rFonts w:hint="default" w:ascii="Times New Roman" w:hAnsi="Times New Roman" w:cs="Times New Roman"/>
                <w:color w:val="auto"/>
                <w:kern w:val="0"/>
                <w:szCs w:val="21"/>
              </w:rPr>
              <w:t>设置在第一层车间，1</w:t>
            </w:r>
            <w:r>
              <w:rPr>
                <w:rFonts w:ascii="Times New Roman" w:hAnsi="Times New Roman" w:cs="Times New Roman"/>
                <w:color w:val="auto"/>
                <w:kern w:val="0"/>
                <w:szCs w:val="21"/>
              </w:rPr>
              <w:t>间</w:t>
            </w:r>
            <w:r>
              <w:rPr>
                <w:rFonts w:hint="default" w:ascii="Times New Roman" w:hAnsi="Times New Roman" w:cs="Times New Roman"/>
                <w:color w:val="auto"/>
                <w:kern w:val="0"/>
                <w:szCs w:val="21"/>
              </w:rPr>
              <w:t>，</w:t>
            </w:r>
            <w:r>
              <w:rPr>
                <w:rFonts w:ascii="Times New Roman" w:hAnsi="Times New Roman" w:cs="Times New Roman"/>
                <w:color w:val="auto"/>
                <w:kern w:val="0"/>
                <w:szCs w:val="21"/>
              </w:rPr>
              <w:t>建筑面积</w:t>
            </w:r>
            <w:r>
              <w:rPr>
                <w:rFonts w:hint="default" w:ascii="Times New Roman" w:hAnsi="Times New Roman" w:cs="Times New Roman"/>
                <w:color w:val="auto"/>
                <w:kern w:val="0"/>
                <w:szCs w:val="21"/>
              </w:rPr>
              <w:t>为1000</w:t>
            </w:r>
            <w:r>
              <w:rPr>
                <w:rFonts w:ascii="Times New Roman" w:hAnsi="Times New Roman" w:cs="Times New Roman"/>
                <w:color w:val="auto"/>
                <w:kern w:val="0"/>
                <w:szCs w:val="21"/>
              </w:rPr>
              <w:t>m</w:t>
            </w:r>
            <w:r>
              <w:rPr>
                <w:rFonts w:ascii="Times New Roman" w:hAnsi="Times New Roman" w:cs="Times New Roman"/>
                <w:color w:val="auto"/>
                <w:kern w:val="0"/>
                <w:szCs w:val="21"/>
                <w:vertAlign w:val="superscript"/>
              </w:rPr>
              <w:t>2</w:t>
            </w:r>
            <w:r>
              <w:rPr>
                <w:rFonts w:hint="default" w:ascii="Times New Roman" w:hAnsi="Times New Roman" w:cs="Times New Roman"/>
                <w:color w:val="auto"/>
                <w:kern w:val="0"/>
                <w:szCs w:val="21"/>
              </w:rPr>
              <w:t>，原材料分区暂存，暂存方式为双层重型货架。</w:t>
            </w:r>
          </w:p>
        </w:tc>
        <w:tc>
          <w:tcPr>
            <w:tcW w:w="2472" w:type="dxa"/>
            <w:tcBorders>
              <w:tl2br w:val="nil"/>
              <w:tr2bl w:val="nil"/>
            </w:tcBorders>
            <w:vAlign w:val="center"/>
          </w:tcPr>
          <w:p>
            <w:pPr>
              <w:ind w:right="126" w:rightChars="60"/>
              <w:jc w:val="center"/>
              <w:rPr>
                <w:rFonts w:ascii="Times New Roman" w:hAnsi="Times New Roman" w:cs="Times New Roman"/>
                <w:color w:val="auto"/>
                <w:kern w:val="0"/>
                <w:szCs w:val="21"/>
              </w:rPr>
            </w:pPr>
            <w:r>
              <w:rPr>
                <w:rFonts w:ascii="Times New Roman" w:hAnsi="Times New Roman" w:cs="Times New Roman"/>
                <w:color w:val="auto"/>
                <w:kern w:val="0"/>
                <w:szCs w:val="21"/>
              </w:rPr>
              <w:t>建筑面积</w:t>
            </w:r>
            <w:r>
              <w:rPr>
                <w:rFonts w:hint="default" w:ascii="Times New Roman" w:hAnsi="Times New Roman" w:cs="Times New Roman"/>
                <w:color w:val="auto"/>
                <w:kern w:val="0"/>
                <w:szCs w:val="21"/>
              </w:rPr>
              <w:t>为</w:t>
            </w:r>
            <w:r>
              <w:rPr>
                <w:rFonts w:hint="eastAsia" w:ascii="Times New Roman" w:hAnsi="Times New Roman" w:cs="Times New Roman"/>
                <w:color w:val="auto"/>
                <w:kern w:val="0"/>
                <w:szCs w:val="21"/>
                <w:lang w:val="en-US" w:eastAsia="zh-CN"/>
              </w:rPr>
              <w:t>697</w:t>
            </w:r>
            <w:r>
              <w:rPr>
                <w:rFonts w:ascii="Times New Roman" w:hAnsi="Times New Roman" w:cs="Times New Roman"/>
                <w:color w:val="auto"/>
                <w:kern w:val="0"/>
                <w:szCs w:val="21"/>
              </w:rPr>
              <w:t>m</w:t>
            </w:r>
            <w:r>
              <w:rPr>
                <w:rFonts w:ascii="Times New Roman" w:hAnsi="Times New Roman" w:cs="Times New Roman"/>
                <w:color w:val="auto"/>
                <w:kern w:val="0"/>
                <w:szCs w:val="21"/>
                <w:vertAlign w:val="superscript"/>
              </w:rPr>
              <w:t>2</w:t>
            </w:r>
            <w:r>
              <w:rPr>
                <w:rFonts w:hint="default" w:ascii="Times New Roman" w:hAnsi="Times New Roman" w:cs="Times New Roman"/>
                <w:color w:val="auto"/>
                <w:kern w:val="0"/>
                <w:szCs w:val="21"/>
              </w:rPr>
              <w:t>，</w:t>
            </w:r>
            <w:r>
              <w:rPr>
                <w:rFonts w:hint="eastAsia" w:ascii="Times New Roman" w:hAnsi="Times New Roman" w:cs="Times New Roman"/>
                <w:color w:val="auto"/>
                <w:kern w:val="0"/>
                <w:szCs w:val="21"/>
                <w:lang w:val="en-US" w:eastAsia="zh-CN"/>
              </w:rPr>
              <w:t>分为3间，</w:t>
            </w:r>
            <w:r>
              <w:rPr>
                <w:rFonts w:hint="default" w:ascii="Times New Roman" w:hAnsi="Times New Roman" w:cs="Times New Roman"/>
                <w:color w:val="auto"/>
                <w:kern w:val="0"/>
                <w:szCs w:val="21"/>
              </w:rPr>
              <w:t>原材料分区暂存。</w:t>
            </w:r>
          </w:p>
        </w:tc>
        <w:tc>
          <w:tcPr>
            <w:tcW w:w="1990" w:type="dxa"/>
            <w:tcBorders>
              <w:tl2br w:val="nil"/>
              <w:tr2bl w:val="nil"/>
            </w:tcBorders>
            <w:vAlign w:val="center"/>
          </w:tcPr>
          <w:p>
            <w:pPr>
              <w:widowControl/>
              <w:jc w:val="center"/>
              <w:rPr>
                <w:rFonts w:hint="default" w:ascii="Times New Roman" w:hAnsi="Times New Roman" w:cs="Times New Roman" w:eastAsiaTheme="minorEastAsia"/>
                <w:color w:val="auto"/>
                <w:kern w:val="0"/>
                <w:szCs w:val="21"/>
                <w:lang w:val="en-US" w:eastAsia="zh-CN"/>
              </w:rPr>
            </w:pPr>
            <w:r>
              <w:rPr>
                <w:rFonts w:hint="eastAsia" w:ascii="Times New Roman" w:hAnsi="Times New Roman" w:eastAsia="宋体" w:cs="Times New Roman"/>
                <w:color w:val="auto"/>
                <w:spacing w:val="-4"/>
                <w:kern w:val="0"/>
                <w:szCs w:val="21"/>
                <w:lang w:val="en-US" w:eastAsia="zh-CN"/>
              </w:rPr>
              <w:t>面积有变化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2" w:type="dxa"/>
            <w:vMerge w:val="continue"/>
            <w:tcBorders>
              <w:tl2br w:val="nil"/>
              <w:tr2bl w:val="nil"/>
            </w:tcBorders>
            <w:vAlign w:val="center"/>
          </w:tcPr>
          <w:p>
            <w:pPr>
              <w:tabs>
                <w:tab w:val="left" w:pos="1021"/>
              </w:tabs>
              <w:jc w:val="center"/>
              <w:rPr>
                <w:rFonts w:ascii="Times New Roman" w:hAnsi="Times New Roman" w:cs="Times New Roman"/>
                <w:color w:val="auto"/>
                <w:szCs w:val="21"/>
              </w:rPr>
            </w:pPr>
          </w:p>
        </w:tc>
        <w:tc>
          <w:tcPr>
            <w:tcW w:w="873" w:type="dxa"/>
            <w:gridSpan w:val="2"/>
            <w:tcBorders>
              <w:tl2br w:val="nil"/>
              <w:tr2bl w:val="nil"/>
            </w:tcBorders>
            <w:vAlign w:val="center"/>
          </w:tcPr>
          <w:p>
            <w:pPr>
              <w:ind w:right="126" w:rightChars="60"/>
              <w:jc w:val="center"/>
              <w:rPr>
                <w:rFonts w:ascii="Times New Roman" w:hAnsi="Times New Roman" w:cs="Times New Roman"/>
                <w:color w:val="auto"/>
                <w:kern w:val="0"/>
                <w:szCs w:val="21"/>
              </w:rPr>
            </w:pPr>
            <w:r>
              <w:rPr>
                <w:rFonts w:ascii="Times New Roman" w:hAnsi="Times New Roman" w:cs="Times New Roman"/>
                <w:snapToGrid w:val="0"/>
                <w:color w:val="auto"/>
              </w:rPr>
              <w:t>乙类仓库</w:t>
            </w:r>
          </w:p>
        </w:tc>
        <w:tc>
          <w:tcPr>
            <w:tcW w:w="2535" w:type="dxa"/>
            <w:tcBorders>
              <w:tl2br w:val="nil"/>
              <w:tr2bl w:val="nil"/>
            </w:tcBorders>
            <w:vAlign w:val="center"/>
          </w:tcPr>
          <w:p>
            <w:pPr>
              <w:widowControl/>
              <w:jc w:val="left"/>
              <w:rPr>
                <w:rFonts w:ascii="Times New Roman" w:hAnsi="Times New Roman" w:cs="Times New Roman"/>
                <w:color w:val="auto"/>
                <w:kern w:val="0"/>
                <w:szCs w:val="21"/>
              </w:rPr>
            </w:pPr>
            <w:r>
              <w:rPr>
                <w:rFonts w:hint="default" w:ascii="Times New Roman" w:hAnsi="Times New Roman" w:cs="Times New Roman"/>
                <w:color w:val="auto"/>
                <w:kern w:val="0"/>
                <w:szCs w:val="21"/>
              </w:rPr>
              <w:t>设置在第一层车间，2间，</w:t>
            </w:r>
            <w:r>
              <w:rPr>
                <w:rFonts w:ascii="Times New Roman" w:hAnsi="Times New Roman" w:cs="Times New Roman"/>
                <w:color w:val="auto"/>
                <w:kern w:val="0"/>
                <w:szCs w:val="21"/>
              </w:rPr>
              <w:t>建筑面积</w:t>
            </w:r>
            <w:r>
              <w:rPr>
                <w:rFonts w:hint="default" w:ascii="Times New Roman" w:hAnsi="Times New Roman" w:cs="Times New Roman"/>
                <w:color w:val="auto"/>
                <w:kern w:val="0"/>
                <w:szCs w:val="21"/>
              </w:rPr>
              <w:t>分别为36</w:t>
            </w:r>
            <w:r>
              <w:rPr>
                <w:rFonts w:ascii="Times New Roman" w:hAnsi="Times New Roman" w:cs="Times New Roman"/>
                <w:color w:val="auto"/>
                <w:kern w:val="0"/>
                <w:szCs w:val="21"/>
              </w:rPr>
              <w:t>m</w:t>
            </w:r>
            <w:r>
              <w:rPr>
                <w:rFonts w:ascii="Times New Roman" w:hAnsi="Times New Roman" w:cs="Times New Roman"/>
                <w:color w:val="auto"/>
                <w:kern w:val="0"/>
                <w:szCs w:val="21"/>
                <w:vertAlign w:val="superscript"/>
              </w:rPr>
              <w:t>2</w:t>
            </w:r>
            <w:r>
              <w:rPr>
                <w:rFonts w:hint="default" w:ascii="Times New Roman" w:hAnsi="Times New Roman" w:cs="Times New Roman"/>
                <w:color w:val="auto"/>
                <w:kern w:val="0"/>
                <w:szCs w:val="21"/>
              </w:rPr>
              <w:t>、85.5</w:t>
            </w:r>
            <w:r>
              <w:rPr>
                <w:rFonts w:ascii="Times New Roman" w:hAnsi="Times New Roman" w:cs="Times New Roman"/>
                <w:color w:val="auto"/>
                <w:kern w:val="0"/>
                <w:szCs w:val="21"/>
              </w:rPr>
              <w:t>m</w:t>
            </w:r>
            <w:r>
              <w:rPr>
                <w:rFonts w:ascii="Times New Roman" w:hAnsi="Times New Roman" w:cs="Times New Roman"/>
                <w:color w:val="auto"/>
                <w:kern w:val="0"/>
                <w:szCs w:val="21"/>
                <w:vertAlign w:val="superscript"/>
              </w:rPr>
              <w:t>2</w:t>
            </w:r>
            <w:r>
              <w:rPr>
                <w:rFonts w:hint="default" w:ascii="Times New Roman" w:hAnsi="Times New Roman" w:cs="Times New Roman"/>
                <w:color w:val="auto"/>
                <w:kern w:val="0"/>
                <w:szCs w:val="21"/>
              </w:rPr>
              <w:t>，电子料仓库为静电地面。</w:t>
            </w:r>
          </w:p>
        </w:tc>
        <w:tc>
          <w:tcPr>
            <w:tcW w:w="2472" w:type="dxa"/>
            <w:tcBorders>
              <w:tl2br w:val="nil"/>
              <w:tr2bl w:val="nil"/>
            </w:tcBorders>
            <w:vAlign w:val="center"/>
          </w:tcPr>
          <w:p>
            <w:pPr>
              <w:ind w:right="126" w:rightChars="60"/>
              <w:jc w:val="center"/>
              <w:rPr>
                <w:rFonts w:hint="default" w:ascii="Times New Roman" w:hAnsi="Times New Roman" w:cs="Times New Roman" w:eastAsiaTheme="minorEastAsia"/>
                <w:color w:val="auto"/>
                <w:kern w:val="0"/>
                <w:szCs w:val="21"/>
                <w:lang w:val="en-US" w:eastAsia="zh-CN"/>
              </w:rPr>
            </w:pPr>
            <w:r>
              <w:rPr>
                <w:rFonts w:hint="eastAsia" w:ascii="Times New Roman" w:hAnsi="Times New Roman" w:cs="Times New Roman"/>
                <w:color w:val="auto"/>
                <w:kern w:val="0"/>
                <w:szCs w:val="21"/>
                <w:lang w:val="en-US" w:eastAsia="zh-CN"/>
              </w:rPr>
              <w:t>乙类仓库1320.6</w:t>
            </w:r>
            <w:r>
              <w:rPr>
                <w:rFonts w:ascii="Times New Roman" w:hAnsi="Times New Roman" w:cs="Times New Roman"/>
                <w:color w:val="auto"/>
                <w:kern w:val="0"/>
                <w:szCs w:val="21"/>
              </w:rPr>
              <w:t>m</w:t>
            </w:r>
            <w:r>
              <w:rPr>
                <w:rFonts w:ascii="Times New Roman" w:hAnsi="Times New Roman" w:cs="Times New Roman"/>
                <w:color w:val="auto"/>
                <w:kern w:val="0"/>
                <w:szCs w:val="21"/>
                <w:vertAlign w:val="superscript"/>
              </w:rPr>
              <w:t>2</w:t>
            </w:r>
            <w:r>
              <w:rPr>
                <w:rFonts w:hint="default" w:ascii="Times New Roman" w:hAnsi="Times New Roman" w:cs="Times New Roman"/>
                <w:color w:val="auto"/>
                <w:kern w:val="0"/>
                <w:szCs w:val="21"/>
              </w:rPr>
              <w:t>，</w:t>
            </w:r>
            <w:r>
              <w:rPr>
                <w:rFonts w:hint="eastAsia" w:ascii="Times New Roman" w:hAnsi="Times New Roman" w:cs="Times New Roman"/>
                <w:color w:val="auto"/>
                <w:kern w:val="0"/>
                <w:szCs w:val="21"/>
                <w:lang w:val="en-US" w:eastAsia="zh-CN"/>
              </w:rPr>
              <w:t>分为3间，有成品区和原料区。</w:t>
            </w:r>
          </w:p>
        </w:tc>
        <w:tc>
          <w:tcPr>
            <w:tcW w:w="1990" w:type="dxa"/>
            <w:tcBorders>
              <w:tl2br w:val="nil"/>
              <w:tr2bl w:val="nil"/>
            </w:tcBorders>
            <w:vAlign w:val="center"/>
          </w:tcPr>
          <w:p>
            <w:pPr>
              <w:widowControl/>
              <w:jc w:val="center"/>
              <w:rPr>
                <w:rFonts w:hint="default" w:ascii="Times New Roman" w:hAnsi="Times New Roman" w:eastAsia="宋体" w:cs="Times New Roman"/>
                <w:color w:val="auto"/>
                <w:spacing w:val="-4"/>
                <w:kern w:val="0"/>
                <w:szCs w:val="21"/>
                <w:lang w:val="en-US" w:eastAsia="zh-CN"/>
              </w:rPr>
            </w:pPr>
            <w:r>
              <w:rPr>
                <w:rFonts w:hint="eastAsia" w:ascii="Times New Roman" w:hAnsi="Times New Roman" w:eastAsia="宋体" w:cs="Times New Roman"/>
                <w:color w:val="auto"/>
                <w:spacing w:val="-4"/>
                <w:kern w:val="0"/>
                <w:szCs w:val="21"/>
                <w:lang w:val="en-US" w:eastAsia="zh-CN"/>
              </w:rPr>
              <w:t>面积有变化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2" w:type="dxa"/>
            <w:vMerge w:val="continue"/>
            <w:tcBorders>
              <w:tl2br w:val="nil"/>
              <w:tr2bl w:val="nil"/>
            </w:tcBorders>
            <w:vAlign w:val="center"/>
          </w:tcPr>
          <w:p>
            <w:pPr>
              <w:tabs>
                <w:tab w:val="left" w:pos="1021"/>
              </w:tabs>
              <w:jc w:val="center"/>
              <w:rPr>
                <w:rFonts w:ascii="Times New Roman" w:hAnsi="Times New Roman" w:cs="Times New Roman"/>
                <w:color w:val="auto"/>
                <w:szCs w:val="21"/>
              </w:rPr>
            </w:pPr>
          </w:p>
        </w:tc>
        <w:tc>
          <w:tcPr>
            <w:tcW w:w="873" w:type="dxa"/>
            <w:gridSpan w:val="2"/>
            <w:tcBorders>
              <w:tl2br w:val="nil"/>
              <w:tr2bl w:val="nil"/>
            </w:tcBorders>
            <w:vAlign w:val="center"/>
          </w:tcPr>
          <w:p>
            <w:pPr>
              <w:ind w:right="126" w:rightChars="60"/>
              <w:jc w:val="center"/>
              <w:rPr>
                <w:rFonts w:ascii="Times New Roman" w:hAnsi="Times New Roman" w:cs="Times New Roman"/>
                <w:color w:val="auto"/>
                <w:kern w:val="0"/>
                <w:szCs w:val="21"/>
              </w:rPr>
            </w:pPr>
            <w:r>
              <w:rPr>
                <w:rFonts w:ascii="Times New Roman" w:hAnsi="Times New Roman" w:cs="Times New Roman"/>
                <w:snapToGrid w:val="0"/>
                <w:color w:val="auto"/>
              </w:rPr>
              <w:t>丙类仓库</w:t>
            </w:r>
          </w:p>
        </w:tc>
        <w:tc>
          <w:tcPr>
            <w:tcW w:w="2535" w:type="dxa"/>
            <w:tcBorders>
              <w:tl2br w:val="nil"/>
              <w:tr2bl w:val="nil"/>
            </w:tcBorders>
            <w:vAlign w:val="center"/>
          </w:tcPr>
          <w:p>
            <w:pPr>
              <w:ind w:right="126" w:rightChars="60"/>
              <w:jc w:val="center"/>
              <w:rPr>
                <w:rFonts w:ascii="Times New Roman" w:hAnsi="Times New Roman" w:cs="Times New Roman"/>
                <w:color w:val="auto"/>
                <w:kern w:val="0"/>
                <w:szCs w:val="21"/>
              </w:rPr>
            </w:pPr>
            <w:r>
              <w:rPr>
                <w:rFonts w:ascii="Times New Roman" w:hAnsi="Times New Roman" w:cs="Times New Roman"/>
                <w:color w:val="auto"/>
              </w:rPr>
              <w:t>占地面积396m</w:t>
            </w:r>
            <w:r>
              <w:rPr>
                <w:rFonts w:ascii="Times New Roman" w:hAnsi="Times New Roman" w:cs="Times New Roman"/>
                <w:color w:val="auto"/>
                <w:vertAlign w:val="superscript"/>
              </w:rPr>
              <w:t>2</w:t>
            </w:r>
            <w:r>
              <w:rPr>
                <w:rFonts w:ascii="Times New Roman" w:hAnsi="Times New Roman" w:cs="Times New Roman"/>
                <w:color w:val="auto"/>
              </w:rPr>
              <w:t>，建筑面积396m</w:t>
            </w:r>
            <w:r>
              <w:rPr>
                <w:rFonts w:ascii="Times New Roman" w:hAnsi="Times New Roman" w:cs="Times New Roman"/>
                <w:color w:val="auto"/>
                <w:vertAlign w:val="superscript"/>
              </w:rPr>
              <w:t>2</w:t>
            </w:r>
            <w:r>
              <w:rPr>
                <w:rFonts w:ascii="Times New Roman" w:hAnsi="Times New Roman" w:cs="Times New Roman"/>
                <w:color w:val="auto"/>
              </w:rPr>
              <w:t>，排架结构，1F</w:t>
            </w:r>
          </w:p>
        </w:tc>
        <w:tc>
          <w:tcPr>
            <w:tcW w:w="2472" w:type="dxa"/>
            <w:tcBorders>
              <w:tl2br w:val="nil"/>
              <w:tr2bl w:val="nil"/>
            </w:tcBorders>
            <w:vAlign w:val="center"/>
          </w:tcPr>
          <w:p>
            <w:pPr>
              <w:ind w:right="126" w:rightChars="60"/>
              <w:jc w:val="center"/>
              <w:rPr>
                <w:rFonts w:ascii="Times New Roman" w:hAnsi="Times New Roman" w:cs="Times New Roman"/>
                <w:color w:val="auto"/>
                <w:kern w:val="0"/>
                <w:szCs w:val="21"/>
              </w:rPr>
            </w:pPr>
            <w:r>
              <w:rPr>
                <w:rFonts w:ascii="Times New Roman" w:hAnsi="Times New Roman" w:cs="Times New Roman"/>
                <w:color w:val="auto"/>
              </w:rPr>
              <w:t>占地面积</w:t>
            </w:r>
            <w:r>
              <w:rPr>
                <w:rFonts w:hint="eastAsia" w:ascii="Times New Roman" w:hAnsi="Times New Roman" w:cs="Times New Roman"/>
                <w:color w:val="auto"/>
                <w:lang w:val="en-US" w:eastAsia="zh-CN"/>
              </w:rPr>
              <w:t>415.7</w:t>
            </w:r>
            <w:r>
              <w:rPr>
                <w:rFonts w:ascii="Times New Roman" w:hAnsi="Times New Roman" w:cs="Times New Roman"/>
                <w:color w:val="auto"/>
              </w:rPr>
              <w:t>m</w:t>
            </w:r>
            <w:r>
              <w:rPr>
                <w:rFonts w:ascii="Times New Roman" w:hAnsi="Times New Roman" w:cs="Times New Roman"/>
                <w:color w:val="auto"/>
                <w:vertAlign w:val="superscript"/>
              </w:rPr>
              <w:t>2</w:t>
            </w:r>
            <w:r>
              <w:rPr>
                <w:rFonts w:ascii="Times New Roman" w:hAnsi="Times New Roman" w:cs="Times New Roman"/>
                <w:color w:val="auto"/>
              </w:rPr>
              <w:t>，建筑面积</w:t>
            </w:r>
            <w:r>
              <w:rPr>
                <w:rFonts w:hint="eastAsia" w:ascii="Times New Roman" w:hAnsi="Times New Roman" w:cs="Times New Roman"/>
                <w:color w:val="auto"/>
                <w:lang w:val="en-US" w:eastAsia="zh-CN"/>
              </w:rPr>
              <w:t>415.7</w:t>
            </w:r>
            <w:r>
              <w:rPr>
                <w:rFonts w:ascii="Times New Roman" w:hAnsi="Times New Roman" w:cs="Times New Roman"/>
                <w:color w:val="auto"/>
              </w:rPr>
              <w:t>m</w:t>
            </w:r>
            <w:r>
              <w:rPr>
                <w:rFonts w:ascii="Times New Roman" w:hAnsi="Times New Roman" w:cs="Times New Roman"/>
                <w:color w:val="auto"/>
                <w:vertAlign w:val="superscript"/>
              </w:rPr>
              <w:t>2</w:t>
            </w:r>
            <w:r>
              <w:rPr>
                <w:rFonts w:ascii="Times New Roman" w:hAnsi="Times New Roman" w:cs="Times New Roman"/>
                <w:color w:val="auto"/>
              </w:rPr>
              <w:t>，</w:t>
            </w:r>
            <w:r>
              <w:rPr>
                <w:rFonts w:hint="eastAsia" w:ascii="Times New Roman" w:hAnsi="Times New Roman" w:cs="Times New Roman"/>
                <w:color w:val="auto"/>
                <w:lang w:val="en-US" w:eastAsia="zh-CN"/>
              </w:rPr>
              <w:t>原料和包装桶</w:t>
            </w:r>
            <w:r>
              <w:rPr>
                <w:rFonts w:ascii="Times New Roman" w:hAnsi="Times New Roman" w:cs="Times New Roman"/>
                <w:color w:val="auto"/>
              </w:rPr>
              <w:t>，1F</w:t>
            </w:r>
          </w:p>
        </w:tc>
        <w:tc>
          <w:tcPr>
            <w:tcW w:w="1990" w:type="dxa"/>
            <w:tcBorders>
              <w:tl2br w:val="nil"/>
              <w:tr2bl w:val="nil"/>
            </w:tcBorders>
            <w:vAlign w:val="center"/>
          </w:tcPr>
          <w:p>
            <w:pPr>
              <w:widowControl/>
              <w:jc w:val="center"/>
              <w:rPr>
                <w:rFonts w:ascii="Times New Roman" w:hAnsi="Times New Roman" w:eastAsia="宋体" w:cs="Times New Roman"/>
                <w:color w:val="auto"/>
                <w:spacing w:val="-4"/>
                <w:kern w:val="0"/>
                <w:szCs w:val="21"/>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2" w:type="dxa"/>
            <w:vMerge w:val="continue"/>
            <w:tcBorders>
              <w:tl2br w:val="nil"/>
              <w:tr2bl w:val="nil"/>
            </w:tcBorders>
            <w:vAlign w:val="center"/>
          </w:tcPr>
          <w:p>
            <w:pPr>
              <w:tabs>
                <w:tab w:val="left" w:pos="1021"/>
              </w:tabs>
              <w:jc w:val="center"/>
              <w:rPr>
                <w:rFonts w:ascii="Times New Roman" w:hAnsi="Times New Roman" w:cs="Times New Roman"/>
                <w:color w:val="auto"/>
                <w:szCs w:val="21"/>
              </w:rPr>
            </w:pPr>
          </w:p>
        </w:tc>
        <w:tc>
          <w:tcPr>
            <w:tcW w:w="873" w:type="dxa"/>
            <w:gridSpan w:val="2"/>
            <w:tcBorders>
              <w:tl2br w:val="nil"/>
              <w:tr2bl w:val="nil"/>
            </w:tcBorders>
            <w:vAlign w:val="center"/>
          </w:tcPr>
          <w:p>
            <w:pPr>
              <w:ind w:right="126" w:rightChars="60"/>
              <w:jc w:val="center"/>
              <w:rPr>
                <w:rFonts w:ascii="Times New Roman" w:hAnsi="Times New Roman" w:cs="Times New Roman"/>
                <w:color w:val="auto"/>
                <w:kern w:val="0"/>
                <w:szCs w:val="21"/>
              </w:rPr>
            </w:pPr>
            <w:r>
              <w:rPr>
                <w:rFonts w:ascii="Times New Roman" w:hAnsi="Times New Roman" w:cs="Times New Roman"/>
                <w:snapToGrid w:val="0"/>
                <w:color w:val="auto"/>
              </w:rPr>
              <w:t>丁类仓库</w:t>
            </w:r>
          </w:p>
        </w:tc>
        <w:tc>
          <w:tcPr>
            <w:tcW w:w="2535" w:type="dxa"/>
            <w:tcBorders>
              <w:tl2br w:val="nil"/>
              <w:tr2bl w:val="nil"/>
            </w:tcBorders>
            <w:vAlign w:val="center"/>
          </w:tcPr>
          <w:p>
            <w:pPr>
              <w:ind w:right="126" w:rightChars="60"/>
              <w:jc w:val="center"/>
              <w:rPr>
                <w:rFonts w:ascii="Times New Roman" w:hAnsi="Times New Roman" w:cs="Times New Roman"/>
                <w:color w:val="auto"/>
                <w:kern w:val="0"/>
                <w:szCs w:val="21"/>
              </w:rPr>
            </w:pPr>
            <w:r>
              <w:rPr>
                <w:rFonts w:ascii="Times New Roman" w:hAnsi="Times New Roman" w:cs="Times New Roman"/>
                <w:color w:val="auto"/>
              </w:rPr>
              <w:t>占地面积504m</w:t>
            </w:r>
            <w:r>
              <w:rPr>
                <w:rFonts w:ascii="Times New Roman" w:hAnsi="Times New Roman" w:cs="Times New Roman"/>
                <w:color w:val="auto"/>
                <w:vertAlign w:val="superscript"/>
              </w:rPr>
              <w:t>2</w:t>
            </w:r>
            <w:r>
              <w:rPr>
                <w:rFonts w:ascii="Times New Roman" w:hAnsi="Times New Roman" w:cs="Times New Roman"/>
                <w:color w:val="auto"/>
              </w:rPr>
              <w:t>，建筑面积504m</w:t>
            </w:r>
            <w:r>
              <w:rPr>
                <w:rFonts w:ascii="Times New Roman" w:hAnsi="Times New Roman" w:cs="Times New Roman"/>
                <w:color w:val="auto"/>
                <w:vertAlign w:val="superscript"/>
              </w:rPr>
              <w:t>2</w:t>
            </w:r>
            <w:r>
              <w:rPr>
                <w:rFonts w:ascii="Times New Roman" w:hAnsi="Times New Roman" w:cs="Times New Roman"/>
                <w:color w:val="auto"/>
              </w:rPr>
              <w:t>，框架结构，1F</w:t>
            </w:r>
          </w:p>
        </w:tc>
        <w:tc>
          <w:tcPr>
            <w:tcW w:w="2472" w:type="dxa"/>
            <w:tcBorders>
              <w:tl2br w:val="nil"/>
              <w:tr2bl w:val="nil"/>
            </w:tcBorders>
            <w:vAlign w:val="center"/>
          </w:tcPr>
          <w:p>
            <w:pPr>
              <w:ind w:right="126" w:rightChars="60"/>
              <w:jc w:val="center"/>
              <w:rPr>
                <w:rFonts w:ascii="Times New Roman" w:hAnsi="Times New Roman" w:cs="Times New Roman"/>
                <w:color w:val="auto"/>
                <w:kern w:val="0"/>
                <w:szCs w:val="21"/>
              </w:rPr>
            </w:pPr>
            <w:r>
              <w:rPr>
                <w:rFonts w:ascii="Times New Roman" w:hAnsi="Times New Roman" w:cs="Times New Roman"/>
                <w:color w:val="auto"/>
              </w:rPr>
              <w:t>占地面积</w:t>
            </w:r>
            <w:r>
              <w:rPr>
                <w:rFonts w:hint="eastAsia" w:ascii="Times New Roman" w:hAnsi="Times New Roman" w:cs="Times New Roman"/>
                <w:color w:val="auto"/>
                <w:lang w:val="en-US" w:eastAsia="zh-CN"/>
              </w:rPr>
              <w:t>485.8</w:t>
            </w:r>
            <w:r>
              <w:rPr>
                <w:rFonts w:ascii="Times New Roman" w:hAnsi="Times New Roman" w:cs="Times New Roman"/>
                <w:color w:val="auto"/>
              </w:rPr>
              <w:t>m</w:t>
            </w:r>
            <w:r>
              <w:rPr>
                <w:rFonts w:ascii="Times New Roman" w:hAnsi="Times New Roman" w:cs="Times New Roman"/>
                <w:color w:val="auto"/>
                <w:vertAlign w:val="superscript"/>
              </w:rPr>
              <w:t>2</w:t>
            </w:r>
            <w:r>
              <w:rPr>
                <w:rFonts w:ascii="Times New Roman" w:hAnsi="Times New Roman" w:cs="Times New Roman"/>
                <w:color w:val="auto"/>
              </w:rPr>
              <w:t>，建筑面积</w:t>
            </w:r>
            <w:r>
              <w:rPr>
                <w:rFonts w:hint="eastAsia" w:ascii="Times New Roman" w:hAnsi="Times New Roman" w:cs="Times New Roman"/>
                <w:color w:val="auto"/>
                <w:lang w:val="en-US" w:eastAsia="zh-CN"/>
              </w:rPr>
              <w:t>485.8</w:t>
            </w:r>
            <w:r>
              <w:rPr>
                <w:rFonts w:ascii="Times New Roman" w:hAnsi="Times New Roman" w:cs="Times New Roman"/>
                <w:color w:val="auto"/>
              </w:rPr>
              <w:t>m</w:t>
            </w:r>
            <w:r>
              <w:rPr>
                <w:rFonts w:ascii="Times New Roman" w:hAnsi="Times New Roman" w:cs="Times New Roman"/>
                <w:color w:val="auto"/>
                <w:vertAlign w:val="superscript"/>
              </w:rPr>
              <w:t>2</w:t>
            </w:r>
            <w:r>
              <w:rPr>
                <w:rFonts w:ascii="Times New Roman" w:hAnsi="Times New Roman" w:cs="Times New Roman"/>
                <w:color w:val="auto"/>
              </w:rPr>
              <w:t>，</w:t>
            </w:r>
            <w:r>
              <w:rPr>
                <w:rFonts w:hint="eastAsia" w:ascii="Times New Roman" w:hAnsi="Times New Roman" w:cs="Times New Roman"/>
                <w:color w:val="auto"/>
                <w:lang w:val="en-US" w:eastAsia="zh-CN"/>
              </w:rPr>
              <w:t>主要是包装桶</w:t>
            </w:r>
            <w:r>
              <w:rPr>
                <w:rFonts w:ascii="Times New Roman" w:hAnsi="Times New Roman" w:cs="Times New Roman"/>
                <w:color w:val="auto"/>
              </w:rPr>
              <w:t>，1F</w:t>
            </w:r>
          </w:p>
        </w:tc>
        <w:tc>
          <w:tcPr>
            <w:tcW w:w="1990" w:type="dxa"/>
            <w:tcBorders>
              <w:tl2br w:val="nil"/>
              <w:tr2bl w:val="nil"/>
            </w:tcBorders>
            <w:vAlign w:val="center"/>
          </w:tcPr>
          <w:p>
            <w:pPr>
              <w:widowControl/>
              <w:jc w:val="center"/>
              <w:rPr>
                <w:rFonts w:ascii="Times New Roman" w:hAnsi="Times New Roman" w:eastAsia="宋体" w:cs="Times New Roman"/>
                <w:color w:val="auto"/>
                <w:spacing w:val="-4"/>
                <w:kern w:val="0"/>
                <w:szCs w:val="21"/>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2" w:type="dxa"/>
            <w:vMerge w:val="continue"/>
            <w:tcBorders>
              <w:tl2br w:val="nil"/>
              <w:tr2bl w:val="nil"/>
            </w:tcBorders>
            <w:vAlign w:val="center"/>
          </w:tcPr>
          <w:p>
            <w:pPr>
              <w:tabs>
                <w:tab w:val="left" w:pos="1021"/>
              </w:tabs>
              <w:jc w:val="center"/>
              <w:rPr>
                <w:rFonts w:ascii="Times New Roman" w:hAnsi="Times New Roman" w:cs="Times New Roman"/>
                <w:color w:val="auto"/>
                <w:szCs w:val="21"/>
              </w:rPr>
            </w:pPr>
          </w:p>
        </w:tc>
        <w:tc>
          <w:tcPr>
            <w:tcW w:w="873" w:type="dxa"/>
            <w:gridSpan w:val="2"/>
            <w:tcBorders>
              <w:tl2br w:val="nil"/>
              <w:tr2bl w:val="nil"/>
            </w:tcBorders>
            <w:vAlign w:val="center"/>
          </w:tcPr>
          <w:p>
            <w:pPr>
              <w:ind w:right="126" w:rightChars="60"/>
              <w:jc w:val="center"/>
              <w:rPr>
                <w:rFonts w:ascii="Times New Roman" w:hAnsi="Times New Roman" w:cs="Times New Roman"/>
                <w:color w:val="auto"/>
                <w:kern w:val="0"/>
                <w:szCs w:val="21"/>
              </w:rPr>
            </w:pPr>
            <w:r>
              <w:rPr>
                <w:rFonts w:ascii="Times New Roman" w:hAnsi="Times New Roman" w:cs="Times New Roman"/>
                <w:snapToGrid w:val="0"/>
                <w:color w:val="auto"/>
              </w:rPr>
              <w:t>罐组一</w:t>
            </w:r>
          </w:p>
        </w:tc>
        <w:tc>
          <w:tcPr>
            <w:tcW w:w="2535" w:type="dxa"/>
            <w:tcBorders>
              <w:tl2br w:val="nil"/>
              <w:tr2bl w:val="nil"/>
            </w:tcBorders>
            <w:vAlign w:val="center"/>
          </w:tcPr>
          <w:p>
            <w:pPr>
              <w:ind w:right="126" w:rightChars="60"/>
              <w:jc w:val="center"/>
              <w:rPr>
                <w:rFonts w:ascii="Times New Roman" w:hAnsi="Times New Roman" w:cs="Times New Roman"/>
                <w:color w:val="auto"/>
                <w:kern w:val="0"/>
                <w:szCs w:val="21"/>
              </w:rPr>
            </w:pPr>
            <w:r>
              <w:rPr>
                <w:rFonts w:ascii="Times New Roman" w:hAnsi="Times New Roman" w:cs="Times New Roman"/>
                <w:snapToGrid w:val="0"/>
                <w:color w:val="auto"/>
              </w:rPr>
              <w:t>占地面积100m</w:t>
            </w:r>
            <w:r>
              <w:rPr>
                <w:rFonts w:ascii="Times New Roman" w:hAnsi="Times New Roman" w:cs="Times New Roman"/>
                <w:snapToGrid w:val="0"/>
                <w:color w:val="auto"/>
                <w:vertAlign w:val="superscript"/>
              </w:rPr>
              <w:t>2</w:t>
            </w:r>
            <w:r>
              <w:rPr>
                <w:rFonts w:ascii="Times New Roman" w:hAnsi="Times New Roman" w:cs="Times New Roman"/>
                <w:snapToGrid w:val="0"/>
                <w:color w:val="auto"/>
              </w:rPr>
              <w:t>（围堰面积）</w:t>
            </w:r>
          </w:p>
        </w:tc>
        <w:tc>
          <w:tcPr>
            <w:tcW w:w="2472" w:type="dxa"/>
            <w:tcBorders>
              <w:tl2br w:val="nil"/>
              <w:tr2bl w:val="nil"/>
            </w:tcBorders>
            <w:vAlign w:val="center"/>
          </w:tcPr>
          <w:p>
            <w:pPr>
              <w:ind w:right="126" w:rightChars="60"/>
              <w:jc w:val="center"/>
              <w:rPr>
                <w:rFonts w:ascii="Times New Roman" w:hAnsi="Times New Roman" w:cs="Times New Roman"/>
                <w:color w:val="auto"/>
                <w:kern w:val="0"/>
                <w:szCs w:val="21"/>
              </w:rPr>
            </w:pPr>
            <w:r>
              <w:rPr>
                <w:rFonts w:ascii="Times New Roman" w:hAnsi="Times New Roman" w:cs="Times New Roman"/>
                <w:snapToGrid w:val="0"/>
                <w:color w:val="auto"/>
              </w:rPr>
              <w:t>占地面积100m</w:t>
            </w:r>
            <w:r>
              <w:rPr>
                <w:rFonts w:ascii="Times New Roman" w:hAnsi="Times New Roman" w:cs="Times New Roman"/>
                <w:snapToGrid w:val="0"/>
                <w:color w:val="auto"/>
                <w:vertAlign w:val="superscript"/>
              </w:rPr>
              <w:t>2</w:t>
            </w:r>
            <w:r>
              <w:rPr>
                <w:rFonts w:ascii="Times New Roman" w:hAnsi="Times New Roman" w:cs="Times New Roman"/>
                <w:snapToGrid w:val="0"/>
                <w:color w:val="auto"/>
              </w:rPr>
              <w:t>（围堰面积）</w:t>
            </w:r>
          </w:p>
        </w:tc>
        <w:tc>
          <w:tcPr>
            <w:tcW w:w="1990" w:type="dxa"/>
            <w:tcBorders>
              <w:tl2br w:val="nil"/>
              <w:tr2bl w:val="nil"/>
            </w:tcBorders>
            <w:vAlign w:val="center"/>
          </w:tcPr>
          <w:p>
            <w:pPr>
              <w:widowControl/>
              <w:jc w:val="center"/>
              <w:rPr>
                <w:rFonts w:ascii="Times New Roman" w:hAnsi="Times New Roman" w:eastAsia="宋体" w:cs="Times New Roman"/>
                <w:color w:val="auto"/>
                <w:spacing w:val="-4"/>
                <w:kern w:val="0"/>
                <w:szCs w:val="21"/>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2" w:type="dxa"/>
            <w:vMerge w:val="continue"/>
            <w:tcBorders>
              <w:tl2br w:val="nil"/>
              <w:tr2bl w:val="nil"/>
            </w:tcBorders>
            <w:vAlign w:val="center"/>
          </w:tcPr>
          <w:p>
            <w:pPr>
              <w:tabs>
                <w:tab w:val="left" w:pos="1021"/>
              </w:tabs>
              <w:jc w:val="center"/>
              <w:rPr>
                <w:rFonts w:ascii="Times New Roman" w:hAnsi="Times New Roman" w:cs="Times New Roman"/>
                <w:color w:val="auto"/>
                <w:szCs w:val="21"/>
              </w:rPr>
            </w:pPr>
          </w:p>
        </w:tc>
        <w:tc>
          <w:tcPr>
            <w:tcW w:w="873" w:type="dxa"/>
            <w:gridSpan w:val="2"/>
            <w:tcBorders>
              <w:tl2br w:val="nil"/>
              <w:tr2bl w:val="nil"/>
            </w:tcBorders>
            <w:vAlign w:val="center"/>
          </w:tcPr>
          <w:p>
            <w:pPr>
              <w:ind w:right="126" w:rightChars="60"/>
              <w:jc w:val="center"/>
              <w:rPr>
                <w:rFonts w:ascii="Times New Roman" w:hAnsi="Times New Roman" w:cs="Times New Roman"/>
                <w:color w:val="auto"/>
                <w:kern w:val="0"/>
                <w:szCs w:val="21"/>
              </w:rPr>
            </w:pPr>
            <w:r>
              <w:rPr>
                <w:rFonts w:ascii="Times New Roman" w:hAnsi="Times New Roman" w:cs="Times New Roman"/>
                <w:snapToGrid w:val="0"/>
                <w:color w:val="auto"/>
              </w:rPr>
              <w:t>罐组二</w:t>
            </w:r>
          </w:p>
        </w:tc>
        <w:tc>
          <w:tcPr>
            <w:tcW w:w="2535" w:type="dxa"/>
            <w:tcBorders>
              <w:tl2br w:val="nil"/>
              <w:tr2bl w:val="nil"/>
            </w:tcBorders>
            <w:vAlign w:val="center"/>
          </w:tcPr>
          <w:p>
            <w:pPr>
              <w:ind w:right="126" w:rightChars="60"/>
              <w:jc w:val="center"/>
              <w:rPr>
                <w:rFonts w:ascii="Times New Roman" w:hAnsi="Times New Roman" w:cs="Times New Roman"/>
                <w:color w:val="auto"/>
                <w:kern w:val="0"/>
                <w:szCs w:val="21"/>
              </w:rPr>
            </w:pPr>
            <w:r>
              <w:rPr>
                <w:rFonts w:ascii="Times New Roman" w:hAnsi="Times New Roman" w:cs="Times New Roman"/>
                <w:snapToGrid w:val="0"/>
                <w:color w:val="auto"/>
              </w:rPr>
              <w:t>占地面积607.5m</w:t>
            </w:r>
            <w:r>
              <w:rPr>
                <w:rFonts w:ascii="Times New Roman" w:hAnsi="Times New Roman" w:cs="Times New Roman"/>
                <w:snapToGrid w:val="0"/>
                <w:color w:val="auto"/>
                <w:vertAlign w:val="superscript"/>
              </w:rPr>
              <w:t>2</w:t>
            </w:r>
            <w:r>
              <w:rPr>
                <w:rFonts w:ascii="Times New Roman" w:hAnsi="Times New Roman" w:cs="Times New Roman"/>
                <w:snapToGrid w:val="0"/>
                <w:color w:val="auto"/>
              </w:rPr>
              <w:t>（围堰面积，</w:t>
            </w:r>
            <w:r>
              <w:rPr>
                <w:rFonts w:ascii="Times New Roman" w:hAnsi="Times New Roman" w:cs="Times New Roman"/>
                <w:color w:val="auto"/>
              </w:rPr>
              <w:t>属于二期建设内容，目前为厂内闲置空地</w:t>
            </w:r>
            <w:r>
              <w:rPr>
                <w:rFonts w:ascii="Times New Roman" w:hAnsi="Times New Roman" w:cs="Times New Roman"/>
                <w:snapToGrid w:val="0"/>
                <w:color w:val="auto"/>
              </w:rPr>
              <w:t>）</w:t>
            </w:r>
          </w:p>
        </w:tc>
        <w:tc>
          <w:tcPr>
            <w:tcW w:w="2472" w:type="dxa"/>
            <w:tcBorders>
              <w:tl2br w:val="nil"/>
              <w:tr2bl w:val="nil"/>
            </w:tcBorders>
            <w:vAlign w:val="center"/>
          </w:tcPr>
          <w:p>
            <w:pPr>
              <w:ind w:right="126" w:rightChars="60"/>
              <w:jc w:val="center"/>
              <w:rPr>
                <w:rFonts w:ascii="Times New Roman" w:hAnsi="Times New Roman" w:cs="Times New Roman"/>
                <w:color w:val="auto"/>
                <w:kern w:val="0"/>
                <w:szCs w:val="21"/>
              </w:rPr>
            </w:pPr>
            <w:r>
              <w:rPr>
                <w:rFonts w:ascii="Times New Roman" w:hAnsi="Times New Roman" w:cs="Times New Roman"/>
                <w:snapToGrid w:val="0"/>
                <w:color w:val="auto"/>
              </w:rPr>
              <w:t>占地面积607.5m</w:t>
            </w:r>
            <w:r>
              <w:rPr>
                <w:rFonts w:ascii="Times New Roman" w:hAnsi="Times New Roman" w:cs="Times New Roman"/>
                <w:snapToGrid w:val="0"/>
                <w:color w:val="auto"/>
                <w:vertAlign w:val="superscript"/>
              </w:rPr>
              <w:t>2</w:t>
            </w:r>
            <w:r>
              <w:rPr>
                <w:rFonts w:ascii="Times New Roman" w:hAnsi="Times New Roman" w:cs="Times New Roman"/>
                <w:snapToGrid w:val="0"/>
                <w:color w:val="auto"/>
              </w:rPr>
              <w:t>（围堰面积，</w:t>
            </w:r>
            <w:r>
              <w:rPr>
                <w:rFonts w:ascii="Times New Roman" w:hAnsi="Times New Roman" w:cs="Times New Roman"/>
                <w:color w:val="auto"/>
              </w:rPr>
              <w:t>属于二期建设内容，目前为厂内闲置空地</w:t>
            </w:r>
            <w:r>
              <w:rPr>
                <w:rFonts w:ascii="Times New Roman" w:hAnsi="Times New Roman" w:cs="Times New Roman"/>
                <w:snapToGrid w:val="0"/>
                <w:color w:val="auto"/>
              </w:rPr>
              <w:t>）</w:t>
            </w:r>
          </w:p>
        </w:tc>
        <w:tc>
          <w:tcPr>
            <w:tcW w:w="1990" w:type="dxa"/>
            <w:tcBorders>
              <w:tl2br w:val="nil"/>
              <w:tr2bl w:val="nil"/>
            </w:tcBorders>
            <w:vAlign w:val="center"/>
          </w:tcPr>
          <w:p>
            <w:pPr>
              <w:widowControl/>
              <w:jc w:val="center"/>
              <w:rPr>
                <w:rFonts w:ascii="Times New Roman" w:hAnsi="Times New Roman" w:eastAsia="宋体" w:cs="Times New Roman"/>
                <w:color w:val="auto"/>
                <w:spacing w:val="-4"/>
                <w:kern w:val="0"/>
                <w:szCs w:val="21"/>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2" w:type="dxa"/>
            <w:vMerge w:val="restart"/>
            <w:tcBorders>
              <w:tl2br w:val="nil"/>
              <w:tr2bl w:val="nil"/>
            </w:tcBorders>
            <w:vAlign w:val="center"/>
          </w:tcPr>
          <w:p>
            <w:pPr>
              <w:tabs>
                <w:tab w:val="left" w:pos="1021"/>
              </w:tabs>
              <w:jc w:val="center"/>
              <w:rPr>
                <w:rFonts w:ascii="Times New Roman" w:hAnsi="Times New Roman" w:cs="Times New Roman"/>
                <w:color w:val="auto"/>
                <w:szCs w:val="21"/>
              </w:rPr>
            </w:pPr>
            <w:r>
              <w:rPr>
                <w:rFonts w:ascii="Times New Roman" w:hAnsi="Times New Roman" w:cs="Times New Roman"/>
                <w:color w:val="auto"/>
                <w:szCs w:val="21"/>
              </w:rPr>
              <w:t>环保工程</w:t>
            </w:r>
          </w:p>
        </w:tc>
        <w:tc>
          <w:tcPr>
            <w:tcW w:w="873" w:type="dxa"/>
            <w:gridSpan w:val="2"/>
            <w:tcBorders>
              <w:tl2br w:val="nil"/>
              <w:tr2bl w:val="nil"/>
            </w:tcBorders>
            <w:vAlign w:val="center"/>
          </w:tcPr>
          <w:p>
            <w:pPr>
              <w:ind w:right="126" w:rightChars="60"/>
              <w:jc w:val="center"/>
              <w:rPr>
                <w:rFonts w:ascii="Times New Roman" w:hAnsi="Times New Roman" w:cs="Times New Roman"/>
                <w:color w:val="auto"/>
                <w:szCs w:val="21"/>
              </w:rPr>
            </w:pPr>
            <w:r>
              <w:rPr>
                <w:rFonts w:ascii="Times New Roman" w:hAnsi="Times New Roman" w:cs="Times New Roman"/>
                <w:snapToGrid w:val="0"/>
                <w:color w:val="auto"/>
              </w:rPr>
              <w:t>污水处理</w:t>
            </w:r>
          </w:p>
        </w:tc>
        <w:tc>
          <w:tcPr>
            <w:tcW w:w="2535" w:type="dxa"/>
            <w:tcBorders>
              <w:tl2br w:val="nil"/>
              <w:tr2bl w:val="nil"/>
            </w:tcBorders>
            <w:vAlign w:val="center"/>
          </w:tcPr>
          <w:p>
            <w:pPr>
              <w:ind w:right="126" w:rightChars="60"/>
              <w:jc w:val="center"/>
              <w:rPr>
                <w:rFonts w:ascii="Times New Roman" w:hAnsi="Times New Roman" w:cs="Times New Roman"/>
                <w:color w:val="auto"/>
              </w:rPr>
            </w:pPr>
            <w:r>
              <w:rPr>
                <w:rFonts w:ascii="Times New Roman" w:hAnsi="Times New Roman" w:cs="Times New Roman"/>
                <w:color w:val="auto"/>
              </w:rPr>
              <w:t>初期雨水池占地100m</w:t>
            </w:r>
            <w:r>
              <w:rPr>
                <w:rFonts w:ascii="Times New Roman" w:hAnsi="Times New Roman" w:cs="Times New Roman"/>
                <w:color w:val="auto"/>
                <w:vertAlign w:val="superscript"/>
              </w:rPr>
              <w:t>2</w:t>
            </w:r>
            <w:r>
              <w:rPr>
                <w:rFonts w:ascii="Times New Roman" w:hAnsi="Times New Roman" w:cs="Times New Roman"/>
                <w:color w:val="auto"/>
              </w:rPr>
              <w:t>，容积：400m</w:t>
            </w:r>
            <w:r>
              <w:rPr>
                <w:rFonts w:ascii="Times New Roman" w:hAnsi="Times New Roman" w:cs="Times New Roman"/>
                <w:color w:val="auto"/>
                <w:vertAlign w:val="superscript"/>
              </w:rPr>
              <w:t>3</w:t>
            </w:r>
          </w:p>
          <w:p>
            <w:pPr>
              <w:tabs>
                <w:tab w:val="left" w:pos="1021"/>
              </w:tabs>
              <w:adjustRightInd w:val="0"/>
              <w:snapToGrid w:val="0"/>
              <w:rPr>
                <w:rFonts w:ascii="Times New Roman" w:hAnsi="Times New Roman" w:cs="Times New Roman"/>
                <w:color w:val="auto"/>
                <w:szCs w:val="21"/>
              </w:rPr>
            </w:pPr>
            <w:r>
              <w:rPr>
                <w:rFonts w:ascii="Times New Roman" w:hAnsi="Times New Roman" w:cs="Times New Roman"/>
                <w:color w:val="auto"/>
              </w:rPr>
              <w:t>污水站占地面积</w:t>
            </w:r>
            <w:r>
              <w:rPr>
                <w:rFonts w:ascii="Times New Roman" w:hAnsi="Times New Roman" w:cs="Times New Roman"/>
                <w:snapToGrid w:val="0"/>
                <w:color w:val="auto"/>
              </w:rPr>
              <w:t>1283.5</w:t>
            </w:r>
            <w:r>
              <w:rPr>
                <w:rFonts w:ascii="Times New Roman" w:hAnsi="Times New Roman" w:cs="Times New Roman"/>
                <w:color w:val="auto"/>
              </w:rPr>
              <w:t>m</w:t>
            </w:r>
            <w:r>
              <w:rPr>
                <w:rFonts w:ascii="Times New Roman" w:hAnsi="Times New Roman" w:cs="Times New Roman"/>
                <w:color w:val="auto"/>
                <w:vertAlign w:val="superscript"/>
              </w:rPr>
              <w:t>2</w:t>
            </w:r>
            <w:r>
              <w:rPr>
                <w:rFonts w:ascii="Times New Roman" w:hAnsi="Times New Roman" w:cs="Times New Roman"/>
                <w:color w:val="auto"/>
              </w:rPr>
              <w:t>，处理能力100t/d，处理工艺为：收集池+调节池+水解酸化+AO+沉淀</w:t>
            </w:r>
          </w:p>
        </w:tc>
        <w:tc>
          <w:tcPr>
            <w:tcW w:w="2472" w:type="dxa"/>
            <w:tcBorders>
              <w:tl2br w:val="nil"/>
              <w:tr2bl w:val="nil"/>
            </w:tcBorders>
            <w:vAlign w:val="center"/>
          </w:tcPr>
          <w:p>
            <w:pPr>
              <w:ind w:right="126" w:rightChars="60"/>
              <w:jc w:val="center"/>
              <w:rPr>
                <w:rFonts w:ascii="Times New Roman" w:hAnsi="Times New Roman" w:cs="Times New Roman"/>
                <w:color w:val="auto"/>
              </w:rPr>
            </w:pPr>
            <w:r>
              <w:rPr>
                <w:rFonts w:ascii="Times New Roman" w:hAnsi="Times New Roman" w:cs="Times New Roman"/>
                <w:color w:val="auto"/>
              </w:rPr>
              <w:t>初期雨水池占地100m</w:t>
            </w:r>
            <w:r>
              <w:rPr>
                <w:rFonts w:ascii="Times New Roman" w:hAnsi="Times New Roman" w:cs="Times New Roman"/>
                <w:color w:val="auto"/>
                <w:vertAlign w:val="superscript"/>
              </w:rPr>
              <w:t>2</w:t>
            </w:r>
            <w:r>
              <w:rPr>
                <w:rFonts w:ascii="Times New Roman" w:hAnsi="Times New Roman" w:cs="Times New Roman"/>
                <w:color w:val="auto"/>
              </w:rPr>
              <w:t>，容积：400m</w:t>
            </w:r>
            <w:r>
              <w:rPr>
                <w:rFonts w:ascii="Times New Roman" w:hAnsi="Times New Roman" w:cs="Times New Roman"/>
                <w:color w:val="auto"/>
                <w:vertAlign w:val="superscript"/>
              </w:rPr>
              <w:t>3</w:t>
            </w:r>
          </w:p>
          <w:p>
            <w:pPr>
              <w:ind w:right="126" w:rightChars="60"/>
              <w:jc w:val="center"/>
              <w:rPr>
                <w:rFonts w:ascii="Times New Roman" w:hAnsi="Times New Roman" w:cs="Times New Roman"/>
                <w:color w:val="auto"/>
                <w:szCs w:val="21"/>
              </w:rPr>
            </w:pPr>
            <w:r>
              <w:rPr>
                <w:rFonts w:ascii="Times New Roman" w:hAnsi="Times New Roman" w:cs="Times New Roman"/>
                <w:color w:val="auto"/>
              </w:rPr>
              <w:t>污水站占地面积</w:t>
            </w:r>
            <w:r>
              <w:rPr>
                <w:rFonts w:ascii="Times New Roman" w:hAnsi="Times New Roman" w:cs="Times New Roman"/>
                <w:snapToGrid w:val="0"/>
                <w:color w:val="auto"/>
              </w:rPr>
              <w:t>1283.5</w:t>
            </w:r>
            <w:r>
              <w:rPr>
                <w:rFonts w:ascii="Times New Roman" w:hAnsi="Times New Roman" w:cs="Times New Roman"/>
                <w:color w:val="auto"/>
              </w:rPr>
              <w:t>m</w:t>
            </w:r>
            <w:r>
              <w:rPr>
                <w:rFonts w:ascii="Times New Roman" w:hAnsi="Times New Roman" w:cs="Times New Roman"/>
                <w:color w:val="auto"/>
                <w:vertAlign w:val="superscript"/>
              </w:rPr>
              <w:t>2</w:t>
            </w:r>
            <w:r>
              <w:rPr>
                <w:rFonts w:ascii="Times New Roman" w:hAnsi="Times New Roman" w:cs="Times New Roman"/>
                <w:color w:val="auto"/>
              </w:rPr>
              <w:t>，处理能力100t/d，处理工艺为：收集池+调节池+水解酸化+AO+沉淀</w:t>
            </w:r>
          </w:p>
        </w:tc>
        <w:tc>
          <w:tcPr>
            <w:tcW w:w="1990" w:type="dxa"/>
            <w:tcBorders>
              <w:tl2br w:val="nil"/>
              <w:tr2bl w:val="nil"/>
            </w:tcBorders>
            <w:vAlign w:val="center"/>
          </w:tcPr>
          <w:p>
            <w:pPr>
              <w:tabs>
                <w:tab w:val="left" w:pos="1021"/>
              </w:tabs>
              <w:adjustRightInd w:val="0"/>
              <w:snapToGrid w:val="0"/>
              <w:jc w:val="center"/>
              <w:rPr>
                <w:rFonts w:ascii="Times New Roman" w:hAnsi="Times New Roman" w:cs="Times New Roman"/>
                <w:color w:val="auto"/>
                <w:szCs w:val="21"/>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2" w:type="dxa"/>
            <w:vMerge w:val="continue"/>
            <w:tcBorders>
              <w:tl2br w:val="nil"/>
              <w:tr2bl w:val="nil"/>
            </w:tcBorders>
            <w:vAlign w:val="center"/>
          </w:tcPr>
          <w:p>
            <w:pPr>
              <w:tabs>
                <w:tab w:val="left" w:pos="1021"/>
              </w:tabs>
              <w:jc w:val="center"/>
              <w:rPr>
                <w:rFonts w:ascii="Times New Roman" w:hAnsi="Times New Roman" w:cs="Times New Roman"/>
                <w:color w:val="auto"/>
                <w:szCs w:val="21"/>
              </w:rPr>
            </w:pPr>
          </w:p>
        </w:tc>
        <w:tc>
          <w:tcPr>
            <w:tcW w:w="436" w:type="dxa"/>
            <w:vMerge w:val="restart"/>
            <w:tcBorders>
              <w:tl2br w:val="nil"/>
              <w:tr2bl w:val="nil"/>
            </w:tcBorders>
            <w:vAlign w:val="center"/>
          </w:tcPr>
          <w:p>
            <w:pPr>
              <w:ind w:right="126" w:rightChars="60"/>
              <w:jc w:val="center"/>
              <w:rPr>
                <w:rFonts w:ascii="Times New Roman" w:hAnsi="Times New Roman" w:cs="Times New Roman"/>
                <w:color w:val="auto"/>
                <w:szCs w:val="21"/>
                <w:highlight w:val="none"/>
              </w:rPr>
            </w:pPr>
            <w:r>
              <w:rPr>
                <w:rFonts w:ascii="Times New Roman" w:hAnsi="Times New Roman" w:cs="Times New Roman"/>
                <w:snapToGrid w:val="0"/>
                <w:color w:val="auto"/>
                <w:highlight w:val="none"/>
              </w:rPr>
              <w:t>废气</w:t>
            </w:r>
          </w:p>
        </w:tc>
        <w:tc>
          <w:tcPr>
            <w:tcW w:w="437" w:type="dxa"/>
            <w:tcBorders>
              <w:tl2br w:val="nil"/>
              <w:tr2bl w:val="nil"/>
            </w:tcBorders>
            <w:vAlign w:val="center"/>
          </w:tcPr>
          <w:p>
            <w:pPr>
              <w:ind w:right="126" w:rightChars="60"/>
              <w:jc w:val="center"/>
              <w:rPr>
                <w:rFonts w:hint="default" w:ascii="Times New Roman" w:hAnsi="Times New Roman" w:cs="Times New Roman" w:eastAsiaTheme="minorEastAsia"/>
                <w:snapToGrid w:val="0"/>
                <w:color w:val="auto"/>
                <w:highlight w:val="none"/>
                <w:lang w:val="en-US" w:eastAsia="zh-CN"/>
              </w:rPr>
            </w:pPr>
            <w:r>
              <w:rPr>
                <w:rFonts w:hint="default" w:ascii="Times New Roman" w:hAnsi="Times New Roman" w:cs="Times New Roman"/>
                <w:snapToGrid w:val="0"/>
                <w:color w:val="auto"/>
                <w:highlight w:val="none"/>
                <w:lang w:val="en-US" w:eastAsia="zh-CN"/>
              </w:rPr>
              <w:t>生产工艺废气</w:t>
            </w:r>
          </w:p>
        </w:tc>
        <w:tc>
          <w:tcPr>
            <w:tcW w:w="2535" w:type="dxa"/>
            <w:tcBorders>
              <w:tl2br w:val="nil"/>
              <w:tr2bl w:val="nil"/>
            </w:tcBorders>
            <w:vAlign w:val="center"/>
          </w:tcPr>
          <w:p>
            <w:pPr>
              <w:tabs>
                <w:tab w:val="left" w:pos="1021"/>
              </w:tabs>
              <w:adjustRightInd w:val="0"/>
              <w:snapToGrid w:val="0"/>
              <w:rPr>
                <w:rFonts w:ascii="Times New Roman" w:hAnsi="Times New Roman" w:cs="Times New Roman"/>
                <w:color w:val="auto"/>
                <w:kern w:val="0"/>
                <w:szCs w:val="21"/>
                <w:highlight w:val="none"/>
              </w:rPr>
            </w:pPr>
            <w:r>
              <w:rPr>
                <w:rFonts w:hint="default" w:ascii="Times New Roman" w:hAnsi="Times New Roman" w:cs="Times New Roman"/>
                <w:snapToGrid w:val="0"/>
                <w:color w:val="auto"/>
                <w:highlight w:val="none"/>
              </w:rPr>
              <w:t>强制冷凝+水吸收+酸吸收+水吸收+除雾板+UV光解+30m排气筒</w:t>
            </w:r>
          </w:p>
        </w:tc>
        <w:tc>
          <w:tcPr>
            <w:tcW w:w="2472" w:type="dxa"/>
            <w:tcBorders>
              <w:tl2br w:val="nil"/>
              <w:tr2bl w:val="nil"/>
            </w:tcBorders>
            <w:vAlign w:val="center"/>
          </w:tcPr>
          <w:p>
            <w:pPr>
              <w:ind w:right="126" w:rightChars="60"/>
              <w:jc w:val="center"/>
              <w:rPr>
                <w:rFonts w:ascii="Times New Roman" w:hAnsi="Times New Roman" w:cs="Times New Roman"/>
                <w:color w:val="auto"/>
                <w:szCs w:val="21"/>
                <w:highlight w:val="none"/>
              </w:rPr>
            </w:pPr>
            <w:r>
              <w:rPr>
                <w:rFonts w:ascii="Times New Roman" w:hAnsi="Times New Roman" w:cs="Times New Roman"/>
                <w:snapToGrid w:val="0"/>
                <w:color w:val="auto"/>
                <w:highlight w:val="none"/>
              </w:rPr>
              <w:t>强制冷凝+水吸收+酸吸收+</w:t>
            </w:r>
            <w:r>
              <w:rPr>
                <w:rFonts w:hint="eastAsia" w:ascii="Times New Roman" w:hAnsi="Times New Roman" w:cs="Times New Roman"/>
                <w:snapToGrid w:val="0"/>
                <w:color w:val="auto"/>
                <w:highlight w:val="none"/>
                <w:lang w:val="en-US" w:eastAsia="zh-CN"/>
              </w:rPr>
              <w:t>酸</w:t>
            </w:r>
            <w:r>
              <w:rPr>
                <w:rFonts w:ascii="Times New Roman" w:hAnsi="Times New Roman" w:cs="Times New Roman"/>
                <w:snapToGrid w:val="0"/>
                <w:color w:val="auto"/>
                <w:highlight w:val="none"/>
              </w:rPr>
              <w:t>吸收+</w:t>
            </w:r>
            <w:r>
              <w:rPr>
                <w:rFonts w:hint="eastAsia" w:ascii="Times New Roman" w:hAnsi="Times New Roman" w:cs="Times New Roman"/>
                <w:snapToGrid w:val="0"/>
                <w:color w:val="auto"/>
                <w:highlight w:val="none"/>
                <w:lang w:val="en-US" w:eastAsia="zh-CN"/>
              </w:rPr>
              <w:t>酸吸收+</w:t>
            </w:r>
            <w:r>
              <w:rPr>
                <w:rFonts w:ascii="Times New Roman" w:hAnsi="Times New Roman" w:cs="Times New Roman"/>
                <w:snapToGrid w:val="0"/>
                <w:color w:val="auto"/>
                <w:highlight w:val="none"/>
              </w:rPr>
              <w:t>除雾板</w:t>
            </w:r>
            <w:r>
              <w:rPr>
                <w:rFonts w:hint="default" w:ascii="Times New Roman" w:hAnsi="Times New Roman" w:cs="Times New Roman"/>
                <w:snapToGrid w:val="0"/>
                <w:color w:val="auto"/>
                <w:highlight w:val="none"/>
              </w:rPr>
              <w:t>+</w:t>
            </w:r>
            <w:r>
              <w:rPr>
                <w:rFonts w:hint="eastAsia" w:ascii="Times New Roman" w:hAnsi="Times New Roman" w:cs="Times New Roman"/>
                <w:snapToGrid w:val="0"/>
                <w:color w:val="auto"/>
                <w:highlight w:val="none"/>
                <w:lang w:val="en-US" w:eastAsia="zh-CN"/>
              </w:rPr>
              <w:t>活性炭</w:t>
            </w:r>
            <w:r>
              <w:rPr>
                <w:rFonts w:ascii="Times New Roman" w:hAnsi="Times New Roman" w:cs="Times New Roman"/>
                <w:snapToGrid w:val="0"/>
                <w:color w:val="auto"/>
                <w:highlight w:val="none"/>
              </w:rPr>
              <w:t>+30m排气筒</w:t>
            </w:r>
          </w:p>
        </w:tc>
        <w:tc>
          <w:tcPr>
            <w:tcW w:w="1990" w:type="dxa"/>
            <w:tcBorders>
              <w:tl2br w:val="nil"/>
              <w:tr2bl w:val="nil"/>
            </w:tcBorders>
            <w:vAlign w:val="center"/>
          </w:tcPr>
          <w:p>
            <w:pPr>
              <w:tabs>
                <w:tab w:val="left" w:pos="1021"/>
              </w:tabs>
              <w:adjustRightInd w:val="0"/>
              <w:snapToGrid w:val="0"/>
              <w:jc w:val="center"/>
              <w:rPr>
                <w:rFonts w:hint="default" w:ascii="Times New Roman" w:hAnsi="Times New Roman" w:eastAsia="宋体" w:cs="Times New Roman"/>
                <w:color w:val="auto"/>
                <w:szCs w:val="21"/>
                <w:highlight w:val="none"/>
                <w:lang w:val="en-US"/>
              </w:rPr>
            </w:pPr>
            <w:r>
              <w:rPr>
                <w:rFonts w:hint="eastAsia" w:ascii="Times New Roman" w:hAnsi="Times New Roman" w:eastAsia="宋体" w:cs="Times New Roman"/>
                <w:color w:val="auto"/>
                <w:spacing w:val="-4"/>
                <w:kern w:val="0"/>
                <w:szCs w:val="21"/>
                <w:highlight w:val="none"/>
                <w:lang w:val="en-US" w:eastAsia="zh-CN"/>
              </w:rPr>
              <w:t>增加了一级酸吸收，UV光解变更为活性炭吸附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2" w:type="dxa"/>
            <w:vMerge w:val="continue"/>
            <w:tcBorders>
              <w:tl2br w:val="nil"/>
              <w:tr2bl w:val="nil"/>
            </w:tcBorders>
            <w:vAlign w:val="center"/>
          </w:tcPr>
          <w:p>
            <w:pPr>
              <w:tabs>
                <w:tab w:val="left" w:pos="1021"/>
              </w:tabs>
              <w:jc w:val="center"/>
              <w:rPr>
                <w:rFonts w:ascii="Times New Roman" w:hAnsi="Times New Roman" w:cs="Times New Roman"/>
                <w:color w:val="auto"/>
                <w:szCs w:val="21"/>
              </w:rPr>
            </w:pPr>
          </w:p>
        </w:tc>
        <w:tc>
          <w:tcPr>
            <w:tcW w:w="436" w:type="dxa"/>
            <w:vMerge w:val="continue"/>
            <w:tcBorders>
              <w:tl2br w:val="nil"/>
              <w:tr2bl w:val="nil"/>
            </w:tcBorders>
            <w:vAlign w:val="center"/>
          </w:tcPr>
          <w:p>
            <w:pPr>
              <w:ind w:right="126" w:rightChars="60"/>
              <w:jc w:val="center"/>
              <w:rPr>
                <w:rFonts w:ascii="Times New Roman" w:hAnsi="Times New Roman" w:cs="Times New Roman"/>
                <w:snapToGrid w:val="0"/>
                <w:color w:val="auto"/>
                <w:highlight w:val="none"/>
              </w:rPr>
            </w:pPr>
          </w:p>
        </w:tc>
        <w:tc>
          <w:tcPr>
            <w:tcW w:w="437" w:type="dxa"/>
            <w:tcBorders>
              <w:tl2br w:val="nil"/>
              <w:tr2bl w:val="nil"/>
            </w:tcBorders>
            <w:vAlign w:val="center"/>
          </w:tcPr>
          <w:p>
            <w:pPr>
              <w:ind w:right="126" w:rightChars="60"/>
              <w:jc w:val="center"/>
              <w:rPr>
                <w:rFonts w:hint="default" w:ascii="Times New Roman" w:hAnsi="Times New Roman" w:cs="Times New Roman" w:eastAsiaTheme="minorEastAsia"/>
                <w:snapToGrid w:val="0"/>
                <w:color w:val="auto"/>
                <w:highlight w:val="none"/>
                <w:lang w:val="en-US" w:eastAsia="zh-CN"/>
              </w:rPr>
            </w:pPr>
            <w:r>
              <w:rPr>
                <w:rFonts w:hint="default" w:ascii="Times New Roman" w:hAnsi="Times New Roman" w:cs="Times New Roman"/>
                <w:snapToGrid w:val="0"/>
                <w:color w:val="auto"/>
                <w:highlight w:val="none"/>
                <w:lang w:val="en-US" w:eastAsia="zh-CN"/>
              </w:rPr>
              <w:t>污水处理站废气</w:t>
            </w:r>
          </w:p>
        </w:tc>
        <w:tc>
          <w:tcPr>
            <w:tcW w:w="2535" w:type="dxa"/>
            <w:tcBorders>
              <w:tl2br w:val="nil"/>
              <w:tr2bl w:val="nil"/>
            </w:tcBorders>
            <w:vAlign w:val="center"/>
          </w:tcPr>
          <w:p>
            <w:pPr>
              <w:tabs>
                <w:tab w:val="left" w:pos="1021"/>
              </w:tabs>
              <w:adjustRightInd w:val="0"/>
              <w:snapToGrid w:val="0"/>
              <w:rPr>
                <w:rFonts w:hint="default" w:ascii="Times New Roman" w:hAnsi="Times New Roman" w:cs="Times New Roman" w:eastAsiaTheme="minorEastAsia"/>
                <w:snapToGrid w:val="0"/>
                <w:color w:val="auto"/>
                <w:highlight w:val="none"/>
                <w:lang w:val="en-US" w:eastAsia="zh-CN"/>
              </w:rPr>
            </w:pPr>
            <w:r>
              <w:rPr>
                <w:rFonts w:hint="default" w:ascii="Times New Roman" w:hAnsi="Times New Roman" w:cs="Times New Roman"/>
                <w:snapToGrid w:val="0"/>
                <w:color w:val="auto"/>
                <w:highlight w:val="none"/>
                <w:lang w:val="en-US" w:eastAsia="zh-CN"/>
              </w:rPr>
              <w:t>生物除臭喷淋+15m高排气筒</w:t>
            </w:r>
          </w:p>
        </w:tc>
        <w:tc>
          <w:tcPr>
            <w:tcW w:w="2472" w:type="dxa"/>
            <w:tcBorders>
              <w:tl2br w:val="nil"/>
              <w:tr2bl w:val="nil"/>
            </w:tcBorders>
            <w:vAlign w:val="center"/>
          </w:tcPr>
          <w:p>
            <w:pPr>
              <w:ind w:right="126" w:rightChars="60"/>
              <w:jc w:val="center"/>
              <w:rPr>
                <w:rFonts w:hint="default" w:ascii="Times New Roman" w:hAnsi="Times New Roman" w:cs="Times New Roman" w:eastAsiaTheme="minorEastAsia"/>
                <w:snapToGrid w:val="0"/>
                <w:color w:val="auto"/>
                <w:highlight w:val="none"/>
                <w:lang w:val="en-US" w:eastAsia="zh-CN"/>
              </w:rPr>
            </w:pPr>
            <w:r>
              <w:rPr>
                <w:rFonts w:hint="eastAsia" w:ascii="Times New Roman" w:hAnsi="Times New Roman" w:cs="Times New Roman"/>
                <w:snapToGrid w:val="0"/>
                <w:color w:val="auto"/>
                <w:highlight w:val="none"/>
                <w:lang w:val="en-US" w:eastAsia="zh-CN"/>
              </w:rPr>
              <w:t>水吸收+酸吸收+生物除臭</w:t>
            </w:r>
            <w:r>
              <w:rPr>
                <w:rFonts w:hint="default" w:ascii="Times New Roman" w:hAnsi="Times New Roman" w:cs="Times New Roman"/>
                <w:snapToGrid w:val="0"/>
                <w:color w:val="auto"/>
                <w:highlight w:val="none"/>
                <w:lang w:val="en-US" w:eastAsia="zh-CN"/>
              </w:rPr>
              <w:t>喷淋+15m高排气筒</w:t>
            </w:r>
          </w:p>
        </w:tc>
        <w:tc>
          <w:tcPr>
            <w:tcW w:w="1990" w:type="dxa"/>
            <w:tcBorders>
              <w:tl2br w:val="nil"/>
              <w:tr2bl w:val="nil"/>
            </w:tcBorders>
            <w:vAlign w:val="center"/>
          </w:tcPr>
          <w:p>
            <w:pPr>
              <w:tabs>
                <w:tab w:val="left" w:pos="1021"/>
              </w:tabs>
              <w:adjustRightInd w:val="0"/>
              <w:snapToGrid w:val="0"/>
              <w:jc w:val="center"/>
              <w:rPr>
                <w:rFonts w:hint="default" w:ascii="Times New Roman" w:hAnsi="Times New Roman" w:eastAsia="宋体" w:cs="Times New Roman"/>
                <w:color w:val="auto"/>
                <w:spacing w:val="-4"/>
                <w:kern w:val="0"/>
                <w:szCs w:val="21"/>
                <w:highlight w:val="none"/>
                <w:lang w:val="en-US" w:eastAsia="zh-CN"/>
              </w:rPr>
            </w:pPr>
            <w:r>
              <w:rPr>
                <w:rFonts w:hint="eastAsia" w:ascii="Times New Roman" w:hAnsi="Times New Roman" w:eastAsia="宋体" w:cs="Times New Roman"/>
                <w:color w:val="auto"/>
                <w:spacing w:val="-4"/>
                <w:kern w:val="0"/>
                <w:szCs w:val="21"/>
                <w:highlight w:val="none"/>
                <w:lang w:val="en-US" w:eastAsia="zh-CN"/>
              </w:rPr>
              <w:t>增加了水吸收，酸吸收两道工序。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2" w:type="dxa"/>
            <w:vMerge w:val="continue"/>
            <w:tcBorders>
              <w:tl2br w:val="nil"/>
              <w:tr2bl w:val="nil"/>
            </w:tcBorders>
            <w:vAlign w:val="center"/>
          </w:tcPr>
          <w:p>
            <w:pPr>
              <w:tabs>
                <w:tab w:val="left" w:pos="1021"/>
              </w:tabs>
              <w:jc w:val="center"/>
              <w:rPr>
                <w:rFonts w:ascii="Times New Roman" w:hAnsi="Times New Roman" w:cs="Times New Roman"/>
                <w:color w:val="auto"/>
                <w:szCs w:val="21"/>
              </w:rPr>
            </w:pPr>
          </w:p>
        </w:tc>
        <w:tc>
          <w:tcPr>
            <w:tcW w:w="873" w:type="dxa"/>
            <w:gridSpan w:val="2"/>
            <w:tcBorders>
              <w:tl2br w:val="nil"/>
              <w:tr2bl w:val="nil"/>
            </w:tcBorders>
            <w:vAlign w:val="center"/>
          </w:tcPr>
          <w:p>
            <w:pPr>
              <w:ind w:right="126" w:rightChars="60"/>
              <w:jc w:val="center"/>
              <w:rPr>
                <w:rFonts w:ascii="Times New Roman" w:hAnsi="Times New Roman" w:cs="Times New Roman"/>
                <w:color w:val="auto"/>
                <w:szCs w:val="21"/>
              </w:rPr>
            </w:pPr>
            <w:r>
              <w:rPr>
                <w:rFonts w:ascii="Times New Roman" w:hAnsi="Times New Roman" w:cs="Times New Roman"/>
                <w:snapToGrid w:val="0"/>
                <w:color w:val="auto"/>
              </w:rPr>
              <w:t>固废</w:t>
            </w:r>
          </w:p>
        </w:tc>
        <w:tc>
          <w:tcPr>
            <w:tcW w:w="2535" w:type="dxa"/>
            <w:tcBorders>
              <w:tl2br w:val="nil"/>
              <w:tr2bl w:val="nil"/>
            </w:tcBorders>
            <w:vAlign w:val="center"/>
          </w:tcPr>
          <w:p>
            <w:pPr>
              <w:ind w:right="126" w:rightChars="60"/>
              <w:jc w:val="center"/>
              <w:rPr>
                <w:rFonts w:ascii="Times New Roman" w:hAnsi="Times New Roman" w:cs="Times New Roman"/>
                <w:color w:val="auto"/>
                <w:szCs w:val="21"/>
                <w:highlight w:val="yellow"/>
              </w:rPr>
            </w:pPr>
            <w:r>
              <w:rPr>
                <w:rFonts w:ascii="Times New Roman" w:hAnsi="Times New Roman" w:cs="Times New Roman"/>
                <w:snapToGrid w:val="0"/>
                <w:color w:val="auto"/>
              </w:rPr>
              <w:t>危废暂存间10m</w:t>
            </w:r>
            <w:r>
              <w:rPr>
                <w:rFonts w:ascii="Times New Roman" w:hAnsi="Times New Roman" w:cs="Times New Roman"/>
                <w:snapToGrid w:val="0"/>
                <w:color w:val="auto"/>
                <w:vertAlign w:val="superscript"/>
              </w:rPr>
              <w:t>2</w:t>
            </w:r>
            <w:r>
              <w:rPr>
                <w:rFonts w:ascii="Times New Roman" w:hAnsi="Times New Roman" w:cs="Times New Roman"/>
                <w:snapToGrid w:val="0"/>
                <w:color w:val="auto"/>
              </w:rPr>
              <w:t>，位于甲类仓库东南角；污泥暂存位于污水站，与污水</w:t>
            </w:r>
            <w:r>
              <w:rPr>
                <w:rFonts w:hint="eastAsia" w:ascii="Times New Roman" w:hAnsi="Times New Roman" w:cs="Times New Roman"/>
                <w:snapToGrid w:val="0"/>
                <w:color w:val="auto"/>
                <w:lang w:val="en-US" w:eastAsia="zh-CN"/>
              </w:rPr>
              <w:t>站</w:t>
            </w:r>
            <w:r>
              <w:rPr>
                <w:rFonts w:ascii="Times New Roman" w:hAnsi="Times New Roman" w:cs="Times New Roman"/>
                <w:snapToGrid w:val="0"/>
                <w:color w:val="auto"/>
              </w:rPr>
              <w:t>暂合并建设</w:t>
            </w:r>
          </w:p>
        </w:tc>
        <w:tc>
          <w:tcPr>
            <w:tcW w:w="2472" w:type="dxa"/>
            <w:tcBorders>
              <w:tl2br w:val="nil"/>
              <w:tr2bl w:val="nil"/>
            </w:tcBorders>
            <w:vAlign w:val="center"/>
          </w:tcPr>
          <w:p>
            <w:pPr>
              <w:ind w:right="126" w:rightChars="60"/>
              <w:jc w:val="center"/>
              <w:rPr>
                <w:rFonts w:ascii="Times New Roman" w:hAnsi="Times New Roman" w:cs="Times New Roman"/>
                <w:color w:val="auto"/>
                <w:szCs w:val="21"/>
                <w:highlight w:val="yellow"/>
              </w:rPr>
            </w:pPr>
            <w:r>
              <w:rPr>
                <w:rFonts w:ascii="Times New Roman" w:hAnsi="Times New Roman" w:cs="Times New Roman"/>
                <w:snapToGrid w:val="0"/>
                <w:color w:val="auto"/>
              </w:rPr>
              <w:t>危废暂存间</w:t>
            </w:r>
            <w:r>
              <w:rPr>
                <w:rFonts w:hint="eastAsia" w:ascii="Times New Roman" w:hAnsi="Times New Roman" w:cs="Times New Roman"/>
                <w:snapToGrid w:val="0"/>
                <w:color w:val="auto"/>
                <w:lang w:val="en-US" w:eastAsia="zh-CN"/>
              </w:rPr>
              <w:t>209</w:t>
            </w:r>
            <w:r>
              <w:rPr>
                <w:rFonts w:ascii="Times New Roman" w:hAnsi="Times New Roman" w:cs="Times New Roman"/>
                <w:snapToGrid w:val="0"/>
                <w:color w:val="auto"/>
              </w:rPr>
              <w:t>m</w:t>
            </w:r>
            <w:r>
              <w:rPr>
                <w:rFonts w:ascii="Times New Roman" w:hAnsi="Times New Roman" w:cs="Times New Roman"/>
                <w:snapToGrid w:val="0"/>
                <w:color w:val="auto"/>
                <w:vertAlign w:val="superscript"/>
              </w:rPr>
              <w:t>2</w:t>
            </w:r>
            <w:r>
              <w:rPr>
                <w:rFonts w:ascii="Times New Roman" w:hAnsi="Times New Roman" w:cs="Times New Roman"/>
                <w:snapToGrid w:val="0"/>
                <w:color w:val="auto"/>
              </w:rPr>
              <w:t>，位于甲类仓库东南角；污泥暂存位于污水站，与污水</w:t>
            </w:r>
            <w:r>
              <w:rPr>
                <w:rFonts w:hint="eastAsia" w:ascii="Times New Roman" w:hAnsi="Times New Roman" w:cs="Times New Roman"/>
                <w:snapToGrid w:val="0"/>
                <w:color w:val="auto"/>
                <w:lang w:val="en-US" w:eastAsia="zh-CN"/>
              </w:rPr>
              <w:t>站</w:t>
            </w:r>
            <w:r>
              <w:rPr>
                <w:rFonts w:ascii="Times New Roman" w:hAnsi="Times New Roman" w:cs="Times New Roman"/>
                <w:snapToGrid w:val="0"/>
                <w:color w:val="auto"/>
              </w:rPr>
              <w:t>暂合并建设</w:t>
            </w:r>
          </w:p>
        </w:tc>
        <w:tc>
          <w:tcPr>
            <w:tcW w:w="1990" w:type="dxa"/>
            <w:tcBorders>
              <w:tl2br w:val="nil"/>
              <w:tr2bl w:val="nil"/>
            </w:tcBorders>
            <w:vAlign w:val="center"/>
          </w:tcPr>
          <w:p>
            <w:pPr>
              <w:tabs>
                <w:tab w:val="left" w:pos="1021"/>
              </w:tabs>
              <w:jc w:val="center"/>
              <w:rPr>
                <w:rFonts w:hint="default" w:ascii="Times New Roman" w:hAnsi="Times New Roman" w:cs="Times New Roman" w:eastAsiaTheme="minorEastAsia"/>
                <w:color w:val="auto"/>
                <w:szCs w:val="21"/>
                <w:lang w:val="en-US" w:eastAsia="zh-CN"/>
              </w:rPr>
            </w:pPr>
            <w:r>
              <w:rPr>
                <w:rFonts w:hint="eastAsia" w:ascii="Times New Roman" w:hAnsi="Times New Roman" w:eastAsia="宋体" w:cs="Times New Roman"/>
                <w:color w:val="auto"/>
                <w:spacing w:val="-4"/>
                <w:kern w:val="0"/>
                <w:szCs w:val="21"/>
                <w:lang w:val="en-US" w:eastAsia="zh-CN"/>
              </w:rPr>
              <w:t>危废暂存间面积增大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2" w:type="dxa"/>
            <w:vMerge w:val="continue"/>
            <w:tcBorders>
              <w:tl2br w:val="nil"/>
              <w:tr2bl w:val="nil"/>
            </w:tcBorders>
            <w:vAlign w:val="center"/>
          </w:tcPr>
          <w:p>
            <w:pPr>
              <w:tabs>
                <w:tab w:val="left" w:pos="1021"/>
              </w:tabs>
              <w:jc w:val="center"/>
              <w:rPr>
                <w:rFonts w:ascii="Times New Roman" w:hAnsi="Times New Roman" w:cs="Times New Roman"/>
                <w:color w:val="auto"/>
                <w:szCs w:val="21"/>
              </w:rPr>
            </w:pPr>
          </w:p>
        </w:tc>
        <w:tc>
          <w:tcPr>
            <w:tcW w:w="873" w:type="dxa"/>
            <w:gridSpan w:val="2"/>
            <w:tcBorders>
              <w:tl2br w:val="nil"/>
              <w:tr2bl w:val="nil"/>
            </w:tcBorders>
            <w:vAlign w:val="center"/>
          </w:tcPr>
          <w:p>
            <w:pPr>
              <w:ind w:right="126" w:rightChars="60"/>
              <w:jc w:val="center"/>
              <w:rPr>
                <w:rFonts w:ascii="Times New Roman" w:hAnsi="Times New Roman" w:cs="Times New Roman"/>
                <w:color w:val="auto"/>
                <w:szCs w:val="21"/>
              </w:rPr>
            </w:pPr>
            <w:r>
              <w:rPr>
                <w:rFonts w:ascii="Times New Roman" w:hAnsi="Times New Roman" w:cs="Times New Roman"/>
                <w:snapToGrid w:val="0"/>
                <w:color w:val="auto"/>
              </w:rPr>
              <w:t>噪声</w:t>
            </w:r>
          </w:p>
        </w:tc>
        <w:tc>
          <w:tcPr>
            <w:tcW w:w="2535" w:type="dxa"/>
            <w:tcBorders>
              <w:tl2br w:val="nil"/>
              <w:tr2bl w:val="nil"/>
            </w:tcBorders>
            <w:vAlign w:val="center"/>
          </w:tcPr>
          <w:p>
            <w:pPr>
              <w:ind w:right="126" w:rightChars="60"/>
              <w:jc w:val="center"/>
              <w:rPr>
                <w:rFonts w:ascii="Times New Roman" w:hAnsi="Times New Roman" w:cs="Times New Roman"/>
                <w:bCs/>
                <w:color w:val="auto"/>
                <w:szCs w:val="21"/>
              </w:rPr>
            </w:pPr>
            <w:r>
              <w:rPr>
                <w:rFonts w:ascii="Times New Roman" w:hAnsi="Times New Roman" w:cs="Times New Roman"/>
                <w:snapToGrid w:val="0"/>
                <w:color w:val="auto"/>
              </w:rPr>
              <w:t>隔声减震</w:t>
            </w:r>
          </w:p>
        </w:tc>
        <w:tc>
          <w:tcPr>
            <w:tcW w:w="2472" w:type="dxa"/>
            <w:tcBorders>
              <w:tl2br w:val="nil"/>
              <w:tr2bl w:val="nil"/>
            </w:tcBorders>
            <w:vAlign w:val="center"/>
          </w:tcPr>
          <w:p>
            <w:pPr>
              <w:ind w:right="126" w:rightChars="60"/>
              <w:jc w:val="center"/>
              <w:rPr>
                <w:rFonts w:ascii="Times New Roman" w:hAnsi="Times New Roman" w:cs="Times New Roman"/>
                <w:bCs/>
                <w:color w:val="auto"/>
                <w:szCs w:val="21"/>
              </w:rPr>
            </w:pPr>
            <w:r>
              <w:rPr>
                <w:rFonts w:ascii="Times New Roman" w:hAnsi="Times New Roman" w:cs="Times New Roman"/>
                <w:snapToGrid w:val="0"/>
                <w:color w:val="auto"/>
              </w:rPr>
              <w:t>隔声减震</w:t>
            </w:r>
          </w:p>
        </w:tc>
        <w:tc>
          <w:tcPr>
            <w:tcW w:w="1990" w:type="dxa"/>
            <w:tcBorders>
              <w:tl2br w:val="nil"/>
              <w:tr2bl w:val="nil"/>
            </w:tcBorders>
            <w:vAlign w:val="center"/>
          </w:tcPr>
          <w:p>
            <w:pPr>
              <w:tabs>
                <w:tab w:val="left" w:pos="1021"/>
              </w:tabs>
              <w:jc w:val="center"/>
              <w:rPr>
                <w:rFonts w:hint="default" w:ascii="Times New Roman" w:hAnsi="Times New Roman" w:eastAsia="宋体" w:cs="Times New Roman"/>
                <w:color w:val="auto"/>
                <w:spacing w:val="-4"/>
                <w:kern w:val="0"/>
                <w:szCs w:val="21"/>
                <w:lang w:val="en-US" w:eastAsia="zh-CN"/>
              </w:rPr>
            </w:pPr>
            <w:r>
              <w:rPr>
                <w:rFonts w:hint="default" w:ascii="Times New Roman" w:hAnsi="Times New Roman" w:eastAsia="宋体" w:cs="Times New Roman"/>
                <w:color w:val="auto"/>
                <w:spacing w:val="-4"/>
                <w:kern w:val="0"/>
                <w:szCs w:val="21"/>
                <w:lang w:val="en-US" w:eastAsia="zh-CN"/>
              </w:rPr>
              <w:t>一致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2" w:type="dxa"/>
            <w:vMerge w:val="continue"/>
            <w:tcBorders>
              <w:tl2br w:val="nil"/>
              <w:tr2bl w:val="nil"/>
            </w:tcBorders>
            <w:vAlign w:val="center"/>
          </w:tcPr>
          <w:p>
            <w:pPr>
              <w:tabs>
                <w:tab w:val="left" w:pos="1021"/>
              </w:tabs>
              <w:jc w:val="center"/>
              <w:rPr>
                <w:rFonts w:ascii="Times New Roman" w:hAnsi="Times New Roman" w:cs="Times New Roman"/>
                <w:color w:val="auto"/>
                <w:szCs w:val="21"/>
              </w:rPr>
            </w:pPr>
          </w:p>
        </w:tc>
        <w:tc>
          <w:tcPr>
            <w:tcW w:w="873" w:type="dxa"/>
            <w:gridSpan w:val="2"/>
            <w:tcBorders>
              <w:tl2br w:val="nil"/>
              <w:tr2bl w:val="nil"/>
            </w:tcBorders>
            <w:vAlign w:val="center"/>
          </w:tcPr>
          <w:p>
            <w:pPr>
              <w:ind w:right="126" w:rightChars="60"/>
              <w:jc w:val="center"/>
              <w:rPr>
                <w:rFonts w:ascii="Times New Roman" w:hAnsi="Times New Roman" w:cs="Times New Roman"/>
                <w:color w:val="auto"/>
                <w:szCs w:val="21"/>
              </w:rPr>
            </w:pPr>
            <w:r>
              <w:rPr>
                <w:rFonts w:ascii="Times New Roman" w:hAnsi="Times New Roman" w:cs="Times New Roman"/>
                <w:snapToGrid w:val="0"/>
                <w:color w:val="auto"/>
              </w:rPr>
              <w:t>风险防范</w:t>
            </w:r>
          </w:p>
        </w:tc>
        <w:tc>
          <w:tcPr>
            <w:tcW w:w="2535" w:type="dxa"/>
            <w:tcBorders>
              <w:tl2br w:val="nil"/>
              <w:tr2bl w:val="nil"/>
            </w:tcBorders>
            <w:vAlign w:val="center"/>
          </w:tcPr>
          <w:p>
            <w:pPr>
              <w:ind w:right="126" w:rightChars="60"/>
              <w:jc w:val="center"/>
              <w:rPr>
                <w:rFonts w:ascii="Times New Roman" w:hAnsi="Times New Roman" w:cs="Times New Roman"/>
                <w:color w:val="auto"/>
                <w:szCs w:val="21"/>
              </w:rPr>
            </w:pPr>
            <w:r>
              <w:rPr>
                <w:rFonts w:ascii="Times New Roman" w:hAnsi="Times New Roman" w:cs="Times New Roman"/>
                <w:snapToGrid w:val="0"/>
                <w:color w:val="auto"/>
              </w:rPr>
              <w:t>事故水池，</w:t>
            </w:r>
            <w:r>
              <w:rPr>
                <w:rFonts w:ascii="Times New Roman" w:hAnsi="Times New Roman" w:cs="Times New Roman"/>
                <w:color w:val="auto"/>
              </w:rPr>
              <w:t>占地面积</w:t>
            </w:r>
            <w:r>
              <w:rPr>
                <w:rFonts w:ascii="Times New Roman" w:hAnsi="Times New Roman" w:cs="Times New Roman"/>
                <w:snapToGrid w:val="0"/>
                <w:color w:val="auto"/>
              </w:rPr>
              <w:t>300</w:t>
            </w:r>
            <w:r>
              <w:rPr>
                <w:rFonts w:ascii="Times New Roman" w:hAnsi="Times New Roman" w:cs="Times New Roman"/>
                <w:color w:val="auto"/>
              </w:rPr>
              <w:t>m</w:t>
            </w:r>
            <w:r>
              <w:rPr>
                <w:rFonts w:ascii="Times New Roman" w:hAnsi="Times New Roman" w:cs="Times New Roman"/>
                <w:color w:val="auto"/>
                <w:vertAlign w:val="superscript"/>
              </w:rPr>
              <w:t>2</w:t>
            </w:r>
            <w:r>
              <w:rPr>
                <w:rFonts w:ascii="Times New Roman" w:hAnsi="Times New Roman" w:cs="Times New Roman"/>
                <w:color w:val="auto"/>
              </w:rPr>
              <w:t>；容积800m</w:t>
            </w:r>
            <w:r>
              <w:rPr>
                <w:rFonts w:ascii="Times New Roman" w:hAnsi="Times New Roman" w:cs="Times New Roman"/>
                <w:color w:val="auto"/>
                <w:vertAlign w:val="superscript"/>
              </w:rPr>
              <w:t>3</w:t>
            </w:r>
            <w:r>
              <w:rPr>
                <w:rFonts w:ascii="Times New Roman" w:hAnsi="Times New Roman" w:cs="Times New Roman"/>
                <w:color w:val="auto"/>
              </w:rPr>
              <w:t>；</w:t>
            </w:r>
            <w:r>
              <w:rPr>
                <w:rFonts w:ascii="Times New Roman" w:hAnsi="Times New Roman" w:cs="Times New Roman"/>
                <w:color w:val="auto"/>
                <w:vertAlign w:val="superscript"/>
              </w:rPr>
              <w:t xml:space="preserve"> </w:t>
            </w:r>
            <w:r>
              <w:rPr>
                <w:rFonts w:ascii="Times New Roman" w:hAnsi="Times New Roman" w:cs="Times New Roman"/>
                <w:color w:val="auto"/>
              </w:rPr>
              <w:t>罐组1围堰有效容积约587m</w:t>
            </w:r>
            <w:r>
              <w:rPr>
                <w:rFonts w:ascii="Times New Roman" w:hAnsi="Times New Roman" w:cs="Times New Roman"/>
                <w:color w:val="auto"/>
                <w:vertAlign w:val="superscript"/>
              </w:rPr>
              <w:t>3</w:t>
            </w:r>
            <w:r>
              <w:rPr>
                <w:rFonts w:ascii="Times New Roman" w:hAnsi="Times New Roman" w:cs="Times New Roman"/>
                <w:color w:val="auto"/>
              </w:rPr>
              <w:t>；罐组2围堰有效容积约为105m</w:t>
            </w:r>
            <w:r>
              <w:rPr>
                <w:rFonts w:ascii="Times New Roman" w:hAnsi="Times New Roman" w:cs="Times New Roman"/>
                <w:color w:val="auto"/>
                <w:vertAlign w:val="superscript"/>
              </w:rPr>
              <w:t>3</w:t>
            </w:r>
            <w:r>
              <w:rPr>
                <w:rFonts w:ascii="Times New Roman" w:hAnsi="Times New Roman" w:cs="Times New Roman"/>
                <w:color w:val="auto"/>
              </w:rPr>
              <w:t>（属于二期建设内容）</w:t>
            </w:r>
            <w:r>
              <w:rPr>
                <w:rFonts w:ascii="Times New Roman" w:hAnsi="Times New Roman" w:cs="Times New Roman"/>
                <w:snapToGrid w:val="0"/>
                <w:color w:val="auto"/>
              </w:rPr>
              <w:t xml:space="preserve"> </w:t>
            </w:r>
          </w:p>
        </w:tc>
        <w:tc>
          <w:tcPr>
            <w:tcW w:w="2472" w:type="dxa"/>
            <w:tcBorders>
              <w:tl2br w:val="nil"/>
              <w:tr2bl w:val="nil"/>
            </w:tcBorders>
            <w:vAlign w:val="center"/>
          </w:tcPr>
          <w:p>
            <w:pPr>
              <w:ind w:right="126" w:rightChars="60"/>
              <w:jc w:val="center"/>
              <w:rPr>
                <w:rFonts w:ascii="Times New Roman" w:hAnsi="Times New Roman" w:cs="Times New Roman"/>
                <w:color w:val="auto"/>
                <w:szCs w:val="21"/>
              </w:rPr>
            </w:pPr>
            <w:r>
              <w:rPr>
                <w:rFonts w:ascii="Times New Roman" w:hAnsi="Times New Roman" w:cs="Times New Roman"/>
                <w:snapToGrid w:val="0"/>
                <w:color w:val="auto"/>
              </w:rPr>
              <w:t>事故水池，</w:t>
            </w:r>
            <w:r>
              <w:rPr>
                <w:rFonts w:ascii="Times New Roman" w:hAnsi="Times New Roman" w:cs="Times New Roman"/>
                <w:color w:val="auto"/>
              </w:rPr>
              <w:t>占地面积</w:t>
            </w:r>
            <w:r>
              <w:rPr>
                <w:rFonts w:ascii="Times New Roman" w:hAnsi="Times New Roman" w:cs="Times New Roman"/>
                <w:snapToGrid w:val="0"/>
                <w:color w:val="auto"/>
              </w:rPr>
              <w:t>300</w:t>
            </w:r>
            <w:r>
              <w:rPr>
                <w:rFonts w:ascii="Times New Roman" w:hAnsi="Times New Roman" w:cs="Times New Roman"/>
                <w:color w:val="auto"/>
              </w:rPr>
              <w:t>m</w:t>
            </w:r>
            <w:r>
              <w:rPr>
                <w:rFonts w:ascii="Times New Roman" w:hAnsi="Times New Roman" w:cs="Times New Roman"/>
                <w:color w:val="auto"/>
                <w:vertAlign w:val="superscript"/>
              </w:rPr>
              <w:t>2</w:t>
            </w:r>
            <w:r>
              <w:rPr>
                <w:rFonts w:ascii="Times New Roman" w:hAnsi="Times New Roman" w:cs="Times New Roman"/>
                <w:color w:val="auto"/>
              </w:rPr>
              <w:t>；容积800m</w:t>
            </w:r>
            <w:r>
              <w:rPr>
                <w:rFonts w:ascii="Times New Roman" w:hAnsi="Times New Roman" w:cs="Times New Roman"/>
                <w:color w:val="auto"/>
                <w:vertAlign w:val="superscript"/>
              </w:rPr>
              <w:t>3</w:t>
            </w:r>
            <w:r>
              <w:rPr>
                <w:rFonts w:ascii="Times New Roman" w:hAnsi="Times New Roman" w:cs="Times New Roman"/>
                <w:color w:val="auto"/>
              </w:rPr>
              <w:t>；</w:t>
            </w:r>
            <w:r>
              <w:rPr>
                <w:rFonts w:ascii="Times New Roman" w:hAnsi="Times New Roman" w:cs="Times New Roman"/>
                <w:color w:val="auto"/>
                <w:vertAlign w:val="superscript"/>
              </w:rPr>
              <w:t xml:space="preserve"> </w:t>
            </w:r>
            <w:r>
              <w:rPr>
                <w:rFonts w:ascii="Times New Roman" w:hAnsi="Times New Roman" w:cs="Times New Roman"/>
                <w:color w:val="auto"/>
              </w:rPr>
              <w:t>罐组1围堰有效容积约587m</w:t>
            </w:r>
            <w:r>
              <w:rPr>
                <w:rFonts w:ascii="Times New Roman" w:hAnsi="Times New Roman" w:cs="Times New Roman"/>
                <w:color w:val="auto"/>
                <w:vertAlign w:val="superscript"/>
              </w:rPr>
              <w:t>3</w:t>
            </w:r>
            <w:r>
              <w:rPr>
                <w:rFonts w:ascii="Times New Roman" w:hAnsi="Times New Roman" w:cs="Times New Roman"/>
                <w:color w:val="auto"/>
              </w:rPr>
              <w:t>；罐组2围堰有效容积约为105m</w:t>
            </w:r>
            <w:r>
              <w:rPr>
                <w:rFonts w:ascii="Times New Roman" w:hAnsi="Times New Roman" w:cs="Times New Roman"/>
                <w:color w:val="auto"/>
                <w:vertAlign w:val="superscript"/>
              </w:rPr>
              <w:t>3</w:t>
            </w:r>
            <w:r>
              <w:rPr>
                <w:rFonts w:ascii="Times New Roman" w:hAnsi="Times New Roman" w:cs="Times New Roman"/>
                <w:color w:val="auto"/>
              </w:rPr>
              <w:t>（属于二期建设内容</w:t>
            </w:r>
            <w:r>
              <w:rPr>
                <w:rFonts w:hint="default" w:ascii="Times New Roman" w:hAnsi="Times New Roman" w:cs="Times New Roman"/>
                <w:color w:val="auto"/>
              </w:rPr>
              <w:t>，未建设，不在本次验收范围内</w:t>
            </w:r>
            <w:r>
              <w:rPr>
                <w:rFonts w:ascii="Times New Roman" w:hAnsi="Times New Roman" w:cs="Times New Roman"/>
                <w:color w:val="auto"/>
              </w:rPr>
              <w:t>）</w:t>
            </w:r>
          </w:p>
        </w:tc>
        <w:tc>
          <w:tcPr>
            <w:tcW w:w="1990" w:type="dxa"/>
            <w:tcBorders>
              <w:tl2br w:val="nil"/>
              <w:tr2bl w:val="nil"/>
            </w:tcBorders>
            <w:vAlign w:val="center"/>
          </w:tcPr>
          <w:p>
            <w:pPr>
              <w:tabs>
                <w:tab w:val="left" w:pos="1021"/>
              </w:tabs>
              <w:jc w:val="center"/>
              <w:rPr>
                <w:rFonts w:ascii="Times New Roman" w:hAnsi="Times New Roman" w:cs="Times New Roman"/>
                <w:color w:val="auto"/>
                <w:szCs w:val="21"/>
              </w:rPr>
            </w:pPr>
            <w:r>
              <w:rPr>
                <w:rFonts w:hint="default" w:ascii="Times New Roman" w:hAnsi="Times New Roman" w:eastAsia="宋体" w:cs="Times New Roman"/>
                <w:color w:val="auto"/>
                <w:spacing w:val="-4"/>
                <w:kern w:val="0"/>
                <w:szCs w:val="21"/>
              </w:rPr>
              <w:t>一致</w:t>
            </w:r>
          </w:p>
        </w:tc>
      </w:tr>
      <w:bookmarkEnd w:id="20"/>
    </w:tbl>
    <w:p>
      <w:pPr>
        <w:autoSpaceDE w:val="0"/>
        <w:autoSpaceDN w:val="0"/>
        <w:adjustRightInd w:val="0"/>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从</w:t>
      </w:r>
      <w:r>
        <w:rPr>
          <w:rFonts w:hint="default" w:ascii="Times New Roman" w:hAnsi="Times New Roman" w:cs="Times New Roman"/>
          <w:color w:val="auto"/>
          <w:sz w:val="24"/>
          <w:szCs w:val="24"/>
        </w:rPr>
        <w:t>上表可以看出：本项目实际建设内容及规模与环评审批建设内容及规模一致，未有重大变动。</w:t>
      </w:r>
    </w:p>
    <w:p>
      <w:pPr>
        <w:spacing w:line="360" w:lineRule="auto"/>
        <w:outlineLvl w:val="1"/>
        <w:rPr>
          <w:rFonts w:hint="default" w:ascii="Times New Roman" w:hAnsi="Times New Roman" w:cs="Times New Roman"/>
          <w:b/>
          <w:color w:val="auto"/>
          <w:sz w:val="30"/>
          <w:szCs w:val="30"/>
        </w:rPr>
      </w:pPr>
      <w:bookmarkStart w:id="21" w:name="_Toc5567"/>
      <w:r>
        <w:rPr>
          <w:rFonts w:hint="default" w:ascii="Times New Roman" w:hAnsi="Times New Roman" w:cs="Times New Roman"/>
          <w:b/>
          <w:color w:val="auto"/>
          <w:sz w:val="30"/>
          <w:szCs w:val="30"/>
        </w:rPr>
        <w:t>3.3主要生产设备</w:t>
      </w:r>
      <w:bookmarkEnd w:id="21"/>
    </w:p>
    <w:p>
      <w:pPr>
        <w:pStyle w:val="13"/>
        <w:autoSpaceDE w:val="0"/>
        <w:autoSpaceDN w:val="0"/>
        <w:adjustRightInd w:val="0"/>
        <w:spacing w:line="360" w:lineRule="auto"/>
        <w:ind w:firstLine="480" w:firstLineChars="200"/>
        <w:rPr>
          <w:rFonts w:hint="default" w:ascii="Times New Roman" w:hAnsi="Times New Roman" w:cs="Times New Roman" w:eastAsiaTheme="minorEastAsia"/>
          <w:b/>
          <w:color w:val="auto"/>
          <w:spacing w:val="10"/>
          <w:kern w:val="24"/>
          <w:sz w:val="24"/>
          <w:szCs w:val="24"/>
        </w:rPr>
      </w:pPr>
      <w:r>
        <w:rPr>
          <w:rFonts w:ascii="Times New Roman" w:hAnsi="Times New Roman" w:cs="Times New Roman"/>
          <w:color w:val="auto"/>
          <w:sz w:val="24"/>
          <w:szCs w:val="24"/>
        </w:rPr>
        <w:t>验收项目主要生产设备详见</w:t>
      </w:r>
      <w:r>
        <w:rPr>
          <w:rFonts w:hint="default" w:ascii="Times New Roman" w:hAnsi="Times New Roman" w:cs="Times New Roman"/>
          <w:color w:val="auto"/>
          <w:sz w:val="24"/>
          <w:szCs w:val="24"/>
        </w:rPr>
        <w:t>下</w:t>
      </w:r>
      <w:r>
        <w:rPr>
          <w:rFonts w:ascii="Times New Roman" w:hAnsi="Times New Roman" w:cs="Times New Roman"/>
          <w:color w:val="auto"/>
          <w:sz w:val="24"/>
          <w:szCs w:val="24"/>
        </w:rPr>
        <w:t>表</w:t>
      </w:r>
      <w:r>
        <w:rPr>
          <w:rFonts w:hint="default" w:ascii="Times New Roman" w:hAnsi="Times New Roman" w:cs="Times New Roman"/>
          <w:color w:val="auto"/>
          <w:sz w:val="24"/>
          <w:szCs w:val="24"/>
          <w:lang w:eastAsia="zh-CN"/>
        </w:rPr>
        <w:t>。</w:t>
      </w:r>
    </w:p>
    <w:p>
      <w:pPr>
        <w:adjustRightInd w:val="0"/>
        <w:snapToGrid w:val="0"/>
        <w:spacing w:line="271" w:lineRule="auto"/>
        <w:jc w:val="center"/>
        <w:rPr>
          <w:rFonts w:ascii="Times New Roman" w:hAnsi="Times New Roman" w:cs="Times New Roman"/>
          <w:b/>
          <w:snapToGrid w:val="0"/>
          <w:color w:val="auto"/>
        </w:rPr>
      </w:pPr>
      <w:r>
        <w:rPr>
          <w:rFonts w:ascii="Times New Roman" w:hAnsi="Times New Roman" w:cs="Times New Roman"/>
          <w:b/>
          <w:snapToGrid w:val="0"/>
          <w:color w:val="auto"/>
        </w:rPr>
        <w:t>表3.</w:t>
      </w:r>
      <w:r>
        <w:rPr>
          <w:rFonts w:hint="default" w:ascii="Times New Roman" w:hAnsi="Times New Roman" w:cs="Times New Roman"/>
          <w:b/>
          <w:snapToGrid w:val="0"/>
          <w:color w:val="auto"/>
          <w:lang w:val="en-US" w:eastAsia="zh-CN"/>
        </w:rPr>
        <w:t>3</w:t>
      </w:r>
      <w:r>
        <w:rPr>
          <w:rFonts w:ascii="Times New Roman" w:hAnsi="Times New Roman" w:cs="Times New Roman"/>
          <w:b/>
          <w:snapToGrid w:val="0"/>
          <w:color w:val="auto"/>
        </w:rPr>
        <w:t>-</w:t>
      </w:r>
      <w:r>
        <w:rPr>
          <w:rFonts w:hint="default" w:ascii="Times New Roman" w:hAnsi="Times New Roman" w:cs="Times New Roman"/>
          <w:b/>
          <w:snapToGrid w:val="0"/>
          <w:color w:val="auto"/>
          <w:lang w:val="en-US" w:eastAsia="zh-CN"/>
        </w:rPr>
        <w:t>1</w:t>
      </w:r>
      <w:r>
        <w:rPr>
          <w:rFonts w:ascii="Times New Roman" w:hAnsi="Times New Roman" w:cs="Times New Roman"/>
          <w:b/>
          <w:snapToGrid w:val="0"/>
          <w:color w:val="auto"/>
        </w:rPr>
        <w:t xml:space="preserve">   企业主要生产设备表</w:t>
      </w:r>
    </w:p>
    <w:tbl>
      <w:tblPr>
        <w:tblStyle w:val="28"/>
        <w:tblW w:w="8891"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32"/>
        <w:gridCol w:w="1511"/>
        <w:gridCol w:w="2003"/>
        <w:gridCol w:w="1999"/>
        <w:gridCol w:w="993"/>
        <w:gridCol w:w="788"/>
        <w:gridCol w:w="76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trPr>
        <w:tc>
          <w:tcPr>
            <w:tcW w:w="832" w:type="dxa"/>
            <w:vAlign w:val="center"/>
          </w:tcPr>
          <w:p>
            <w:pPr>
              <w:jc w:val="center"/>
              <w:rPr>
                <w:rFonts w:ascii="Times New Roman" w:hAnsi="Times New Roman" w:cs="Times New Roman"/>
                <w:color w:val="auto"/>
              </w:rPr>
            </w:pPr>
            <w:r>
              <w:rPr>
                <w:rFonts w:ascii="Times New Roman" w:hAnsi="Times New Roman" w:cs="Times New Roman"/>
                <w:color w:val="auto"/>
              </w:rPr>
              <w:t>序号</w:t>
            </w:r>
          </w:p>
        </w:tc>
        <w:tc>
          <w:tcPr>
            <w:tcW w:w="1511" w:type="dxa"/>
            <w:vAlign w:val="center"/>
          </w:tcPr>
          <w:p>
            <w:pPr>
              <w:jc w:val="center"/>
              <w:rPr>
                <w:rFonts w:ascii="Times New Roman" w:hAnsi="Times New Roman" w:cs="Times New Roman"/>
                <w:color w:val="auto"/>
              </w:rPr>
            </w:pPr>
            <w:r>
              <w:rPr>
                <w:rFonts w:ascii="Times New Roman" w:hAnsi="Times New Roman" w:cs="Times New Roman"/>
                <w:color w:val="auto"/>
              </w:rPr>
              <w:t>设备名称</w:t>
            </w:r>
          </w:p>
        </w:tc>
        <w:tc>
          <w:tcPr>
            <w:tcW w:w="2003" w:type="dxa"/>
            <w:vAlign w:val="center"/>
          </w:tcPr>
          <w:p>
            <w:pPr>
              <w:jc w:val="center"/>
              <w:rPr>
                <w:rFonts w:ascii="Times New Roman" w:hAnsi="Times New Roman" w:cs="Times New Roman"/>
                <w:color w:val="auto"/>
              </w:rPr>
            </w:pPr>
            <w:r>
              <w:rPr>
                <w:rFonts w:ascii="Times New Roman" w:hAnsi="Times New Roman" w:cs="Times New Roman"/>
                <w:color w:val="auto"/>
              </w:rPr>
              <w:t>技 术 规 格</w:t>
            </w:r>
          </w:p>
        </w:tc>
        <w:tc>
          <w:tcPr>
            <w:tcW w:w="1999" w:type="dxa"/>
            <w:vAlign w:val="center"/>
          </w:tcPr>
          <w:p>
            <w:pPr>
              <w:jc w:val="center"/>
              <w:rPr>
                <w:rFonts w:ascii="Times New Roman" w:hAnsi="Times New Roman" w:cs="Times New Roman"/>
                <w:color w:val="auto"/>
              </w:rPr>
            </w:pPr>
            <w:r>
              <w:rPr>
                <w:rFonts w:ascii="Times New Roman" w:hAnsi="Times New Roman" w:cs="Times New Roman"/>
                <w:color w:val="auto"/>
              </w:rPr>
              <w:t>材质</w:t>
            </w:r>
          </w:p>
        </w:tc>
        <w:tc>
          <w:tcPr>
            <w:tcW w:w="993" w:type="dxa"/>
          </w:tcPr>
          <w:p>
            <w:pPr>
              <w:widowControl/>
              <w:jc w:val="center"/>
              <w:rPr>
                <w:rFonts w:ascii="Times New Roman" w:hAnsi="Times New Roman" w:cs="Times New Roman"/>
                <w:color w:val="auto"/>
              </w:rPr>
            </w:pPr>
            <w:r>
              <w:rPr>
                <w:rFonts w:hint="default" w:ascii="Times New Roman" w:hAnsi="Times New Roman" w:cs="Times New Roman"/>
                <w:color w:val="auto"/>
                <w:szCs w:val="21"/>
              </w:rPr>
              <w:t>环评设计</w:t>
            </w:r>
            <w:r>
              <w:rPr>
                <w:rFonts w:ascii="Times New Roman" w:hAnsi="Times New Roman" w:cs="Times New Roman"/>
                <w:color w:val="auto"/>
                <w:szCs w:val="21"/>
              </w:rPr>
              <w:t>数量</w:t>
            </w:r>
          </w:p>
        </w:tc>
        <w:tc>
          <w:tcPr>
            <w:tcW w:w="788" w:type="dxa"/>
            <w:vAlign w:val="center"/>
          </w:tcPr>
          <w:p>
            <w:pPr>
              <w:widowControl/>
              <w:jc w:val="center"/>
              <w:rPr>
                <w:rFonts w:ascii="Times New Roman" w:hAnsi="Times New Roman" w:cs="Times New Roman"/>
                <w:color w:val="auto"/>
              </w:rPr>
            </w:pPr>
            <w:r>
              <w:rPr>
                <w:rFonts w:hint="default" w:ascii="Times New Roman" w:hAnsi="Times New Roman" w:cs="Times New Roman"/>
                <w:color w:val="auto"/>
                <w:szCs w:val="21"/>
              </w:rPr>
              <w:t>实际数量</w:t>
            </w:r>
          </w:p>
        </w:tc>
        <w:tc>
          <w:tcPr>
            <w:tcW w:w="765" w:type="dxa"/>
            <w:vAlign w:val="center"/>
          </w:tcPr>
          <w:p>
            <w:pPr>
              <w:jc w:val="center"/>
              <w:rPr>
                <w:rFonts w:ascii="Times New Roman" w:hAnsi="Times New Roman" w:cs="Times New Roman"/>
                <w:color w:val="auto"/>
              </w:rPr>
            </w:pPr>
            <w:r>
              <w:rPr>
                <w:rFonts w:ascii="Times New Roman" w:hAnsi="Times New Roman" w:cs="Times New Roman"/>
                <w:color w:val="auto"/>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trPr>
        <w:tc>
          <w:tcPr>
            <w:tcW w:w="8891" w:type="dxa"/>
            <w:gridSpan w:val="7"/>
            <w:vAlign w:val="center"/>
          </w:tcPr>
          <w:p>
            <w:pPr>
              <w:rPr>
                <w:rFonts w:ascii="Times New Roman" w:hAnsi="Times New Roman" w:cs="Times New Roman"/>
                <w:snapToGrid w:val="0"/>
                <w:color w:val="auto"/>
                <w:kern w:val="0"/>
              </w:rPr>
            </w:pPr>
            <w:r>
              <w:rPr>
                <w:rFonts w:ascii="Times New Roman" w:hAnsi="Times New Roman" w:cs="Times New Roman"/>
                <w:color w:val="auto"/>
              </w:rPr>
              <w:t>一、</w:t>
            </w:r>
            <w:r>
              <w:rPr>
                <w:rFonts w:ascii="Times New Roman" w:hAnsi="Times New Roman" w:cs="Times New Roman"/>
                <w:b/>
                <w:color w:val="auto"/>
                <w:kern w:val="0"/>
              </w:rPr>
              <w:t>DMP-30生产线</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trPr>
        <w:tc>
          <w:tcPr>
            <w:tcW w:w="832"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1</w:t>
            </w:r>
          </w:p>
        </w:tc>
        <w:tc>
          <w:tcPr>
            <w:tcW w:w="1511" w:type="dxa"/>
            <w:vAlign w:val="center"/>
          </w:tcPr>
          <w:p>
            <w:pPr>
              <w:rPr>
                <w:rFonts w:ascii="Times New Roman" w:hAnsi="Times New Roman" w:cs="Times New Roman"/>
                <w:color w:val="auto"/>
                <w:kern w:val="0"/>
              </w:rPr>
            </w:pPr>
            <w:r>
              <w:rPr>
                <w:rFonts w:ascii="Times New Roman" w:hAnsi="Times New Roman" w:cs="Times New Roman"/>
                <w:color w:val="auto"/>
                <w:kern w:val="0"/>
              </w:rPr>
              <w:t>反应釜</w:t>
            </w:r>
            <w:r>
              <w:rPr>
                <w:rFonts w:ascii="Times New Roman" w:hAnsi="Times New Roman" w:cs="Times New Roman"/>
                <w:color w:val="auto"/>
              </w:rPr>
              <w:t>（带搅拌）</w:t>
            </w:r>
          </w:p>
        </w:tc>
        <w:tc>
          <w:tcPr>
            <w:tcW w:w="200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V=22m³</w:t>
            </w:r>
          </w:p>
          <w:p>
            <w:pPr>
              <w:jc w:val="center"/>
              <w:rPr>
                <w:rFonts w:ascii="Times New Roman" w:hAnsi="Times New Roman" w:cs="Times New Roman"/>
                <w:color w:val="auto"/>
                <w:kern w:val="0"/>
              </w:rPr>
            </w:pPr>
            <w:r>
              <w:rPr>
                <w:rFonts w:ascii="Times New Roman" w:hAnsi="Times New Roman" w:cs="Times New Roman"/>
                <w:color w:val="auto"/>
                <w:kern w:val="0"/>
              </w:rPr>
              <w:t>转速：30转/分</w:t>
            </w:r>
          </w:p>
        </w:tc>
        <w:tc>
          <w:tcPr>
            <w:tcW w:w="1999"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S30408</w:t>
            </w:r>
          </w:p>
        </w:tc>
        <w:tc>
          <w:tcPr>
            <w:tcW w:w="99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1台</w:t>
            </w:r>
          </w:p>
        </w:tc>
        <w:tc>
          <w:tcPr>
            <w:tcW w:w="788"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1台</w:t>
            </w:r>
          </w:p>
        </w:tc>
        <w:tc>
          <w:tcPr>
            <w:tcW w:w="765" w:type="dxa"/>
            <w:vAlign w:val="center"/>
          </w:tcPr>
          <w:p>
            <w:pPr>
              <w:jc w:val="center"/>
              <w:rPr>
                <w:rFonts w:ascii="Times New Roman" w:hAnsi="Times New Roman" w:cs="Times New Roman"/>
                <w:color w:val="auto"/>
                <w:kern w:val="0"/>
              </w:rPr>
            </w:pPr>
            <w:r>
              <w:rPr>
                <w:rFonts w:hint="default" w:ascii="Times New Roman" w:hAnsi="Times New Roman" w:cs="Times New Roman"/>
                <w:color w:val="auto"/>
                <w:kern w:val="0"/>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trPr>
        <w:tc>
          <w:tcPr>
            <w:tcW w:w="832" w:type="dxa"/>
            <w:vMerge w:val="restart"/>
            <w:vAlign w:val="center"/>
          </w:tcPr>
          <w:p>
            <w:pPr>
              <w:jc w:val="center"/>
              <w:rPr>
                <w:rFonts w:ascii="Times New Roman" w:hAnsi="Times New Roman" w:cs="Times New Roman"/>
                <w:color w:val="auto"/>
                <w:kern w:val="0"/>
              </w:rPr>
            </w:pPr>
            <w:r>
              <w:rPr>
                <w:rFonts w:ascii="Times New Roman" w:hAnsi="Times New Roman" w:cs="Times New Roman"/>
                <w:color w:val="auto"/>
                <w:kern w:val="0"/>
              </w:rPr>
              <w:t>2</w:t>
            </w:r>
          </w:p>
        </w:tc>
        <w:tc>
          <w:tcPr>
            <w:tcW w:w="1511" w:type="dxa"/>
            <w:vAlign w:val="center"/>
          </w:tcPr>
          <w:p>
            <w:pPr>
              <w:rPr>
                <w:rFonts w:ascii="Times New Roman" w:hAnsi="Times New Roman" w:cs="Times New Roman"/>
                <w:color w:val="auto"/>
                <w:kern w:val="0"/>
              </w:rPr>
            </w:pPr>
            <w:r>
              <w:rPr>
                <w:rFonts w:ascii="Times New Roman" w:hAnsi="Times New Roman" w:cs="Times New Roman"/>
                <w:color w:val="auto"/>
                <w:kern w:val="0"/>
              </w:rPr>
              <w:t>回收釜</w:t>
            </w:r>
          </w:p>
        </w:tc>
        <w:tc>
          <w:tcPr>
            <w:tcW w:w="200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V=11m³</w:t>
            </w:r>
          </w:p>
        </w:tc>
        <w:tc>
          <w:tcPr>
            <w:tcW w:w="1999"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S30408</w:t>
            </w:r>
          </w:p>
        </w:tc>
        <w:tc>
          <w:tcPr>
            <w:tcW w:w="99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2台</w:t>
            </w:r>
          </w:p>
        </w:tc>
        <w:tc>
          <w:tcPr>
            <w:tcW w:w="788" w:type="dxa"/>
            <w:vAlign w:val="center"/>
          </w:tcPr>
          <w:p>
            <w:pPr>
              <w:jc w:val="center"/>
              <w:rPr>
                <w:rFonts w:ascii="Times New Roman" w:hAnsi="Times New Roman" w:cs="Times New Roman"/>
                <w:color w:val="auto"/>
                <w:kern w:val="0"/>
              </w:rPr>
            </w:pPr>
            <w:r>
              <w:rPr>
                <w:rFonts w:hint="default" w:ascii="Times New Roman" w:hAnsi="Times New Roman" w:cs="Times New Roman"/>
                <w:color w:val="auto"/>
                <w:kern w:val="0"/>
              </w:rPr>
              <w:t>0</w:t>
            </w:r>
          </w:p>
        </w:tc>
        <w:tc>
          <w:tcPr>
            <w:tcW w:w="765" w:type="dxa"/>
            <w:vMerge w:val="restart"/>
            <w:vAlign w:val="center"/>
          </w:tcPr>
          <w:p>
            <w:pPr>
              <w:jc w:val="center"/>
              <w:rPr>
                <w:rFonts w:ascii="Times New Roman" w:hAnsi="Times New Roman" w:cs="Times New Roman"/>
                <w:color w:val="auto"/>
                <w:kern w:val="0"/>
              </w:rPr>
            </w:pPr>
            <w:r>
              <w:rPr>
                <w:rFonts w:hint="default" w:ascii="Times New Roman" w:hAnsi="Times New Roman" w:cs="Times New Roman"/>
                <w:color w:val="auto"/>
                <w:kern w:val="0"/>
              </w:rPr>
              <w:t>回收釜变为蒸发釜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trPr>
        <w:tc>
          <w:tcPr>
            <w:tcW w:w="832" w:type="dxa"/>
            <w:vMerge w:val="continue"/>
            <w:vAlign w:val="center"/>
          </w:tcPr>
          <w:p>
            <w:pPr>
              <w:jc w:val="center"/>
              <w:rPr>
                <w:rFonts w:ascii="Times New Roman" w:hAnsi="Times New Roman" w:cs="Times New Roman"/>
                <w:color w:val="auto"/>
                <w:kern w:val="0"/>
              </w:rPr>
            </w:pPr>
          </w:p>
        </w:tc>
        <w:tc>
          <w:tcPr>
            <w:tcW w:w="1511" w:type="dxa"/>
            <w:vAlign w:val="center"/>
          </w:tcPr>
          <w:p>
            <w:pPr>
              <w:rPr>
                <w:rFonts w:ascii="Times New Roman" w:hAnsi="Times New Roman" w:cs="Times New Roman"/>
                <w:color w:val="auto"/>
                <w:kern w:val="0"/>
              </w:rPr>
            </w:pPr>
            <w:r>
              <w:rPr>
                <w:rFonts w:hint="default" w:ascii="Times New Roman" w:hAnsi="Times New Roman" w:cs="Times New Roman"/>
                <w:color w:val="auto"/>
                <w:kern w:val="0"/>
              </w:rPr>
              <w:t>蒸发釜</w:t>
            </w:r>
          </w:p>
        </w:tc>
        <w:tc>
          <w:tcPr>
            <w:tcW w:w="200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V=11m³</w:t>
            </w:r>
          </w:p>
        </w:tc>
        <w:tc>
          <w:tcPr>
            <w:tcW w:w="1999"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S30408</w:t>
            </w:r>
          </w:p>
        </w:tc>
        <w:tc>
          <w:tcPr>
            <w:tcW w:w="993" w:type="dxa"/>
            <w:vAlign w:val="center"/>
          </w:tcPr>
          <w:p>
            <w:pPr>
              <w:jc w:val="center"/>
              <w:rPr>
                <w:rFonts w:ascii="Times New Roman" w:hAnsi="Times New Roman" w:cs="Times New Roman"/>
                <w:color w:val="auto"/>
                <w:kern w:val="0"/>
              </w:rPr>
            </w:pPr>
            <w:r>
              <w:rPr>
                <w:rFonts w:hint="default" w:ascii="Times New Roman" w:hAnsi="Times New Roman" w:cs="Times New Roman"/>
                <w:color w:val="auto"/>
                <w:kern w:val="0"/>
              </w:rPr>
              <w:t>0</w:t>
            </w:r>
          </w:p>
        </w:tc>
        <w:tc>
          <w:tcPr>
            <w:tcW w:w="788"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2台</w:t>
            </w:r>
          </w:p>
        </w:tc>
        <w:tc>
          <w:tcPr>
            <w:tcW w:w="765" w:type="dxa"/>
            <w:vMerge w:val="continue"/>
            <w:vAlign w:val="center"/>
          </w:tcPr>
          <w:p>
            <w:pPr>
              <w:jc w:val="center"/>
              <w:rPr>
                <w:rFonts w:ascii="Times New Roman" w:hAnsi="Times New Roman" w:cs="Times New Roman"/>
                <w:color w:val="auto"/>
                <w:kern w:val="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trPr>
        <w:tc>
          <w:tcPr>
            <w:tcW w:w="832"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3</w:t>
            </w:r>
          </w:p>
        </w:tc>
        <w:tc>
          <w:tcPr>
            <w:tcW w:w="1511" w:type="dxa"/>
            <w:vAlign w:val="center"/>
          </w:tcPr>
          <w:p>
            <w:pPr>
              <w:rPr>
                <w:rFonts w:ascii="Times New Roman" w:hAnsi="Times New Roman" w:cs="Times New Roman"/>
                <w:color w:val="auto"/>
                <w:kern w:val="0"/>
              </w:rPr>
            </w:pPr>
            <w:r>
              <w:rPr>
                <w:rFonts w:ascii="Times New Roman" w:hAnsi="Times New Roman" w:cs="Times New Roman"/>
                <w:color w:val="auto"/>
                <w:kern w:val="0"/>
              </w:rPr>
              <w:t>反应釜冷却器</w:t>
            </w:r>
          </w:p>
        </w:tc>
        <w:tc>
          <w:tcPr>
            <w:tcW w:w="200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列管，F=184m</w:t>
            </w:r>
            <w:r>
              <w:rPr>
                <w:rFonts w:ascii="Times New Roman" w:hAnsi="Times New Roman" w:cs="Times New Roman"/>
                <w:color w:val="auto"/>
                <w:kern w:val="0"/>
                <w:vertAlign w:val="superscript"/>
              </w:rPr>
              <w:t>2</w:t>
            </w:r>
          </w:p>
        </w:tc>
        <w:tc>
          <w:tcPr>
            <w:tcW w:w="1999"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S30408/Q235B</w:t>
            </w:r>
          </w:p>
        </w:tc>
        <w:tc>
          <w:tcPr>
            <w:tcW w:w="99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2台</w:t>
            </w:r>
          </w:p>
        </w:tc>
        <w:tc>
          <w:tcPr>
            <w:tcW w:w="788"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2台</w:t>
            </w:r>
          </w:p>
        </w:tc>
        <w:tc>
          <w:tcPr>
            <w:tcW w:w="765" w:type="dxa"/>
            <w:vAlign w:val="center"/>
          </w:tcPr>
          <w:p>
            <w:pPr>
              <w:jc w:val="center"/>
              <w:rPr>
                <w:rFonts w:ascii="Times New Roman" w:hAnsi="Times New Roman" w:cs="Times New Roman"/>
                <w:color w:val="auto"/>
                <w:kern w:val="0"/>
              </w:rPr>
            </w:pPr>
            <w:r>
              <w:rPr>
                <w:rFonts w:hint="default" w:ascii="Times New Roman" w:hAnsi="Times New Roman" w:cs="Times New Roman"/>
                <w:color w:val="auto"/>
                <w:kern w:val="0"/>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trPr>
        <w:tc>
          <w:tcPr>
            <w:tcW w:w="832"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4</w:t>
            </w:r>
          </w:p>
        </w:tc>
        <w:tc>
          <w:tcPr>
            <w:tcW w:w="1511" w:type="dxa"/>
            <w:vAlign w:val="center"/>
          </w:tcPr>
          <w:p>
            <w:pPr>
              <w:rPr>
                <w:rFonts w:ascii="Times New Roman" w:hAnsi="Times New Roman" w:cs="Times New Roman"/>
                <w:color w:val="auto"/>
                <w:kern w:val="0"/>
              </w:rPr>
            </w:pPr>
            <w:r>
              <w:rPr>
                <w:rFonts w:ascii="Times New Roman" w:hAnsi="Times New Roman" w:cs="Times New Roman"/>
                <w:color w:val="auto"/>
              </w:rPr>
              <w:t>精馏塔冷却器</w:t>
            </w:r>
          </w:p>
        </w:tc>
        <w:tc>
          <w:tcPr>
            <w:tcW w:w="200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列管，F=40m</w:t>
            </w:r>
            <w:r>
              <w:rPr>
                <w:rFonts w:ascii="Times New Roman" w:hAnsi="Times New Roman" w:cs="Times New Roman"/>
                <w:color w:val="auto"/>
                <w:kern w:val="0"/>
                <w:vertAlign w:val="superscript"/>
              </w:rPr>
              <w:t>2</w:t>
            </w:r>
          </w:p>
        </w:tc>
        <w:tc>
          <w:tcPr>
            <w:tcW w:w="1999"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S30408/Q235B</w:t>
            </w:r>
          </w:p>
        </w:tc>
        <w:tc>
          <w:tcPr>
            <w:tcW w:w="99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2台</w:t>
            </w:r>
          </w:p>
        </w:tc>
        <w:tc>
          <w:tcPr>
            <w:tcW w:w="788"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2台</w:t>
            </w:r>
          </w:p>
        </w:tc>
        <w:tc>
          <w:tcPr>
            <w:tcW w:w="765" w:type="dxa"/>
            <w:vAlign w:val="center"/>
          </w:tcPr>
          <w:p>
            <w:pPr>
              <w:jc w:val="center"/>
              <w:rPr>
                <w:rFonts w:ascii="Times New Roman" w:hAnsi="Times New Roman" w:cs="Times New Roman"/>
                <w:color w:val="auto"/>
                <w:kern w:val="0"/>
              </w:rPr>
            </w:pPr>
            <w:r>
              <w:rPr>
                <w:rFonts w:hint="default" w:ascii="Times New Roman" w:hAnsi="Times New Roman" w:cs="Times New Roman"/>
                <w:color w:val="auto"/>
                <w:kern w:val="0"/>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trPr>
        <w:tc>
          <w:tcPr>
            <w:tcW w:w="832"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5</w:t>
            </w:r>
          </w:p>
        </w:tc>
        <w:tc>
          <w:tcPr>
            <w:tcW w:w="1511" w:type="dxa"/>
            <w:vAlign w:val="center"/>
          </w:tcPr>
          <w:p>
            <w:pPr>
              <w:rPr>
                <w:rFonts w:ascii="Times New Roman" w:hAnsi="Times New Roman" w:cs="Times New Roman"/>
                <w:color w:val="auto"/>
                <w:kern w:val="0"/>
              </w:rPr>
            </w:pPr>
            <w:r>
              <w:rPr>
                <w:rFonts w:ascii="Times New Roman" w:hAnsi="Times New Roman" w:cs="Times New Roman"/>
                <w:color w:val="auto"/>
                <w:kern w:val="0"/>
              </w:rPr>
              <w:t>回收釜换热器</w:t>
            </w:r>
          </w:p>
        </w:tc>
        <w:tc>
          <w:tcPr>
            <w:tcW w:w="200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列管，F=74m</w:t>
            </w:r>
            <w:r>
              <w:rPr>
                <w:rFonts w:ascii="Times New Roman" w:hAnsi="Times New Roman" w:cs="Times New Roman"/>
                <w:color w:val="auto"/>
                <w:kern w:val="0"/>
                <w:vertAlign w:val="superscript"/>
              </w:rPr>
              <w:t>2</w:t>
            </w:r>
          </w:p>
        </w:tc>
        <w:tc>
          <w:tcPr>
            <w:tcW w:w="1999"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S30408/Q235B</w:t>
            </w:r>
          </w:p>
        </w:tc>
        <w:tc>
          <w:tcPr>
            <w:tcW w:w="99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2台</w:t>
            </w:r>
          </w:p>
        </w:tc>
        <w:tc>
          <w:tcPr>
            <w:tcW w:w="788"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2台</w:t>
            </w:r>
          </w:p>
        </w:tc>
        <w:tc>
          <w:tcPr>
            <w:tcW w:w="765" w:type="dxa"/>
            <w:vAlign w:val="center"/>
          </w:tcPr>
          <w:p>
            <w:pPr>
              <w:jc w:val="center"/>
              <w:rPr>
                <w:rFonts w:ascii="Times New Roman" w:hAnsi="Times New Roman" w:cs="Times New Roman"/>
                <w:color w:val="auto"/>
                <w:kern w:val="0"/>
              </w:rPr>
            </w:pPr>
            <w:r>
              <w:rPr>
                <w:rFonts w:hint="default" w:ascii="Times New Roman" w:hAnsi="Times New Roman" w:cs="Times New Roman"/>
                <w:color w:val="auto"/>
                <w:kern w:val="0"/>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trPr>
        <w:tc>
          <w:tcPr>
            <w:tcW w:w="832"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6</w:t>
            </w:r>
          </w:p>
        </w:tc>
        <w:tc>
          <w:tcPr>
            <w:tcW w:w="1511" w:type="dxa"/>
            <w:vAlign w:val="center"/>
          </w:tcPr>
          <w:p>
            <w:pPr>
              <w:rPr>
                <w:rFonts w:ascii="Times New Roman" w:hAnsi="Times New Roman" w:cs="Times New Roman"/>
                <w:color w:val="auto"/>
                <w:kern w:val="0"/>
              </w:rPr>
            </w:pPr>
            <w:r>
              <w:rPr>
                <w:rFonts w:ascii="Times New Roman" w:hAnsi="Times New Roman" w:cs="Times New Roman"/>
                <w:color w:val="auto"/>
              </w:rPr>
              <w:t>二甲胺接受槽</w:t>
            </w:r>
          </w:p>
        </w:tc>
        <w:tc>
          <w:tcPr>
            <w:tcW w:w="200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V=5m³</w:t>
            </w:r>
          </w:p>
        </w:tc>
        <w:tc>
          <w:tcPr>
            <w:tcW w:w="1999"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S30408</w:t>
            </w:r>
          </w:p>
        </w:tc>
        <w:tc>
          <w:tcPr>
            <w:tcW w:w="99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2台</w:t>
            </w:r>
          </w:p>
        </w:tc>
        <w:tc>
          <w:tcPr>
            <w:tcW w:w="788"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2台</w:t>
            </w:r>
          </w:p>
        </w:tc>
        <w:tc>
          <w:tcPr>
            <w:tcW w:w="765" w:type="dxa"/>
            <w:vAlign w:val="center"/>
          </w:tcPr>
          <w:p>
            <w:pPr>
              <w:jc w:val="center"/>
              <w:rPr>
                <w:rFonts w:ascii="Times New Roman" w:hAnsi="Times New Roman" w:cs="Times New Roman"/>
                <w:color w:val="auto"/>
                <w:kern w:val="0"/>
              </w:rPr>
            </w:pPr>
            <w:r>
              <w:rPr>
                <w:rFonts w:hint="default" w:ascii="Times New Roman" w:hAnsi="Times New Roman" w:cs="Times New Roman"/>
                <w:color w:val="auto"/>
                <w:kern w:val="0"/>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trPr>
        <w:tc>
          <w:tcPr>
            <w:tcW w:w="832"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7</w:t>
            </w:r>
          </w:p>
        </w:tc>
        <w:tc>
          <w:tcPr>
            <w:tcW w:w="1511" w:type="dxa"/>
            <w:vAlign w:val="center"/>
          </w:tcPr>
          <w:p>
            <w:pPr>
              <w:rPr>
                <w:rFonts w:ascii="Times New Roman" w:hAnsi="Times New Roman" w:cs="Times New Roman"/>
                <w:color w:val="auto"/>
              </w:rPr>
            </w:pPr>
            <w:r>
              <w:rPr>
                <w:rFonts w:ascii="Times New Roman" w:hAnsi="Times New Roman" w:cs="Times New Roman"/>
                <w:color w:val="auto"/>
              </w:rPr>
              <w:t>废水接收罐</w:t>
            </w:r>
          </w:p>
        </w:tc>
        <w:tc>
          <w:tcPr>
            <w:tcW w:w="200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V=10m³</w:t>
            </w:r>
          </w:p>
        </w:tc>
        <w:tc>
          <w:tcPr>
            <w:tcW w:w="1999"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Q235B</w:t>
            </w:r>
          </w:p>
        </w:tc>
        <w:tc>
          <w:tcPr>
            <w:tcW w:w="99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2台</w:t>
            </w:r>
          </w:p>
        </w:tc>
        <w:tc>
          <w:tcPr>
            <w:tcW w:w="788"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2台</w:t>
            </w:r>
          </w:p>
        </w:tc>
        <w:tc>
          <w:tcPr>
            <w:tcW w:w="765" w:type="dxa"/>
            <w:vAlign w:val="center"/>
          </w:tcPr>
          <w:p>
            <w:pPr>
              <w:jc w:val="center"/>
              <w:rPr>
                <w:rFonts w:ascii="Times New Roman" w:hAnsi="Times New Roman" w:cs="Times New Roman"/>
                <w:color w:val="auto"/>
                <w:kern w:val="0"/>
              </w:rPr>
            </w:pPr>
            <w:r>
              <w:rPr>
                <w:rFonts w:hint="default" w:ascii="Times New Roman" w:hAnsi="Times New Roman" w:cs="Times New Roman"/>
                <w:color w:val="auto"/>
                <w:kern w:val="0"/>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trPr>
        <w:tc>
          <w:tcPr>
            <w:tcW w:w="832"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8</w:t>
            </w:r>
          </w:p>
        </w:tc>
        <w:tc>
          <w:tcPr>
            <w:tcW w:w="1511" w:type="dxa"/>
            <w:vAlign w:val="center"/>
          </w:tcPr>
          <w:p>
            <w:pPr>
              <w:rPr>
                <w:rFonts w:ascii="Times New Roman" w:hAnsi="Times New Roman" w:cs="Times New Roman"/>
                <w:color w:val="auto"/>
                <w:kern w:val="0"/>
              </w:rPr>
            </w:pPr>
            <w:r>
              <w:rPr>
                <w:rFonts w:ascii="Times New Roman" w:hAnsi="Times New Roman" w:cs="Times New Roman"/>
                <w:color w:val="auto"/>
                <w:kern w:val="0"/>
              </w:rPr>
              <w:t>循环泵</w:t>
            </w:r>
          </w:p>
        </w:tc>
        <w:tc>
          <w:tcPr>
            <w:tcW w:w="200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Q=20m³/h，H=30m</w:t>
            </w:r>
          </w:p>
        </w:tc>
        <w:tc>
          <w:tcPr>
            <w:tcW w:w="1999"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S30408</w:t>
            </w:r>
          </w:p>
        </w:tc>
        <w:tc>
          <w:tcPr>
            <w:tcW w:w="99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2台</w:t>
            </w:r>
          </w:p>
        </w:tc>
        <w:tc>
          <w:tcPr>
            <w:tcW w:w="788"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2台</w:t>
            </w:r>
          </w:p>
        </w:tc>
        <w:tc>
          <w:tcPr>
            <w:tcW w:w="765" w:type="dxa"/>
            <w:vAlign w:val="center"/>
          </w:tcPr>
          <w:p>
            <w:pPr>
              <w:jc w:val="center"/>
              <w:rPr>
                <w:rFonts w:ascii="Times New Roman" w:hAnsi="Times New Roman" w:cs="Times New Roman"/>
                <w:color w:val="auto"/>
                <w:kern w:val="0"/>
              </w:rPr>
            </w:pPr>
            <w:r>
              <w:rPr>
                <w:rFonts w:hint="default" w:ascii="Times New Roman" w:hAnsi="Times New Roman" w:cs="Times New Roman"/>
                <w:color w:val="auto"/>
                <w:kern w:val="0"/>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trPr>
        <w:tc>
          <w:tcPr>
            <w:tcW w:w="832"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9</w:t>
            </w:r>
          </w:p>
        </w:tc>
        <w:tc>
          <w:tcPr>
            <w:tcW w:w="1511" w:type="dxa"/>
            <w:vAlign w:val="center"/>
          </w:tcPr>
          <w:p>
            <w:pPr>
              <w:rPr>
                <w:rFonts w:ascii="Times New Roman" w:hAnsi="Times New Roman" w:cs="Times New Roman"/>
                <w:color w:val="auto"/>
                <w:kern w:val="0"/>
              </w:rPr>
            </w:pPr>
            <w:r>
              <w:rPr>
                <w:rFonts w:ascii="Times New Roman" w:hAnsi="Times New Roman" w:cs="Times New Roman"/>
                <w:color w:val="auto"/>
                <w:kern w:val="0"/>
              </w:rPr>
              <w:t>水环真空泵</w:t>
            </w:r>
          </w:p>
        </w:tc>
        <w:tc>
          <w:tcPr>
            <w:tcW w:w="200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360m</w:t>
            </w:r>
            <w:r>
              <w:rPr>
                <w:rFonts w:ascii="Times New Roman" w:hAnsi="Times New Roman" w:cs="Times New Roman"/>
                <w:color w:val="auto"/>
                <w:kern w:val="0"/>
                <w:vertAlign w:val="superscript"/>
              </w:rPr>
              <w:t>3</w:t>
            </w:r>
            <w:r>
              <w:rPr>
                <w:rFonts w:ascii="Times New Roman" w:hAnsi="Times New Roman" w:cs="Times New Roman"/>
                <w:color w:val="auto"/>
                <w:kern w:val="0"/>
              </w:rPr>
              <w:t>/h</w:t>
            </w:r>
          </w:p>
        </w:tc>
        <w:tc>
          <w:tcPr>
            <w:tcW w:w="1999"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PP</w:t>
            </w:r>
          </w:p>
        </w:tc>
        <w:tc>
          <w:tcPr>
            <w:tcW w:w="99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2台</w:t>
            </w:r>
          </w:p>
        </w:tc>
        <w:tc>
          <w:tcPr>
            <w:tcW w:w="788"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2台</w:t>
            </w:r>
          </w:p>
        </w:tc>
        <w:tc>
          <w:tcPr>
            <w:tcW w:w="765" w:type="dxa"/>
            <w:vAlign w:val="center"/>
          </w:tcPr>
          <w:p>
            <w:pPr>
              <w:jc w:val="center"/>
              <w:rPr>
                <w:rFonts w:ascii="Times New Roman" w:hAnsi="Times New Roman" w:cs="Times New Roman"/>
                <w:color w:val="auto"/>
                <w:kern w:val="0"/>
              </w:rPr>
            </w:pPr>
            <w:r>
              <w:rPr>
                <w:rFonts w:hint="default" w:ascii="Times New Roman" w:hAnsi="Times New Roman" w:cs="Times New Roman"/>
                <w:color w:val="auto"/>
                <w:kern w:val="0"/>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trPr>
        <w:tc>
          <w:tcPr>
            <w:tcW w:w="8891" w:type="dxa"/>
            <w:gridSpan w:val="7"/>
            <w:vAlign w:val="center"/>
          </w:tcPr>
          <w:p>
            <w:pPr>
              <w:rPr>
                <w:rFonts w:ascii="Times New Roman" w:hAnsi="Times New Roman" w:cs="Times New Roman"/>
                <w:color w:val="auto"/>
                <w:kern w:val="0"/>
              </w:rPr>
            </w:pPr>
            <w:r>
              <w:rPr>
                <w:rFonts w:ascii="Times New Roman" w:hAnsi="Times New Roman" w:cs="Times New Roman"/>
                <w:b/>
                <w:color w:val="auto"/>
                <w:kern w:val="0"/>
              </w:rPr>
              <w:t>二、PPA固化剂生产线</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trPr>
        <w:tc>
          <w:tcPr>
            <w:tcW w:w="832"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1</w:t>
            </w:r>
          </w:p>
        </w:tc>
        <w:tc>
          <w:tcPr>
            <w:tcW w:w="1511" w:type="dxa"/>
            <w:vAlign w:val="center"/>
          </w:tcPr>
          <w:p>
            <w:pPr>
              <w:rPr>
                <w:rFonts w:ascii="Times New Roman" w:hAnsi="Times New Roman" w:cs="Times New Roman"/>
                <w:color w:val="auto"/>
                <w:kern w:val="0"/>
              </w:rPr>
            </w:pPr>
            <w:r>
              <w:rPr>
                <w:rFonts w:ascii="Times New Roman" w:hAnsi="Times New Roman" w:cs="Times New Roman"/>
                <w:color w:val="auto"/>
              </w:rPr>
              <w:t>反应釜（带搅拌）</w:t>
            </w:r>
          </w:p>
        </w:tc>
        <w:tc>
          <w:tcPr>
            <w:tcW w:w="200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V=6.3m³</w:t>
            </w:r>
          </w:p>
          <w:p>
            <w:pPr>
              <w:jc w:val="center"/>
              <w:rPr>
                <w:rFonts w:ascii="Times New Roman" w:hAnsi="Times New Roman" w:cs="Times New Roman"/>
                <w:color w:val="auto"/>
                <w:kern w:val="0"/>
              </w:rPr>
            </w:pPr>
            <w:r>
              <w:rPr>
                <w:rFonts w:ascii="Times New Roman" w:hAnsi="Times New Roman" w:cs="Times New Roman"/>
                <w:color w:val="auto"/>
                <w:kern w:val="0"/>
              </w:rPr>
              <w:t>转速：63转/分</w:t>
            </w:r>
          </w:p>
        </w:tc>
        <w:tc>
          <w:tcPr>
            <w:tcW w:w="1999"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S30408</w:t>
            </w:r>
          </w:p>
        </w:tc>
        <w:tc>
          <w:tcPr>
            <w:tcW w:w="993" w:type="dxa"/>
            <w:vAlign w:val="center"/>
          </w:tcPr>
          <w:p>
            <w:pPr>
              <w:jc w:val="center"/>
              <w:rPr>
                <w:rFonts w:ascii="Times New Roman" w:hAnsi="Times New Roman" w:cs="Times New Roman"/>
                <w:color w:val="auto"/>
              </w:rPr>
            </w:pPr>
            <w:r>
              <w:rPr>
                <w:rFonts w:ascii="Times New Roman" w:hAnsi="Times New Roman" w:cs="Times New Roman"/>
                <w:color w:val="auto"/>
                <w:kern w:val="0"/>
              </w:rPr>
              <w:t>1台</w:t>
            </w:r>
          </w:p>
        </w:tc>
        <w:tc>
          <w:tcPr>
            <w:tcW w:w="788"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1台</w:t>
            </w:r>
          </w:p>
        </w:tc>
        <w:tc>
          <w:tcPr>
            <w:tcW w:w="765"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PPA-1</w:t>
            </w:r>
            <w:r>
              <w:rPr>
                <w:rFonts w:hint="default" w:ascii="Times New Roman" w:hAnsi="Times New Roman" w:cs="Times New Roman"/>
                <w:color w:val="auto"/>
                <w:kern w:val="0"/>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746" w:hRule="atLeast"/>
          <w:tblHeader/>
        </w:trPr>
        <w:tc>
          <w:tcPr>
            <w:tcW w:w="832"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2</w:t>
            </w:r>
          </w:p>
        </w:tc>
        <w:tc>
          <w:tcPr>
            <w:tcW w:w="1511" w:type="dxa"/>
            <w:vAlign w:val="center"/>
          </w:tcPr>
          <w:p>
            <w:pPr>
              <w:rPr>
                <w:rFonts w:ascii="Times New Roman" w:hAnsi="Times New Roman" w:cs="Times New Roman"/>
                <w:color w:val="auto"/>
              </w:rPr>
            </w:pPr>
            <w:r>
              <w:rPr>
                <w:rFonts w:ascii="Times New Roman" w:hAnsi="Times New Roman" w:cs="Times New Roman"/>
                <w:color w:val="auto"/>
              </w:rPr>
              <w:t>反应釜（带搅拌）</w:t>
            </w:r>
          </w:p>
        </w:tc>
        <w:tc>
          <w:tcPr>
            <w:tcW w:w="200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V=3m³</w:t>
            </w:r>
          </w:p>
          <w:p>
            <w:pPr>
              <w:jc w:val="center"/>
              <w:rPr>
                <w:rFonts w:ascii="Times New Roman" w:hAnsi="Times New Roman" w:cs="Times New Roman"/>
                <w:color w:val="auto"/>
                <w:kern w:val="0"/>
              </w:rPr>
            </w:pPr>
            <w:r>
              <w:rPr>
                <w:rFonts w:ascii="Times New Roman" w:hAnsi="Times New Roman" w:cs="Times New Roman"/>
                <w:color w:val="auto"/>
                <w:kern w:val="0"/>
              </w:rPr>
              <w:t>转速：63转/分</w:t>
            </w:r>
          </w:p>
        </w:tc>
        <w:tc>
          <w:tcPr>
            <w:tcW w:w="1999"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S30408</w:t>
            </w:r>
          </w:p>
        </w:tc>
        <w:tc>
          <w:tcPr>
            <w:tcW w:w="99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1台</w:t>
            </w:r>
          </w:p>
        </w:tc>
        <w:tc>
          <w:tcPr>
            <w:tcW w:w="788"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1台</w:t>
            </w:r>
          </w:p>
        </w:tc>
        <w:tc>
          <w:tcPr>
            <w:tcW w:w="765"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PPA-2</w:t>
            </w:r>
            <w:r>
              <w:rPr>
                <w:rFonts w:hint="default" w:ascii="Times New Roman" w:hAnsi="Times New Roman" w:cs="Times New Roman"/>
                <w:color w:val="auto"/>
                <w:kern w:val="0"/>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trPr>
        <w:tc>
          <w:tcPr>
            <w:tcW w:w="832"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3</w:t>
            </w:r>
          </w:p>
        </w:tc>
        <w:tc>
          <w:tcPr>
            <w:tcW w:w="1511" w:type="dxa"/>
            <w:vAlign w:val="center"/>
          </w:tcPr>
          <w:p>
            <w:pPr>
              <w:rPr>
                <w:rFonts w:ascii="Times New Roman" w:hAnsi="Times New Roman" w:cs="Times New Roman"/>
                <w:color w:val="auto"/>
                <w:kern w:val="0"/>
              </w:rPr>
            </w:pPr>
            <w:r>
              <w:rPr>
                <w:rFonts w:ascii="Times New Roman" w:hAnsi="Times New Roman" w:cs="Times New Roman"/>
                <w:color w:val="auto"/>
                <w:kern w:val="0"/>
              </w:rPr>
              <w:t>冷却器</w:t>
            </w:r>
          </w:p>
        </w:tc>
        <w:tc>
          <w:tcPr>
            <w:tcW w:w="200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列管，S=50m</w:t>
            </w:r>
            <w:r>
              <w:rPr>
                <w:rFonts w:ascii="Times New Roman" w:hAnsi="Times New Roman" w:cs="Times New Roman"/>
                <w:color w:val="auto"/>
                <w:kern w:val="0"/>
                <w:vertAlign w:val="superscript"/>
              </w:rPr>
              <w:t>2</w:t>
            </w:r>
          </w:p>
        </w:tc>
        <w:tc>
          <w:tcPr>
            <w:tcW w:w="1999"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S30408/Q235B</w:t>
            </w:r>
          </w:p>
        </w:tc>
        <w:tc>
          <w:tcPr>
            <w:tcW w:w="993" w:type="dxa"/>
            <w:vAlign w:val="center"/>
          </w:tcPr>
          <w:p>
            <w:pPr>
              <w:jc w:val="center"/>
              <w:rPr>
                <w:rFonts w:ascii="Times New Roman" w:hAnsi="Times New Roman" w:cs="Times New Roman"/>
                <w:color w:val="auto"/>
              </w:rPr>
            </w:pPr>
            <w:r>
              <w:rPr>
                <w:rFonts w:ascii="Times New Roman" w:hAnsi="Times New Roman" w:cs="Times New Roman"/>
                <w:color w:val="auto"/>
                <w:kern w:val="0"/>
              </w:rPr>
              <w:t>2台</w:t>
            </w:r>
          </w:p>
        </w:tc>
        <w:tc>
          <w:tcPr>
            <w:tcW w:w="788"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2台</w:t>
            </w:r>
          </w:p>
        </w:tc>
        <w:tc>
          <w:tcPr>
            <w:tcW w:w="765" w:type="dxa"/>
            <w:vAlign w:val="center"/>
          </w:tcPr>
          <w:p>
            <w:pPr>
              <w:jc w:val="center"/>
              <w:rPr>
                <w:rFonts w:ascii="Times New Roman" w:hAnsi="Times New Roman" w:cs="Times New Roman"/>
                <w:color w:val="auto"/>
                <w:kern w:val="0"/>
              </w:rPr>
            </w:pPr>
            <w:r>
              <w:rPr>
                <w:rFonts w:hint="default" w:ascii="Times New Roman" w:hAnsi="Times New Roman" w:cs="Times New Roman"/>
                <w:color w:val="auto"/>
                <w:kern w:val="0"/>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trPr>
        <w:tc>
          <w:tcPr>
            <w:tcW w:w="832" w:type="dxa"/>
            <w:vAlign w:val="center"/>
          </w:tcPr>
          <w:p>
            <w:pPr>
              <w:tabs>
                <w:tab w:val="left" w:pos="360"/>
              </w:tabs>
              <w:jc w:val="center"/>
              <w:rPr>
                <w:rFonts w:ascii="Times New Roman" w:hAnsi="Times New Roman" w:cs="Times New Roman"/>
                <w:color w:val="auto"/>
              </w:rPr>
            </w:pPr>
            <w:r>
              <w:rPr>
                <w:rFonts w:ascii="Times New Roman" w:hAnsi="Times New Roman" w:cs="Times New Roman"/>
                <w:color w:val="auto"/>
              </w:rPr>
              <w:t>4</w:t>
            </w:r>
          </w:p>
        </w:tc>
        <w:tc>
          <w:tcPr>
            <w:tcW w:w="1511" w:type="dxa"/>
            <w:vAlign w:val="center"/>
          </w:tcPr>
          <w:p>
            <w:pPr>
              <w:rPr>
                <w:rFonts w:ascii="Times New Roman" w:hAnsi="Times New Roman" w:cs="Times New Roman"/>
                <w:color w:val="auto"/>
                <w:kern w:val="0"/>
              </w:rPr>
            </w:pPr>
            <w:r>
              <w:rPr>
                <w:rFonts w:ascii="Times New Roman" w:hAnsi="Times New Roman" w:cs="Times New Roman"/>
                <w:color w:val="auto"/>
                <w:kern w:val="0"/>
              </w:rPr>
              <w:t>水环真空泵</w:t>
            </w:r>
          </w:p>
        </w:tc>
        <w:tc>
          <w:tcPr>
            <w:tcW w:w="200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360m</w:t>
            </w:r>
            <w:r>
              <w:rPr>
                <w:rFonts w:ascii="Times New Roman" w:hAnsi="Times New Roman" w:cs="Times New Roman"/>
                <w:color w:val="auto"/>
                <w:kern w:val="0"/>
                <w:vertAlign w:val="superscript"/>
              </w:rPr>
              <w:t>3</w:t>
            </w:r>
            <w:r>
              <w:rPr>
                <w:rFonts w:ascii="Times New Roman" w:hAnsi="Times New Roman" w:cs="Times New Roman"/>
                <w:color w:val="auto"/>
                <w:kern w:val="0"/>
              </w:rPr>
              <w:t>/h</w:t>
            </w:r>
          </w:p>
        </w:tc>
        <w:tc>
          <w:tcPr>
            <w:tcW w:w="1999"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PP</w:t>
            </w:r>
          </w:p>
        </w:tc>
        <w:tc>
          <w:tcPr>
            <w:tcW w:w="993" w:type="dxa"/>
            <w:vAlign w:val="center"/>
          </w:tcPr>
          <w:p>
            <w:pPr>
              <w:jc w:val="center"/>
              <w:rPr>
                <w:rFonts w:ascii="Times New Roman" w:hAnsi="Times New Roman" w:cs="Times New Roman"/>
                <w:color w:val="auto"/>
              </w:rPr>
            </w:pPr>
            <w:r>
              <w:rPr>
                <w:rFonts w:ascii="Times New Roman" w:hAnsi="Times New Roman" w:cs="Times New Roman"/>
                <w:snapToGrid w:val="0"/>
                <w:color w:val="auto"/>
                <w:kern w:val="0"/>
              </w:rPr>
              <w:t>2</w:t>
            </w:r>
            <w:r>
              <w:rPr>
                <w:rFonts w:ascii="Times New Roman" w:hAnsi="Times New Roman" w:cs="Times New Roman"/>
                <w:color w:val="auto"/>
                <w:kern w:val="0"/>
              </w:rPr>
              <w:t>台</w:t>
            </w:r>
          </w:p>
        </w:tc>
        <w:tc>
          <w:tcPr>
            <w:tcW w:w="788" w:type="dxa"/>
            <w:vAlign w:val="center"/>
          </w:tcPr>
          <w:p>
            <w:pPr>
              <w:jc w:val="center"/>
              <w:rPr>
                <w:rFonts w:ascii="Times New Roman" w:hAnsi="Times New Roman" w:cs="Times New Roman"/>
                <w:snapToGrid w:val="0"/>
                <w:color w:val="auto"/>
                <w:kern w:val="0"/>
              </w:rPr>
            </w:pPr>
            <w:r>
              <w:rPr>
                <w:rFonts w:ascii="Times New Roman" w:hAnsi="Times New Roman" w:cs="Times New Roman"/>
                <w:snapToGrid w:val="0"/>
                <w:color w:val="auto"/>
                <w:kern w:val="0"/>
              </w:rPr>
              <w:t>2</w:t>
            </w:r>
            <w:r>
              <w:rPr>
                <w:rFonts w:ascii="Times New Roman" w:hAnsi="Times New Roman" w:cs="Times New Roman"/>
                <w:color w:val="auto"/>
                <w:kern w:val="0"/>
              </w:rPr>
              <w:t>台</w:t>
            </w:r>
          </w:p>
        </w:tc>
        <w:tc>
          <w:tcPr>
            <w:tcW w:w="765" w:type="dxa"/>
          </w:tcPr>
          <w:p>
            <w:pPr>
              <w:jc w:val="center"/>
              <w:rPr>
                <w:rFonts w:ascii="Times New Roman" w:hAnsi="Times New Roman" w:cs="Times New Roman"/>
                <w:snapToGrid w:val="0"/>
                <w:color w:val="auto"/>
                <w:kern w:val="0"/>
              </w:rPr>
            </w:pPr>
            <w:r>
              <w:rPr>
                <w:rFonts w:hint="default" w:ascii="Times New Roman" w:hAnsi="Times New Roman" w:cs="Times New Roman"/>
                <w:color w:val="auto"/>
                <w:kern w:val="0"/>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trPr>
        <w:tc>
          <w:tcPr>
            <w:tcW w:w="832" w:type="dxa"/>
            <w:vAlign w:val="center"/>
          </w:tcPr>
          <w:p>
            <w:pPr>
              <w:tabs>
                <w:tab w:val="left" w:pos="360"/>
              </w:tabs>
              <w:jc w:val="center"/>
              <w:rPr>
                <w:rFonts w:ascii="Times New Roman" w:hAnsi="Times New Roman" w:cs="Times New Roman"/>
                <w:color w:val="auto"/>
              </w:rPr>
            </w:pPr>
            <w:r>
              <w:rPr>
                <w:rFonts w:ascii="Times New Roman" w:hAnsi="Times New Roman" w:cs="Times New Roman"/>
                <w:color w:val="auto"/>
              </w:rPr>
              <w:t>5</w:t>
            </w:r>
          </w:p>
        </w:tc>
        <w:tc>
          <w:tcPr>
            <w:tcW w:w="1511" w:type="dxa"/>
            <w:vAlign w:val="center"/>
          </w:tcPr>
          <w:p>
            <w:pPr>
              <w:rPr>
                <w:rFonts w:ascii="Times New Roman" w:hAnsi="Times New Roman" w:cs="Times New Roman"/>
                <w:color w:val="auto"/>
                <w:kern w:val="0"/>
              </w:rPr>
            </w:pPr>
            <w:r>
              <w:rPr>
                <w:rFonts w:ascii="Times New Roman" w:hAnsi="Times New Roman" w:cs="Times New Roman"/>
                <w:color w:val="auto"/>
                <w:kern w:val="0"/>
              </w:rPr>
              <w:t>多聚甲醛进料机</w:t>
            </w:r>
          </w:p>
        </w:tc>
        <w:tc>
          <w:tcPr>
            <w:tcW w:w="2003" w:type="dxa"/>
            <w:vAlign w:val="center"/>
          </w:tcPr>
          <w:p>
            <w:pPr>
              <w:jc w:val="center"/>
              <w:rPr>
                <w:rFonts w:ascii="Times New Roman" w:hAnsi="Times New Roman" w:cs="Times New Roman"/>
                <w:color w:val="auto"/>
                <w:kern w:val="0"/>
              </w:rPr>
            </w:pPr>
            <w:r>
              <w:rPr>
                <w:rFonts w:ascii="Times New Roman" w:hAnsi="Times New Roman" w:cs="Times New Roman"/>
                <w:color w:val="auto"/>
              </w:rPr>
              <w:t>含1m</w:t>
            </w:r>
            <w:r>
              <w:rPr>
                <w:rFonts w:ascii="Times New Roman" w:hAnsi="Times New Roman" w:cs="Times New Roman"/>
                <w:color w:val="auto"/>
                <w:vertAlign w:val="superscript"/>
              </w:rPr>
              <w:t>3</w:t>
            </w:r>
            <w:r>
              <w:rPr>
                <w:rFonts w:ascii="Times New Roman" w:hAnsi="Times New Roman" w:cs="Times New Roman"/>
                <w:color w:val="auto"/>
              </w:rPr>
              <w:t>料斗</w:t>
            </w:r>
          </w:p>
        </w:tc>
        <w:tc>
          <w:tcPr>
            <w:tcW w:w="1999"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S30408</w:t>
            </w:r>
          </w:p>
        </w:tc>
        <w:tc>
          <w:tcPr>
            <w:tcW w:w="993" w:type="dxa"/>
            <w:vAlign w:val="center"/>
          </w:tcPr>
          <w:p>
            <w:pPr>
              <w:jc w:val="center"/>
              <w:rPr>
                <w:rFonts w:ascii="Times New Roman" w:hAnsi="Times New Roman" w:cs="Times New Roman"/>
                <w:color w:val="auto"/>
              </w:rPr>
            </w:pPr>
            <w:r>
              <w:rPr>
                <w:rFonts w:ascii="Times New Roman" w:hAnsi="Times New Roman" w:cs="Times New Roman"/>
                <w:snapToGrid w:val="0"/>
                <w:color w:val="auto"/>
                <w:kern w:val="0"/>
              </w:rPr>
              <w:t>2</w:t>
            </w:r>
            <w:r>
              <w:rPr>
                <w:rFonts w:hint="default" w:ascii="Times New Roman" w:hAnsi="Times New Roman" w:cs="Times New Roman"/>
                <w:snapToGrid w:val="0"/>
                <w:color w:val="auto"/>
                <w:kern w:val="0"/>
              </w:rPr>
              <w:t>套</w:t>
            </w:r>
          </w:p>
        </w:tc>
        <w:tc>
          <w:tcPr>
            <w:tcW w:w="788" w:type="dxa"/>
            <w:vAlign w:val="center"/>
          </w:tcPr>
          <w:p>
            <w:pPr>
              <w:jc w:val="center"/>
              <w:rPr>
                <w:rFonts w:ascii="Times New Roman" w:hAnsi="Times New Roman" w:cs="Times New Roman"/>
                <w:snapToGrid w:val="0"/>
                <w:color w:val="auto"/>
                <w:kern w:val="0"/>
              </w:rPr>
            </w:pPr>
            <w:r>
              <w:rPr>
                <w:rFonts w:ascii="Times New Roman" w:hAnsi="Times New Roman" w:cs="Times New Roman"/>
                <w:snapToGrid w:val="0"/>
                <w:color w:val="auto"/>
                <w:kern w:val="0"/>
              </w:rPr>
              <w:t>2</w:t>
            </w:r>
            <w:r>
              <w:rPr>
                <w:rFonts w:hint="default" w:ascii="Times New Roman" w:hAnsi="Times New Roman" w:cs="Times New Roman"/>
                <w:snapToGrid w:val="0"/>
                <w:color w:val="auto"/>
                <w:kern w:val="0"/>
              </w:rPr>
              <w:t>套</w:t>
            </w:r>
          </w:p>
        </w:tc>
        <w:tc>
          <w:tcPr>
            <w:tcW w:w="765" w:type="dxa"/>
          </w:tcPr>
          <w:p>
            <w:pPr>
              <w:jc w:val="center"/>
              <w:rPr>
                <w:rFonts w:ascii="Times New Roman" w:hAnsi="Times New Roman" w:cs="Times New Roman"/>
                <w:snapToGrid w:val="0"/>
                <w:color w:val="auto"/>
                <w:kern w:val="0"/>
              </w:rPr>
            </w:pPr>
            <w:r>
              <w:rPr>
                <w:rFonts w:hint="default" w:ascii="Times New Roman" w:hAnsi="Times New Roman" w:cs="Times New Roman"/>
                <w:color w:val="auto"/>
                <w:kern w:val="0"/>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trPr>
        <w:tc>
          <w:tcPr>
            <w:tcW w:w="832" w:type="dxa"/>
            <w:vAlign w:val="center"/>
          </w:tcPr>
          <w:p>
            <w:pPr>
              <w:tabs>
                <w:tab w:val="left" w:pos="360"/>
              </w:tabs>
              <w:jc w:val="center"/>
              <w:rPr>
                <w:rFonts w:ascii="Times New Roman" w:hAnsi="Times New Roman" w:cs="Times New Roman"/>
                <w:color w:val="auto"/>
              </w:rPr>
            </w:pPr>
            <w:r>
              <w:rPr>
                <w:rFonts w:ascii="Times New Roman" w:hAnsi="Times New Roman" w:cs="Times New Roman"/>
                <w:color w:val="auto"/>
              </w:rPr>
              <w:t>6</w:t>
            </w:r>
          </w:p>
        </w:tc>
        <w:tc>
          <w:tcPr>
            <w:tcW w:w="1511" w:type="dxa"/>
            <w:vAlign w:val="center"/>
          </w:tcPr>
          <w:p>
            <w:pPr>
              <w:rPr>
                <w:rFonts w:ascii="Times New Roman" w:hAnsi="Times New Roman" w:cs="Times New Roman"/>
                <w:color w:val="auto"/>
                <w:kern w:val="0"/>
              </w:rPr>
            </w:pPr>
            <w:r>
              <w:rPr>
                <w:rFonts w:ascii="Times New Roman" w:hAnsi="Times New Roman" w:cs="Times New Roman"/>
                <w:color w:val="auto"/>
              </w:rPr>
              <w:t>高位槽</w:t>
            </w:r>
          </w:p>
        </w:tc>
        <w:tc>
          <w:tcPr>
            <w:tcW w:w="2003" w:type="dxa"/>
            <w:vAlign w:val="center"/>
          </w:tcPr>
          <w:p>
            <w:pPr>
              <w:jc w:val="center"/>
              <w:rPr>
                <w:rFonts w:ascii="Times New Roman" w:hAnsi="Times New Roman" w:cs="Times New Roman"/>
                <w:color w:val="auto"/>
              </w:rPr>
            </w:pPr>
            <w:r>
              <w:rPr>
                <w:rFonts w:ascii="Times New Roman" w:hAnsi="Times New Roman" w:cs="Times New Roman"/>
                <w:color w:val="auto"/>
                <w:kern w:val="0"/>
              </w:rPr>
              <w:t>V=3m³</w:t>
            </w:r>
          </w:p>
        </w:tc>
        <w:tc>
          <w:tcPr>
            <w:tcW w:w="1999"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S30408</w:t>
            </w:r>
          </w:p>
        </w:tc>
        <w:tc>
          <w:tcPr>
            <w:tcW w:w="993" w:type="dxa"/>
            <w:vAlign w:val="center"/>
          </w:tcPr>
          <w:p>
            <w:pPr>
              <w:jc w:val="center"/>
              <w:rPr>
                <w:rFonts w:ascii="Times New Roman" w:hAnsi="Times New Roman" w:cs="Times New Roman"/>
                <w:color w:val="auto"/>
              </w:rPr>
            </w:pPr>
            <w:r>
              <w:rPr>
                <w:rFonts w:ascii="Times New Roman" w:hAnsi="Times New Roman" w:cs="Times New Roman"/>
                <w:snapToGrid w:val="0"/>
                <w:color w:val="auto"/>
                <w:kern w:val="0"/>
              </w:rPr>
              <w:t>2</w:t>
            </w:r>
            <w:r>
              <w:rPr>
                <w:rFonts w:hint="default" w:ascii="Times New Roman" w:hAnsi="Times New Roman" w:cs="Times New Roman"/>
                <w:snapToGrid w:val="0"/>
                <w:color w:val="auto"/>
                <w:kern w:val="0"/>
              </w:rPr>
              <w:t>个</w:t>
            </w:r>
          </w:p>
        </w:tc>
        <w:tc>
          <w:tcPr>
            <w:tcW w:w="788" w:type="dxa"/>
            <w:vAlign w:val="center"/>
          </w:tcPr>
          <w:p>
            <w:pPr>
              <w:jc w:val="center"/>
              <w:rPr>
                <w:rFonts w:ascii="Times New Roman" w:hAnsi="Times New Roman" w:cs="Times New Roman"/>
                <w:snapToGrid w:val="0"/>
                <w:color w:val="auto"/>
                <w:kern w:val="0"/>
              </w:rPr>
            </w:pPr>
            <w:r>
              <w:rPr>
                <w:rFonts w:ascii="Times New Roman" w:hAnsi="Times New Roman" w:cs="Times New Roman"/>
                <w:snapToGrid w:val="0"/>
                <w:color w:val="auto"/>
                <w:kern w:val="0"/>
              </w:rPr>
              <w:t>2</w:t>
            </w:r>
            <w:r>
              <w:rPr>
                <w:rFonts w:hint="default" w:ascii="Times New Roman" w:hAnsi="Times New Roman" w:cs="Times New Roman"/>
                <w:snapToGrid w:val="0"/>
                <w:color w:val="auto"/>
                <w:kern w:val="0"/>
              </w:rPr>
              <w:t>个</w:t>
            </w:r>
          </w:p>
        </w:tc>
        <w:tc>
          <w:tcPr>
            <w:tcW w:w="765" w:type="dxa"/>
          </w:tcPr>
          <w:p>
            <w:pPr>
              <w:jc w:val="center"/>
              <w:rPr>
                <w:rFonts w:ascii="Times New Roman" w:hAnsi="Times New Roman" w:cs="Times New Roman"/>
                <w:snapToGrid w:val="0"/>
                <w:color w:val="auto"/>
                <w:kern w:val="0"/>
              </w:rPr>
            </w:pPr>
            <w:r>
              <w:rPr>
                <w:rFonts w:hint="default" w:ascii="Times New Roman" w:hAnsi="Times New Roman" w:cs="Times New Roman"/>
                <w:color w:val="auto"/>
                <w:kern w:val="0"/>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trPr>
        <w:tc>
          <w:tcPr>
            <w:tcW w:w="832" w:type="dxa"/>
            <w:vAlign w:val="center"/>
          </w:tcPr>
          <w:p>
            <w:pPr>
              <w:tabs>
                <w:tab w:val="left" w:pos="360"/>
              </w:tabs>
              <w:jc w:val="center"/>
              <w:rPr>
                <w:rFonts w:ascii="Times New Roman" w:hAnsi="Times New Roman" w:cs="Times New Roman"/>
                <w:color w:val="auto"/>
              </w:rPr>
            </w:pPr>
            <w:r>
              <w:rPr>
                <w:rFonts w:ascii="Times New Roman" w:hAnsi="Times New Roman" w:cs="Times New Roman"/>
                <w:color w:val="auto"/>
              </w:rPr>
              <w:t>7</w:t>
            </w:r>
          </w:p>
        </w:tc>
        <w:tc>
          <w:tcPr>
            <w:tcW w:w="1511" w:type="dxa"/>
            <w:vAlign w:val="center"/>
          </w:tcPr>
          <w:p>
            <w:pPr>
              <w:rPr>
                <w:rFonts w:ascii="Times New Roman" w:hAnsi="Times New Roman" w:cs="Times New Roman"/>
                <w:color w:val="auto"/>
              </w:rPr>
            </w:pPr>
            <w:r>
              <w:rPr>
                <w:rFonts w:ascii="Times New Roman" w:hAnsi="Times New Roman" w:cs="Times New Roman"/>
                <w:color w:val="auto"/>
              </w:rPr>
              <w:t>废水接收罐</w:t>
            </w:r>
          </w:p>
        </w:tc>
        <w:tc>
          <w:tcPr>
            <w:tcW w:w="200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V=2.95m³</w:t>
            </w:r>
          </w:p>
        </w:tc>
        <w:tc>
          <w:tcPr>
            <w:tcW w:w="1999"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S30408</w:t>
            </w:r>
          </w:p>
        </w:tc>
        <w:tc>
          <w:tcPr>
            <w:tcW w:w="993" w:type="dxa"/>
            <w:vAlign w:val="center"/>
          </w:tcPr>
          <w:p>
            <w:pPr>
              <w:jc w:val="center"/>
              <w:rPr>
                <w:rFonts w:ascii="Times New Roman" w:hAnsi="Times New Roman" w:cs="Times New Roman"/>
                <w:color w:val="auto"/>
                <w:kern w:val="0"/>
              </w:rPr>
            </w:pPr>
            <w:r>
              <w:rPr>
                <w:rFonts w:ascii="Times New Roman" w:hAnsi="Times New Roman" w:cs="Times New Roman"/>
                <w:snapToGrid w:val="0"/>
                <w:color w:val="auto"/>
                <w:kern w:val="0"/>
              </w:rPr>
              <w:t>1</w:t>
            </w:r>
            <w:r>
              <w:rPr>
                <w:rFonts w:hint="default" w:ascii="Times New Roman" w:hAnsi="Times New Roman" w:cs="Times New Roman"/>
                <w:snapToGrid w:val="0"/>
                <w:color w:val="auto"/>
                <w:kern w:val="0"/>
              </w:rPr>
              <w:t>个</w:t>
            </w:r>
          </w:p>
        </w:tc>
        <w:tc>
          <w:tcPr>
            <w:tcW w:w="788" w:type="dxa"/>
            <w:vAlign w:val="center"/>
          </w:tcPr>
          <w:p>
            <w:pPr>
              <w:jc w:val="center"/>
              <w:rPr>
                <w:rFonts w:ascii="Times New Roman" w:hAnsi="Times New Roman" w:cs="Times New Roman"/>
                <w:snapToGrid w:val="0"/>
                <w:color w:val="auto"/>
                <w:kern w:val="0"/>
              </w:rPr>
            </w:pPr>
            <w:r>
              <w:rPr>
                <w:rFonts w:ascii="Times New Roman" w:hAnsi="Times New Roman" w:cs="Times New Roman"/>
                <w:snapToGrid w:val="0"/>
                <w:color w:val="auto"/>
                <w:kern w:val="0"/>
              </w:rPr>
              <w:t>1</w:t>
            </w:r>
            <w:r>
              <w:rPr>
                <w:rFonts w:hint="default" w:ascii="Times New Roman" w:hAnsi="Times New Roman" w:cs="Times New Roman"/>
                <w:snapToGrid w:val="0"/>
                <w:color w:val="auto"/>
                <w:kern w:val="0"/>
              </w:rPr>
              <w:t>个</w:t>
            </w:r>
          </w:p>
        </w:tc>
        <w:tc>
          <w:tcPr>
            <w:tcW w:w="765" w:type="dxa"/>
          </w:tcPr>
          <w:p>
            <w:pPr>
              <w:jc w:val="center"/>
              <w:rPr>
                <w:rFonts w:ascii="Times New Roman" w:hAnsi="Times New Roman" w:cs="Times New Roman"/>
                <w:snapToGrid w:val="0"/>
                <w:color w:val="auto"/>
                <w:kern w:val="0"/>
              </w:rPr>
            </w:pPr>
            <w:r>
              <w:rPr>
                <w:rFonts w:ascii="Times New Roman" w:hAnsi="Times New Roman" w:cs="Times New Roman"/>
                <w:color w:val="auto"/>
                <w:kern w:val="0"/>
              </w:rPr>
              <w:t>PPA-2</w:t>
            </w:r>
            <w:r>
              <w:rPr>
                <w:rFonts w:hint="default" w:ascii="Times New Roman" w:hAnsi="Times New Roman" w:cs="Times New Roman"/>
                <w:color w:val="auto"/>
                <w:kern w:val="0"/>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trPr>
        <w:tc>
          <w:tcPr>
            <w:tcW w:w="8891" w:type="dxa"/>
            <w:gridSpan w:val="7"/>
            <w:vAlign w:val="center"/>
          </w:tcPr>
          <w:p>
            <w:pPr>
              <w:rPr>
                <w:rFonts w:ascii="Times New Roman" w:hAnsi="Times New Roman" w:cs="Times New Roman"/>
                <w:snapToGrid w:val="0"/>
                <w:color w:val="auto"/>
                <w:kern w:val="0"/>
              </w:rPr>
            </w:pPr>
            <w:r>
              <w:rPr>
                <w:rFonts w:ascii="Times New Roman" w:hAnsi="Times New Roman" w:cs="Times New Roman"/>
                <w:b/>
                <w:color w:val="auto"/>
                <w:kern w:val="0"/>
              </w:rPr>
              <w:t>三、改性胺固化剂生产线</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trPr>
        <w:tc>
          <w:tcPr>
            <w:tcW w:w="832" w:type="dxa"/>
            <w:vAlign w:val="center"/>
          </w:tcPr>
          <w:p>
            <w:pPr>
              <w:tabs>
                <w:tab w:val="left" w:pos="360"/>
              </w:tabs>
              <w:jc w:val="center"/>
              <w:rPr>
                <w:rFonts w:ascii="Times New Roman" w:hAnsi="Times New Roman" w:cs="Times New Roman"/>
                <w:color w:val="auto"/>
              </w:rPr>
            </w:pPr>
            <w:r>
              <w:rPr>
                <w:rFonts w:ascii="Times New Roman" w:hAnsi="Times New Roman" w:cs="Times New Roman"/>
                <w:color w:val="auto"/>
              </w:rPr>
              <w:t>1</w:t>
            </w:r>
          </w:p>
        </w:tc>
        <w:tc>
          <w:tcPr>
            <w:tcW w:w="1511" w:type="dxa"/>
            <w:vAlign w:val="center"/>
          </w:tcPr>
          <w:p>
            <w:pPr>
              <w:rPr>
                <w:rFonts w:ascii="Times New Roman" w:hAnsi="Times New Roman" w:cs="Times New Roman"/>
                <w:snapToGrid w:val="0"/>
                <w:color w:val="auto"/>
                <w:kern w:val="0"/>
              </w:rPr>
            </w:pPr>
            <w:r>
              <w:rPr>
                <w:rFonts w:ascii="Times New Roman" w:hAnsi="Times New Roman" w:cs="Times New Roman"/>
                <w:color w:val="auto"/>
              </w:rPr>
              <w:t>主反应釜</w:t>
            </w:r>
          </w:p>
        </w:tc>
        <w:tc>
          <w:tcPr>
            <w:tcW w:w="200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V=6m³</w:t>
            </w:r>
          </w:p>
          <w:p>
            <w:pPr>
              <w:jc w:val="center"/>
              <w:rPr>
                <w:rFonts w:ascii="Times New Roman" w:hAnsi="Times New Roman" w:cs="Times New Roman"/>
                <w:color w:val="auto"/>
                <w:kern w:val="0"/>
              </w:rPr>
            </w:pPr>
            <w:r>
              <w:rPr>
                <w:rFonts w:ascii="Times New Roman" w:hAnsi="Times New Roman" w:cs="Times New Roman"/>
                <w:color w:val="auto"/>
                <w:kern w:val="0"/>
              </w:rPr>
              <w:t>转速：63转/分</w:t>
            </w:r>
          </w:p>
        </w:tc>
        <w:tc>
          <w:tcPr>
            <w:tcW w:w="1999"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S30408</w:t>
            </w:r>
          </w:p>
        </w:tc>
        <w:tc>
          <w:tcPr>
            <w:tcW w:w="993" w:type="dxa"/>
            <w:vAlign w:val="center"/>
          </w:tcPr>
          <w:p>
            <w:pPr>
              <w:jc w:val="center"/>
              <w:rPr>
                <w:rFonts w:ascii="Times New Roman" w:hAnsi="Times New Roman" w:cs="Times New Roman"/>
                <w:color w:val="auto"/>
              </w:rPr>
            </w:pPr>
            <w:r>
              <w:rPr>
                <w:rFonts w:ascii="Times New Roman" w:hAnsi="Times New Roman" w:cs="Times New Roman"/>
                <w:snapToGrid w:val="0"/>
                <w:color w:val="auto"/>
                <w:kern w:val="0"/>
              </w:rPr>
              <w:t>1</w:t>
            </w:r>
            <w:r>
              <w:rPr>
                <w:rFonts w:ascii="Times New Roman" w:hAnsi="Times New Roman" w:cs="Times New Roman"/>
                <w:color w:val="auto"/>
                <w:kern w:val="0"/>
              </w:rPr>
              <w:t>台</w:t>
            </w:r>
          </w:p>
        </w:tc>
        <w:tc>
          <w:tcPr>
            <w:tcW w:w="788" w:type="dxa"/>
            <w:vAlign w:val="center"/>
          </w:tcPr>
          <w:p>
            <w:pPr>
              <w:jc w:val="center"/>
              <w:rPr>
                <w:rFonts w:ascii="Times New Roman" w:hAnsi="Times New Roman" w:cs="Times New Roman"/>
                <w:snapToGrid w:val="0"/>
                <w:color w:val="auto"/>
                <w:kern w:val="0"/>
              </w:rPr>
            </w:pPr>
            <w:r>
              <w:rPr>
                <w:rFonts w:ascii="Times New Roman" w:hAnsi="Times New Roman" w:cs="Times New Roman"/>
                <w:snapToGrid w:val="0"/>
                <w:color w:val="auto"/>
                <w:kern w:val="0"/>
              </w:rPr>
              <w:t>1</w:t>
            </w:r>
            <w:r>
              <w:rPr>
                <w:rFonts w:ascii="Times New Roman" w:hAnsi="Times New Roman" w:cs="Times New Roman"/>
                <w:color w:val="auto"/>
                <w:kern w:val="0"/>
              </w:rPr>
              <w:t>台</w:t>
            </w:r>
          </w:p>
        </w:tc>
        <w:tc>
          <w:tcPr>
            <w:tcW w:w="765" w:type="dxa"/>
          </w:tcPr>
          <w:p>
            <w:pPr>
              <w:jc w:val="center"/>
              <w:rPr>
                <w:rFonts w:ascii="Times New Roman" w:hAnsi="Times New Roman" w:cs="Times New Roman"/>
                <w:snapToGrid w:val="0"/>
                <w:color w:val="auto"/>
                <w:kern w:val="0"/>
              </w:rPr>
            </w:pPr>
            <w:r>
              <w:rPr>
                <w:rFonts w:ascii="Times New Roman" w:hAnsi="Times New Roman" w:cs="Times New Roman"/>
                <w:snapToGrid w:val="0"/>
                <w:color w:val="auto"/>
                <w:kern w:val="0"/>
              </w:rPr>
              <w:t>两种产品共用</w:t>
            </w:r>
            <w:r>
              <w:rPr>
                <w:rFonts w:hint="default" w:ascii="Times New Roman" w:hAnsi="Times New Roman" w:cs="Times New Roman"/>
                <w:snapToGrid w:val="0"/>
                <w:color w:val="auto"/>
                <w:kern w:val="0"/>
              </w:rPr>
              <w:t>，</w:t>
            </w:r>
            <w:r>
              <w:rPr>
                <w:rFonts w:hint="default" w:ascii="Times New Roman" w:hAnsi="Times New Roman" w:cs="Times New Roman"/>
                <w:color w:val="auto"/>
                <w:kern w:val="0"/>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trPr>
        <w:tc>
          <w:tcPr>
            <w:tcW w:w="832" w:type="dxa"/>
            <w:vAlign w:val="center"/>
          </w:tcPr>
          <w:p>
            <w:pPr>
              <w:tabs>
                <w:tab w:val="left" w:pos="360"/>
              </w:tabs>
              <w:jc w:val="center"/>
              <w:rPr>
                <w:rFonts w:ascii="Times New Roman" w:hAnsi="Times New Roman" w:cs="Times New Roman"/>
                <w:color w:val="auto"/>
              </w:rPr>
            </w:pPr>
            <w:r>
              <w:rPr>
                <w:rFonts w:ascii="Times New Roman" w:hAnsi="Times New Roman" w:cs="Times New Roman"/>
                <w:color w:val="auto"/>
              </w:rPr>
              <w:t>2</w:t>
            </w:r>
          </w:p>
        </w:tc>
        <w:tc>
          <w:tcPr>
            <w:tcW w:w="1511" w:type="dxa"/>
            <w:vAlign w:val="center"/>
          </w:tcPr>
          <w:p>
            <w:pPr>
              <w:rPr>
                <w:rFonts w:ascii="Times New Roman" w:hAnsi="Times New Roman" w:cs="Times New Roman"/>
                <w:color w:val="auto"/>
              </w:rPr>
            </w:pPr>
            <w:r>
              <w:rPr>
                <w:rFonts w:ascii="Times New Roman" w:hAnsi="Times New Roman" w:cs="Times New Roman"/>
                <w:color w:val="auto"/>
              </w:rPr>
              <w:t>混合釜</w:t>
            </w:r>
          </w:p>
        </w:tc>
        <w:tc>
          <w:tcPr>
            <w:tcW w:w="200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V=3m³</w:t>
            </w:r>
          </w:p>
          <w:p>
            <w:pPr>
              <w:jc w:val="center"/>
              <w:rPr>
                <w:rFonts w:ascii="Times New Roman" w:hAnsi="Times New Roman" w:cs="Times New Roman"/>
                <w:color w:val="auto"/>
                <w:kern w:val="0"/>
              </w:rPr>
            </w:pPr>
            <w:r>
              <w:rPr>
                <w:rFonts w:ascii="Times New Roman" w:hAnsi="Times New Roman" w:cs="Times New Roman"/>
                <w:color w:val="auto"/>
                <w:kern w:val="0"/>
              </w:rPr>
              <w:t>转速：63转/分</w:t>
            </w:r>
          </w:p>
        </w:tc>
        <w:tc>
          <w:tcPr>
            <w:tcW w:w="1999"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S30408</w:t>
            </w:r>
          </w:p>
        </w:tc>
        <w:tc>
          <w:tcPr>
            <w:tcW w:w="993" w:type="dxa"/>
            <w:vAlign w:val="center"/>
          </w:tcPr>
          <w:p>
            <w:pPr>
              <w:jc w:val="center"/>
              <w:rPr>
                <w:rFonts w:ascii="Times New Roman" w:hAnsi="Times New Roman" w:cs="Times New Roman"/>
                <w:color w:val="auto"/>
              </w:rPr>
            </w:pPr>
            <w:r>
              <w:rPr>
                <w:rFonts w:ascii="Times New Roman" w:hAnsi="Times New Roman" w:cs="Times New Roman"/>
                <w:snapToGrid w:val="0"/>
                <w:color w:val="auto"/>
                <w:kern w:val="0"/>
              </w:rPr>
              <w:t>1</w:t>
            </w:r>
            <w:r>
              <w:rPr>
                <w:rFonts w:ascii="Times New Roman" w:hAnsi="Times New Roman" w:cs="Times New Roman"/>
                <w:color w:val="auto"/>
                <w:kern w:val="0"/>
              </w:rPr>
              <w:t>台</w:t>
            </w:r>
          </w:p>
        </w:tc>
        <w:tc>
          <w:tcPr>
            <w:tcW w:w="788" w:type="dxa"/>
            <w:vAlign w:val="center"/>
          </w:tcPr>
          <w:p>
            <w:pPr>
              <w:jc w:val="center"/>
              <w:rPr>
                <w:rFonts w:ascii="Times New Roman" w:hAnsi="Times New Roman" w:cs="Times New Roman"/>
                <w:snapToGrid w:val="0"/>
                <w:color w:val="auto"/>
                <w:kern w:val="0"/>
              </w:rPr>
            </w:pPr>
            <w:r>
              <w:rPr>
                <w:rFonts w:ascii="Times New Roman" w:hAnsi="Times New Roman" w:cs="Times New Roman"/>
                <w:snapToGrid w:val="0"/>
                <w:color w:val="auto"/>
                <w:kern w:val="0"/>
              </w:rPr>
              <w:t>1</w:t>
            </w:r>
            <w:r>
              <w:rPr>
                <w:rFonts w:ascii="Times New Roman" w:hAnsi="Times New Roman" w:cs="Times New Roman"/>
                <w:color w:val="auto"/>
                <w:kern w:val="0"/>
              </w:rPr>
              <w:t>台</w:t>
            </w:r>
          </w:p>
        </w:tc>
        <w:tc>
          <w:tcPr>
            <w:tcW w:w="765" w:type="dxa"/>
            <w:vAlign w:val="center"/>
          </w:tcPr>
          <w:p>
            <w:pPr>
              <w:tabs>
                <w:tab w:val="left" w:pos="360"/>
              </w:tabs>
              <w:jc w:val="center"/>
              <w:rPr>
                <w:rFonts w:ascii="Times New Roman" w:hAnsi="Times New Roman" w:cs="Times New Roman"/>
                <w:color w:val="auto"/>
              </w:rPr>
            </w:pPr>
            <w:r>
              <w:rPr>
                <w:rFonts w:hint="default" w:ascii="Times New Roman" w:hAnsi="Times New Roman" w:cs="Times New Roman"/>
                <w:color w:val="auto"/>
                <w:kern w:val="0"/>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trPr>
        <w:tc>
          <w:tcPr>
            <w:tcW w:w="832" w:type="dxa"/>
            <w:vAlign w:val="center"/>
          </w:tcPr>
          <w:p>
            <w:pPr>
              <w:tabs>
                <w:tab w:val="left" w:pos="360"/>
              </w:tabs>
              <w:jc w:val="center"/>
              <w:rPr>
                <w:rFonts w:ascii="Times New Roman" w:hAnsi="Times New Roman" w:cs="Times New Roman"/>
                <w:color w:val="auto"/>
              </w:rPr>
            </w:pPr>
            <w:r>
              <w:rPr>
                <w:rFonts w:ascii="Times New Roman" w:hAnsi="Times New Roman" w:cs="Times New Roman"/>
                <w:color w:val="auto"/>
              </w:rPr>
              <w:t>3</w:t>
            </w:r>
          </w:p>
        </w:tc>
        <w:tc>
          <w:tcPr>
            <w:tcW w:w="1511" w:type="dxa"/>
            <w:vAlign w:val="center"/>
          </w:tcPr>
          <w:p>
            <w:pPr>
              <w:rPr>
                <w:rFonts w:ascii="Times New Roman" w:hAnsi="Times New Roman" w:cs="Times New Roman"/>
                <w:snapToGrid w:val="0"/>
                <w:color w:val="auto"/>
                <w:kern w:val="0"/>
              </w:rPr>
            </w:pPr>
            <w:r>
              <w:rPr>
                <w:rFonts w:ascii="Times New Roman" w:hAnsi="Times New Roman" w:cs="Times New Roman"/>
                <w:color w:val="auto"/>
              </w:rPr>
              <w:t>主反应釜</w:t>
            </w:r>
            <w:r>
              <w:rPr>
                <w:rFonts w:ascii="Times New Roman" w:hAnsi="Times New Roman" w:cs="Times New Roman"/>
                <w:color w:val="auto"/>
                <w:kern w:val="0"/>
              </w:rPr>
              <w:t>冷却器</w:t>
            </w:r>
          </w:p>
        </w:tc>
        <w:tc>
          <w:tcPr>
            <w:tcW w:w="200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列管，S=2m</w:t>
            </w:r>
            <w:r>
              <w:rPr>
                <w:rFonts w:ascii="Times New Roman" w:hAnsi="Times New Roman" w:cs="Times New Roman"/>
                <w:color w:val="auto"/>
                <w:kern w:val="0"/>
                <w:vertAlign w:val="superscript"/>
              </w:rPr>
              <w:t>2</w:t>
            </w:r>
          </w:p>
        </w:tc>
        <w:tc>
          <w:tcPr>
            <w:tcW w:w="1999"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S30408/Q235B</w:t>
            </w:r>
          </w:p>
        </w:tc>
        <w:tc>
          <w:tcPr>
            <w:tcW w:w="993" w:type="dxa"/>
            <w:vAlign w:val="center"/>
          </w:tcPr>
          <w:p>
            <w:pPr>
              <w:jc w:val="center"/>
              <w:rPr>
                <w:rFonts w:ascii="Times New Roman" w:hAnsi="Times New Roman" w:cs="Times New Roman"/>
                <w:color w:val="auto"/>
              </w:rPr>
            </w:pPr>
            <w:r>
              <w:rPr>
                <w:rFonts w:ascii="Times New Roman" w:hAnsi="Times New Roman" w:cs="Times New Roman"/>
                <w:snapToGrid w:val="0"/>
                <w:color w:val="auto"/>
                <w:kern w:val="0"/>
              </w:rPr>
              <w:t>1</w:t>
            </w:r>
            <w:r>
              <w:rPr>
                <w:rFonts w:ascii="Times New Roman" w:hAnsi="Times New Roman" w:cs="Times New Roman"/>
                <w:color w:val="auto"/>
                <w:kern w:val="0"/>
              </w:rPr>
              <w:t>台</w:t>
            </w:r>
          </w:p>
        </w:tc>
        <w:tc>
          <w:tcPr>
            <w:tcW w:w="788" w:type="dxa"/>
            <w:vAlign w:val="center"/>
          </w:tcPr>
          <w:p>
            <w:pPr>
              <w:jc w:val="center"/>
              <w:rPr>
                <w:rFonts w:ascii="Times New Roman" w:hAnsi="Times New Roman" w:cs="Times New Roman"/>
                <w:snapToGrid w:val="0"/>
                <w:color w:val="auto"/>
                <w:kern w:val="0"/>
              </w:rPr>
            </w:pPr>
            <w:r>
              <w:rPr>
                <w:rFonts w:ascii="Times New Roman" w:hAnsi="Times New Roman" w:cs="Times New Roman"/>
                <w:snapToGrid w:val="0"/>
                <w:color w:val="auto"/>
                <w:kern w:val="0"/>
              </w:rPr>
              <w:t>1</w:t>
            </w:r>
            <w:r>
              <w:rPr>
                <w:rFonts w:ascii="Times New Roman" w:hAnsi="Times New Roman" w:cs="Times New Roman"/>
                <w:color w:val="auto"/>
                <w:kern w:val="0"/>
              </w:rPr>
              <w:t>台</w:t>
            </w:r>
          </w:p>
        </w:tc>
        <w:tc>
          <w:tcPr>
            <w:tcW w:w="765" w:type="dxa"/>
            <w:vAlign w:val="center"/>
          </w:tcPr>
          <w:p>
            <w:pPr>
              <w:tabs>
                <w:tab w:val="left" w:pos="360"/>
              </w:tabs>
              <w:jc w:val="center"/>
              <w:rPr>
                <w:rFonts w:ascii="Times New Roman" w:hAnsi="Times New Roman" w:cs="Times New Roman"/>
                <w:color w:val="auto"/>
              </w:rPr>
            </w:pPr>
            <w:r>
              <w:rPr>
                <w:rFonts w:hint="default" w:ascii="Times New Roman" w:hAnsi="Times New Roman" w:cs="Times New Roman"/>
                <w:color w:val="auto"/>
                <w:kern w:val="0"/>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trPr>
        <w:tc>
          <w:tcPr>
            <w:tcW w:w="832" w:type="dxa"/>
            <w:vAlign w:val="center"/>
          </w:tcPr>
          <w:p>
            <w:pPr>
              <w:tabs>
                <w:tab w:val="left" w:pos="360"/>
              </w:tabs>
              <w:jc w:val="center"/>
              <w:rPr>
                <w:rFonts w:ascii="Times New Roman" w:hAnsi="Times New Roman" w:cs="Times New Roman"/>
                <w:color w:val="auto"/>
              </w:rPr>
            </w:pPr>
            <w:r>
              <w:rPr>
                <w:rFonts w:ascii="Times New Roman" w:hAnsi="Times New Roman" w:cs="Times New Roman"/>
                <w:color w:val="auto"/>
              </w:rPr>
              <w:t>4</w:t>
            </w:r>
          </w:p>
        </w:tc>
        <w:tc>
          <w:tcPr>
            <w:tcW w:w="1511" w:type="dxa"/>
            <w:vAlign w:val="center"/>
          </w:tcPr>
          <w:p>
            <w:pPr>
              <w:rPr>
                <w:rFonts w:ascii="Times New Roman" w:hAnsi="Times New Roman" w:cs="Times New Roman"/>
                <w:color w:val="auto"/>
              </w:rPr>
            </w:pPr>
            <w:r>
              <w:rPr>
                <w:rFonts w:ascii="Times New Roman" w:hAnsi="Times New Roman" w:cs="Times New Roman"/>
                <w:color w:val="auto"/>
              </w:rPr>
              <w:t>高位槽</w:t>
            </w:r>
          </w:p>
        </w:tc>
        <w:tc>
          <w:tcPr>
            <w:tcW w:w="200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V=1.5m³</w:t>
            </w:r>
          </w:p>
        </w:tc>
        <w:tc>
          <w:tcPr>
            <w:tcW w:w="1999"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S30408</w:t>
            </w:r>
          </w:p>
        </w:tc>
        <w:tc>
          <w:tcPr>
            <w:tcW w:w="993" w:type="dxa"/>
            <w:vAlign w:val="center"/>
          </w:tcPr>
          <w:p>
            <w:pPr>
              <w:jc w:val="center"/>
              <w:rPr>
                <w:rFonts w:ascii="Times New Roman" w:hAnsi="Times New Roman" w:cs="Times New Roman"/>
                <w:color w:val="auto"/>
                <w:kern w:val="0"/>
              </w:rPr>
            </w:pPr>
            <w:r>
              <w:rPr>
                <w:rFonts w:ascii="Times New Roman" w:hAnsi="Times New Roman" w:cs="Times New Roman"/>
                <w:snapToGrid w:val="0"/>
                <w:color w:val="auto"/>
                <w:kern w:val="0"/>
              </w:rPr>
              <w:t>4</w:t>
            </w:r>
            <w:r>
              <w:rPr>
                <w:rFonts w:hint="default" w:ascii="Times New Roman" w:hAnsi="Times New Roman" w:cs="Times New Roman"/>
                <w:snapToGrid w:val="0"/>
                <w:color w:val="auto"/>
                <w:kern w:val="0"/>
              </w:rPr>
              <w:t>个</w:t>
            </w:r>
          </w:p>
        </w:tc>
        <w:tc>
          <w:tcPr>
            <w:tcW w:w="788" w:type="dxa"/>
            <w:vAlign w:val="center"/>
          </w:tcPr>
          <w:p>
            <w:pPr>
              <w:jc w:val="center"/>
              <w:rPr>
                <w:rFonts w:ascii="Times New Roman" w:hAnsi="Times New Roman" w:cs="Times New Roman"/>
                <w:snapToGrid w:val="0"/>
                <w:color w:val="auto"/>
                <w:kern w:val="0"/>
              </w:rPr>
            </w:pPr>
            <w:r>
              <w:rPr>
                <w:rFonts w:ascii="Times New Roman" w:hAnsi="Times New Roman" w:cs="Times New Roman"/>
                <w:snapToGrid w:val="0"/>
                <w:color w:val="auto"/>
                <w:kern w:val="0"/>
              </w:rPr>
              <w:t>4</w:t>
            </w:r>
            <w:r>
              <w:rPr>
                <w:rFonts w:hint="default" w:ascii="Times New Roman" w:hAnsi="Times New Roman" w:cs="Times New Roman"/>
                <w:snapToGrid w:val="0"/>
                <w:color w:val="auto"/>
                <w:kern w:val="0"/>
              </w:rPr>
              <w:t>个</w:t>
            </w:r>
          </w:p>
        </w:tc>
        <w:tc>
          <w:tcPr>
            <w:tcW w:w="765" w:type="dxa"/>
            <w:vAlign w:val="center"/>
          </w:tcPr>
          <w:p>
            <w:pPr>
              <w:tabs>
                <w:tab w:val="left" w:pos="360"/>
              </w:tabs>
              <w:jc w:val="center"/>
              <w:rPr>
                <w:rFonts w:ascii="Times New Roman" w:hAnsi="Times New Roman" w:cs="Times New Roman"/>
                <w:color w:val="auto"/>
              </w:rPr>
            </w:pPr>
            <w:r>
              <w:rPr>
                <w:rFonts w:hint="default" w:ascii="Times New Roman" w:hAnsi="Times New Roman" w:cs="Times New Roman"/>
                <w:color w:val="auto"/>
                <w:kern w:val="0"/>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trPr>
        <w:tc>
          <w:tcPr>
            <w:tcW w:w="8891" w:type="dxa"/>
            <w:gridSpan w:val="7"/>
            <w:vAlign w:val="center"/>
          </w:tcPr>
          <w:p>
            <w:pPr>
              <w:tabs>
                <w:tab w:val="left" w:pos="360"/>
              </w:tabs>
              <w:rPr>
                <w:rFonts w:ascii="Times New Roman" w:hAnsi="Times New Roman" w:cs="Times New Roman"/>
                <w:color w:val="auto"/>
              </w:rPr>
            </w:pPr>
            <w:r>
              <w:rPr>
                <w:rFonts w:ascii="Times New Roman" w:hAnsi="Times New Roman" w:cs="Times New Roman"/>
                <w:b/>
                <w:color w:val="auto"/>
                <w:kern w:val="0"/>
              </w:rPr>
              <w:t>四、聚酰胺固化剂生产线</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trPr>
        <w:tc>
          <w:tcPr>
            <w:tcW w:w="832" w:type="dxa"/>
            <w:vAlign w:val="center"/>
          </w:tcPr>
          <w:p>
            <w:pPr>
              <w:tabs>
                <w:tab w:val="left" w:pos="360"/>
              </w:tabs>
              <w:jc w:val="center"/>
              <w:rPr>
                <w:rFonts w:ascii="Times New Roman" w:hAnsi="Times New Roman" w:cs="Times New Roman"/>
                <w:color w:val="auto"/>
              </w:rPr>
            </w:pPr>
            <w:r>
              <w:rPr>
                <w:rFonts w:ascii="Times New Roman" w:hAnsi="Times New Roman" w:cs="Times New Roman"/>
                <w:color w:val="auto"/>
              </w:rPr>
              <w:t>1</w:t>
            </w:r>
          </w:p>
        </w:tc>
        <w:tc>
          <w:tcPr>
            <w:tcW w:w="1511" w:type="dxa"/>
            <w:vAlign w:val="center"/>
          </w:tcPr>
          <w:p>
            <w:pPr>
              <w:rPr>
                <w:rFonts w:ascii="Times New Roman" w:hAnsi="Times New Roman" w:cs="Times New Roman"/>
                <w:color w:val="auto"/>
                <w:kern w:val="0"/>
              </w:rPr>
            </w:pPr>
            <w:r>
              <w:rPr>
                <w:rFonts w:ascii="Times New Roman" w:hAnsi="Times New Roman" w:cs="Times New Roman"/>
                <w:color w:val="auto"/>
              </w:rPr>
              <w:t>反应釜（带搅拌）</w:t>
            </w:r>
          </w:p>
        </w:tc>
        <w:tc>
          <w:tcPr>
            <w:tcW w:w="200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V=10m³</w:t>
            </w:r>
          </w:p>
          <w:p>
            <w:pPr>
              <w:jc w:val="center"/>
              <w:rPr>
                <w:rFonts w:ascii="Times New Roman" w:hAnsi="Times New Roman" w:cs="Times New Roman"/>
                <w:color w:val="auto"/>
                <w:kern w:val="0"/>
              </w:rPr>
            </w:pPr>
            <w:r>
              <w:rPr>
                <w:rFonts w:ascii="Times New Roman" w:hAnsi="Times New Roman" w:cs="Times New Roman"/>
                <w:color w:val="auto"/>
                <w:kern w:val="0"/>
              </w:rPr>
              <w:t>转速：63转/分</w:t>
            </w:r>
          </w:p>
        </w:tc>
        <w:tc>
          <w:tcPr>
            <w:tcW w:w="1999"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S30408（不锈钢）</w:t>
            </w:r>
          </w:p>
        </w:tc>
        <w:tc>
          <w:tcPr>
            <w:tcW w:w="993" w:type="dxa"/>
            <w:vAlign w:val="center"/>
          </w:tcPr>
          <w:p>
            <w:pPr>
              <w:jc w:val="center"/>
              <w:rPr>
                <w:rFonts w:ascii="Times New Roman" w:hAnsi="Times New Roman" w:cs="Times New Roman"/>
                <w:color w:val="auto"/>
              </w:rPr>
            </w:pPr>
            <w:r>
              <w:rPr>
                <w:rFonts w:ascii="Times New Roman" w:hAnsi="Times New Roman" w:cs="Times New Roman"/>
                <w:snapToGrid w:val="0"/>
                <w:color w:val="auto"/>
                <w:kern w:val="0"/>
              </w:rPr>
              <w:t>1</w:t>
            </w:r>
            <w:r>
              <w:rPr>
                <w:rFonts w:ascii="Times New Roman" w:hAnsi="Times New Roman" w:cs="Times New Roman"/>
                <w:color w:val="auto"/>
                <w:kern w:val="0"/>
              </w:rPr>
              <w:t>台</w:t>
            </w:r>
          </w:p>
        </w:tc>
        <w:tc>
          <w:tcPr>
            <w:tcW w:w="788" w:type="dxa"/>
            <w:vAlign w:val="center"/>
          </w:tcPr>
          <w:p>
            <w:pPr>
              <w:jc w:val="center"/>
              <w:rPr>
                <w:rFonts w:ascii="Times New Roman" w:hAnsi="Times New Roman" w:cs="Times New Roman"/>
                <w:snapToGrid w:val="0"/>
                <w:color w:val="auto"/>
                <w:kern w:val="0"/>
              </w:rPr>
            </w:pPr>
            <w:r>
              <w:rPr>
                <w:rFonts w:ascii="Times New Roman" w:hAnsi="Times New Roman" w:cs="Times New Roman"/>
                <w:snapToGrid w:val="0"/>
                <w:color w:val="auto"/>
                <w:kern w:val="0"/>
              </w:rPr>
              <w:t>1</w:t>
            </w:r>
            <w:r>
              <w:rPr>
                <w:rFonts w:ascii="Times New Roman" w:hAnsi="Times New Roman" w:cs="Times New Roman"/>
                <w:color w:val="auto"/>
                <w:kern w:val="0"/>
              </w:rPr>
              <w:t>台</w:t>
            </w:r>
          </w:p>
        </w:tc>
        <w:tc>
          <w:tcPr>
            <w:tcW w:w="765" w:type="dxa"/>
            <w:vAlign w:val="center"/>
          </w:tcPr>
          <w:p>
            <w:pPr>
              <w:tabs>
                <w:tab w:val="left" w:pos="360"/>
              </w:tabs>
              <w:jc w:val="center"/>
              <w:rPr>
                <w:rFonts w:ascii="Times New Roman" w:hAnsi="Times New Roman" w:cs="Times New Roman"/>
                <w:color w:val="auto"/>
              </w:rPr>
            </w:pPr>
            <w:r>
              <w:rPr>
                <w:rFonts w:hint="default" w:ascii="Times New Roman" w:hAnsi="Times New Roman" w:cs="Times New Roman"/>
                <w:color w:val="auto"/>
                <w:kern w:val="0"/>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trPr>
        <w:tc>
          <w:tcPr>
            <w:tcW w:w="832" w:type="dxa"/>
            <w:vAlign w:val="center"/>
          </w:tcPr>
          <w:p>
            <w:pPr>
              <w:tabs>
                <w:tab w:val="left" w:pos="360"/>
              </w:tabs>
              <w:jc w:val="center"/>
              <w:rPr>
                <w:rFonts w:ascii="Times New Roman" w:hAnsi="Times New Roman" w:cs="Times New Roman"/>
                <w:color w:val="auto"/>
              </w:rPr>
            </w:pPr>
            <w:r>
              <w:rPr>
                <w:rFonts w:ascii="Times New Roman" w:hAnsi="Times New Roman" w:cs="Times New Roman"/>
                <w:color w:val="auto"/>
              </w:rPr>
              <w:t>2</w:t>
            </w:r>
          </w:p>
        </w:tc>
        <w:tc>
          <w:tcPr>
            <w:tcW w:w="1511" w:type="dxa"/>
            <w:vAlign w:val="center"/>
          </w:tcPr>
          <w:p>
            <w:pPr>
              <w:rPr>
                <w:rFonts w:ascii="Times New Roman" w:hAnsi="Times New Roman" w:cs="Times New Roman"/>
                <w:color w:val="auto"/>
                <w:kern w:val="0"/>
              </w:rPr>
            </w:pPr>
            <w:r>
              <w:rPr>
                <w:rFonts w:ascii="Times New Roman" w:hAnsi="Times New Roman" w:cs="Times New Roman"/>
                <w:color w:val="auto"/>
              </w:rPr>
              <w:t>高位槽</w:t>
            </w:r>
          </w:p>
        </w:tc>
        <w:tc>
          <w:tcPr>
            <w:tcW w:w="200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V=1.5m³</w:t>
            </w:r>
          </w:p>
        </w:tc>
        <w:tc>
          <w:tcPr>
            <w:tcW w:w="1999"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S30408（不锈钢）</w:t>
            </w:r>
          </w:p>
        </w:tc>
        <w:tc>
          <w:tcPr>
            <w:tcW w:w="993" w:type="dxa"/>
            <w:vAlign w:val="center"/>
          </w:tcPr>
          <w:p>
            <w:pPr>
              <w:jc w:val="center"/>
              <w:rPr>
                <w:rFonts w:ascii="Times New Roman" w:hAnsi="Times New Roman" w:cs="Times New Roman"/>
                <w:color w:val="auto"/>
              </w:rPr>
            </w:pPr>
            <w:r>
              <w:rPr>
                <w:rFonts w:ascii="Times New Roman" w:hAnsi="Times New Roman" w:cs="Times New Roman"/>
                <w:snapToGrid w:val="0"/>
                <w:color w:val="auto"/>
                <w:kern w:val="0"/>
              </w:rPr>
              <w:t>1</w:t>
            </w:r>
            <w:r>
              <w:rPr>
                <w:rFonts w:hint="default" w:ascii="Times New Roman" w:hAnsi="Times New Roman" w:cs="Times New Roman"/>
                <w:snapToGrid w:val="0"/>
                <w:color w:val="auto"/>
                <w:kern w:val="0"/>
              </w:rPr>
              <w:t>个</w:t>
            </w:r>
          </w:p>
        </w:tc>
        <w:tc>
          <w:tcPr>
            <w:tcW w:w="788" w:type="dxa"/>
            <w:vAlign w:val="center"/>
          </w:tcPr>
          <w:p>
            <w:pPr>
              <w:jc w:val="center"/>
              <w:rPr>
                <w:rFonts w:ascii="Times New Roman" w:hAnsi="Times New Roman" w:cs="Times New Roman"/>
                <w:snapToGrid w:val="0"/>
                <w:color w:val="auto"/>
                <w:kern w:val="0"/>
              </w:rPr>
            </w:pPr>
            <w:r>
              <w:rPr>
                <w:rFonts w:ascii="Times New Roman" w:hAnsi="Times New Roman" w:cs="Times New Roman"/>
                <w:snapToGrid w:val="0"/>
                <w:color w:val="auto"/>
                <w:kern w:val="0"/>
              </w:rPr>
              <w:t>1</w:t>
            </w:r>
            <w:r>
              <w:rPr>
                <w:rFonts w:hint="default" w:ascii="Times New Roman" w:hAnsi="Times New Roman" w:cs="Times New Roman"/>
                <w:snapToGrid w:val="0"/>
                <w:color w:val="auto"/>
                <w:kern w:val="0"/>
              </w:rPr>
              <w:t>个</w:t>
            </w:r>
          </w:p>
        </w:tc>
        <w:tc>
          <w:tcPr>
            <w:tcW w:w="765" w:type="dxa"/>
            <w:vAlign w:val="center"/>
          </w:tcPr>
          <w:p>
            <w:pPr>
              <w:tabs>
                <w:tab w:val="left" w:pos="360"/>
              </w:tabs>
              <w:jc w:val="center"/>
              <w:rPr>
                <w:rFonts w:ascii="Times New Roman" w:hAnsi="Times New Roman" w:cs="Times New Roman"/>
                <w:color w:val="auto"/>
              </w:rPr>
            </w:pPr>
            <w:r>
              <w:rPr>
                <w:rFonts w:hint="default" w:ascii="Times New Roman" w:hAnsi="Times New Roman" w:cs="Times New Roman"/>
                <w:color w:val="auto"/>
                <w:kern w:val="0"/>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trPr>
        <w:tc>
          <w:tcPr>
            <w:tcW w:w="832" w:type="dxa"/>
            <w:vAlign w:val="center"/>
          </w:tcPr>
          <w:p>
            <w:pPr>
              <w:tabs>
                <w:tab w:val="left" w:pos="360"/>
              </w:tabs>
              <w:jc w:val="center"/>
              <w:rPr>
                <w:rFonts w:ascii="Times New Roman" w:hAnsi="Times New Roman" w:cs="Times New Roman"/>
                <w:color w:val="auto"/>
              </w:rPr>
            </w:pPr>
            <w:r>
              <w:rPr>
                <w:rFonts w:ascii="Times New Roman" w:hAnsi="Times New Roman" w:cs="Times New Roman"/>
                <w:color w:val="auto"/>
              </w:rPr>
              <w:t>3</w:t>
            </w:r>
          </w:p>
        </w:tc>
        <w:tc>
          <w:tcPr>
            <w:tcW w:w="1511" w:type="dxa"/>
            <w:vAlign w:val="center"/>
          </w:tcPr>
          <w:p>
            <w:pPr>
              <w:rPr>
                <w:rFonts w:ascii="Times New Roman" w:hAnsi="Times New Roman" w:cs="Times New Roman"/>
                <w:color w:val="auto"/>
                <w:kern w:val="0"/>
              </w:rPr>
            </w:pPr>
            <w:r>
              <w:rPr>
                <w:rFonts w:ascii="Times New Roman" w:hAnsi="Times New Roman" w:cs="Times New Roman"/>
                <w:color w:val="auto"/>
                <w:kern w:val="0"/>
              </w:rPr>
              <w:t>冷却器</w:t>
            </w:r>
          </w:p>
        </w:tc>
        <w:tc>
          <w:tcPr>
            <w:tcW w:w="200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列管，S=80m</w:t>
            </w:r>
            <w:r>
              <w:rPr>
                <w:rFonts w:ascii="Times New Roman" w:hAnsi="Times New Roman" w:cs="Times New Roman"/>
                <w:color w:val="auto"/>
                <w:kern w:val="0"/>
                <w:vertAlign w:val="superscript"/>
              </w:rPr>
              <w:t>2</w:t>
            </w:r>
          </w:p>
        </w:tc>
        <w:tc>
          <w:tcPr>
            <w:tcW w:w="1999"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S30408/Q235B（不锈钢）</w:t>
            </w:r>
          </w:p>
        </w:tc>
        <w:tc>
          <w:tcPr>
            <w:tcW w:w="993" w:type="dxa"/>
            <w:vAlign w:val="center"/>
          </w:tcPr>
          <w:p>
            <w:pPr>
              <w:jc w:val="center"/>
              <w:rPr>
                <w:rFonts w:ascii="Times New Roman" w:hAnsi="Times New Roman" w:cs="Times New Roman"/>
                <w:color w:val="auto"/>
              </w:rPr>
            </w:pPr>
            <w:r>
              <w:rPr>
                <w:rFonts w:ascii="Times New Roman" w:hAnsi="Times New Roman" w:cs="Times New Roman"/>
                <w:snapToGrid w:val="0"/>
                <w:color w:val="auto"/>
                <w:kern w:val="0"/>
              </w:rPr>
              <w:t>1</w:t>
            </w:r>
            <w:r>
              <w:rPr>
                <w:rFonts w:ascii="Times New Roman" w:hAnsi="Times New Roman" w:cs="Times New Roman"/>
                <w:color w:val="auto"/>
                <w:kern w:val="0"/>
              </w:rPr>
              <w:t>台</w:t>
            </w:r>
          </w:p>
        </w:tc>
        <w:tc>
          <w:tcPr>
            <w:tcW w:w="788" w:type="dxa"/>
            <w:vAlign w:val="center"/>
          </w:tcPr>
          <w:p>
            <w:pPr>
              <w:jc w:val="center"/>
              <w:rPr>
                <w:rFonts w:ascii="Times New Roman" w:hAnsi="Times New Roman" w:cs="Times New Roman"/>
                <w:snapToGrid w:val="0"/>
                <w:color w:val="auto"/>
                <w:kern w:val="0"/>
              </w:rPr>
            </w:pPr>
            <w:r>
              <w:rPr>
                <w:rFonts w:ascii="Times New Roman" w:hAnsi="Times New Roman" w:cs="Times New Roman"/>
                <w:snapToGrid w:val="0"/>
                <w:color w:val="auto"/>
                <w:kern w:val="0"/>
              </w:rPr>
              <w:t>1</w:t>
            </w:r>
            <w:r>
              <w:rPr>
                <w:rFonts w:ascii="Times New Roman" w:hAnsi="Times New Roman" w:cs="Times New Roman"/>
                <w:color w:val="auto"/>
                <w:kern w:val="0"/>
              </w:rPr>
              <w:t>台</w:t>
            </w:r>
          </w:p>
        </w:tc>
        <w:tc>
          <w:tcPr>
            <w:tcW w:w="765" w:type="dxa"/>
            <w:vAlign w:val="center"/>
          </w:tcPr>
          <w:p>
            <w:pPr>
              <w:jc w:val="center"/>
              <w:rPr>
                <w:rFonts w:ascii="Times New Roman" w:hAnsi="Times New Roman" w:cs="Times New Roman"/>
                <w:color w:val="auto"/>
              </w:rPr>
            </w:pPr>
            <w:r>
              <w:rPr>
                <w:rFonts w:hint="default" w:ascii="Times New Roman" w:hAnsi="Times New Roman" w:cs="Times New Roman"/>
                <w:color w:val="auto"/>
                <w:kern w:val="0"/>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trPr>
        <w:tc>
          <w:tcPr>
            <w:tcW w:w="832" w:type="dxa"/>
            <w:vAlign w:val="center"/>
          </w:tcPr>
          <w:p>
            <w:pPr>
              <w:tabs>
                <w:tab w:val="left" w:pos="360"/>
              </w:tabs>
              <w:jc w:val="center"/>
              <w:rPr>
                <w:rFonts w:ascii="Times New Roman" w:hAnsi="Times New Roman" w:cs="Times New Roman"/>
                <w:color w:val="auto"/>
              </w:rPr>
            </w:pPr>
            <w:r>
              <w:rPr>
                <w:rFonts w:ascii="Times New Roman" w:hAnsi="Times New Roman" w:cs="Times New Roman"/>
                <w:color w:val="auto"/>
              </w:rPr>
              <w:t>4</w:t>
            </w:r>
          </w:p>
        </w:tc>
        <w:tc>
          <w:tcPr>
            <w:tcW w:w="1511" w:type="dxa"/>
            <w:vAlign w:val="center"/>
          </w:tcPr>
          <w:p>
            <w:pPr>
              <w:rPr>
                <w:rFonts w:ascii="Times New Roman" w:hAnsi="Times New Roman" w:cs="Times New Roman"/>
                <w:color w:val="auto"/>
                <w:kern w:val="0"/>
              </w:rPr>
            </w:pPr>
            <w:r>
              <w:rPr>
                <w:rFonts w:ascii="Times New Roman" w:hAnsi="Times New Roman" w:cs="Times New Roman"/>
                <w:color w:val="auto"/>
                <w:kern w:val="0"/>
              </w:rPr>
              <w:t>水环真空泵</w:t>
            </w:r>
          </w:p>
        </w:tc>
        <w:tc>
          <w:tcPr>
            <w:tcW w:w="200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360m</w:t>
            </w:r>
            <w:r>
              <w:rPr>
                <w:rFonts w:ascii="Times New Roman" w:hAnsi="Times New Roman" w:cs="Times New Roman"/>
                <w:color w:val="auto"/>
                <w:kern w:val="0"/>
                <w:vertAlign w:val="superscript"/>
              </w:rPr>
              <w:t>3</w:t>
            </w:r>
            <w:r>
              <w:rPr>
                <w:rFonts w:ascii="Times New Roman" w:hAnsi="Times New Roman" w:cs="Times New Roman"/>
                <w:color w:val="auto"/>
                <w:kern w:val="0"/>
              </w:rPr>
              <w:t>/h</w:t>
            </w:r>
          </w:p>
        </w:tc>
        <w:tc>
          <w:tcPr>
            <w:tcW w:w="1999"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PP</w:t>
            </w:r>
          </w:p>
        </w:tc>
        <w:tc>
          <w:tcPr>
            <w:tcW w:w="993" w:type="dxa"/>
            <w:vAlign w:val="center"/>
          </w:tcPr>
          <w:p>
            <w:pPr>
              <w:jc w:val="center"/>
              <w:rPr>
                <w:rFonts w:ascii="Times New Roman" w:hAnsi="Times New Roman" w:cs="Times New Roman"/>
                <w:color w:val="auto"/>
              </w:rPr>
            </w:pPr>
            <w:r>
              <w:rPr>
                <w:rFonts w:ascii="Times New Roman" w:hAnsi="Times New Roman" w:cs="Times New Roman"/>
                <w:snapToGrid w:val="0"/>
                <w:color w:val="auto"/>
                <w:kern w:val="0"/>
              </w:rPr>
              <w:t>1</w:t>
            </w:r>
            <w:r>
              <w:rPr>
                <w:rFonts w:ascii="Times New Roman" w:hAnsi="Times New Roman" w:cs="Times New Roman"/>
                <w:color w:val="auto"/>
                <w:kern w:val="0"/>
              </w:rPr>
              <w:t>台</w:t>
            </w:r>
          </w:p>
        </w:tc>
        <w:tc>
          <w:tcPr>
            <w:tcW w:w="788" w:type="dxa"/>
            <w:vAlign w:val="center"/>
          </w:tcPr>
          <w:p>
            <w:pPr>
              <w:jc w:val="center"/>
              <w:rPr>
                <w:rFonts w:ascii="Times New Roman" w:hAnsi="Times New Roman" w:cs="Times New Roman"/>
                <w:snapToGrid w:val="0"/>
                <w:color w:val="auto"/>
                <w:kern w:val="0"/>
              </w:rPr>
            </w:pPr>
            <w:r>
              <w:rPr>
                <w:rFonts w:ascii="Times New Roman" w:hAnsi="Times New Roman" w:cs="Times New Roman"/>
                <w:snapToGrid w:val="0"/>
                <w:color w:val="auto"/>
                <w:kern w:val="0"/>
              </w:rPr>
              <w:t>1</w:t>
            </w:r>
            <w:r>
              <w:rPr>
                <w:rFonts w:ascii="Times New Roman" w:hAnsi="Times New Roman" w:cs="Times New Roman"/>
                <w:color w:val="auto"/>
                <w:kern w:val="0"/>
              </w:rPr>
              <w:t>台</w:t>
            </w:r>
          </w:p>
        </w:tc>
        <w:tc>
          <w:tcPr>
            <w:tcW w:w="765" w:type="dxa"/>
            <w:vAlign w:val="center"/>
          </w:tcPr>
          <w:p>
            <w:pPr>
              <w:jc w:val="center"/>
              <w:rPr>
                <w:rFonts w:ascii="Times New Roman" w:hAnsi="Times New Roman" w:cs="Times New Roman"/>
                <w:color w:val="auto"/>
              </w:rPr>
            </w:pPr>
            <w:r>
              <w:rPr>
                <w:rFonts w:hint="default" w:ascii="Times New Roman" w:hAnsi="Times New Roman" w:cs="Times New Roman"/>
                <w:color w:val="auto"/>
                <w:kern w:val="0"/>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trPr>
        <w:tc>
          <w:tcPr>
            <w:tcW w:w="8891" w:type="dxa"/>
            <w:gridSpan w:val="7"/>
            <w:vAlign w:val="center"/>
          </w:tcPr>
          <w:p>
            <w:pPr>
              <w:tabs>
                <w:tab w:val="left" w:pos="360"/>
              </w:tabs>
              <w:rPr>
                <w:rFonts w:ascii="Times New Roman" w:hAnsi="Times New Roman" w:cs="Times New Roman"/>
                <w:color w:val="auto"/>
              </w:rPr>
            </w:pPr>
            <w:r>
              <w:rPr>
                <w:rFonts w:ascii="Times New Roman" w:hAnsi="Times New Roman" w:cs="Times New Roman"/>
                <w:b/>
                <w:color w:val="auto"/>
                <w:kern w:val="0"/>
              </w:rPr>
              <w:t>五、罐区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trPr>
        <w:tc>
          <w:tcPr>
            <w:tcW w:w="832"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1</w:t>
            </w:r>
          </w:p>
        </w:tc>
        <w:tc>
          <w:tcPr>
            <w:tcW w:w="1511" w:type="dxa"/>
            <w:vAlign w:val="center"/>
          </w:tcPr>
          <w:p>
            <w:pPr>
              <w:rPr>
                <w:rFonts w:ascii="Times New Roman" w:hAnsi="Times New Roman" w:cs="Times New Roman"/>
                <w:color w:val="auto"/>
                <w:kern w:val="0"/>
              </w:rPr>
            </w:pPr>
            <w:r>
              <w:rPr>
                <w:rFonts w:ascii="Times New Roman" w:hAnsi="Times New Roman" w:cs="Times New Roman"/>
                <w:color w:val="auto"/>
              </w:rPr>
              <w:t>苯酚储罐</w:t>
            </w:r>
          </w:p>
        </w:tc>
        <w:tc>
          <w:tcPr>
            <w:tcW w:w="200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V=100m³</w:t>
            </w:r>
          </w:p>
        </w:tc>
        <w:tc>
          <w:tcPr>
            <w:tcW w:w="1999"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S30408（不锈钢）</w:t>
            </w:r>
          </w:p>
        </w:tc>
        <w:tc>
          <w:tcPr>
            <w:tcW w:w="99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1</w:t>
            </w:r>
            <w:r>
              <w:rPr>
                <w:rFonts w:hint="default" w:ascii="Times New Roman" w:hAnsi="Times New Roman" w:cs="Times New Roman"/>
                <w:color w:val="auto"/>
                <w:kern w:val="0"/>
              </w:rPr>
              <w:t>个</w:t>
            </w:r>
          </w:p>
        </w:tc>
        <w:tc>
          <w:tcPr>
            <w:tcW w:w="788"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1</w:t>
            </w:r>
            <w:r>
              <w:rPr>
                <w:rFonts w:hint="default" w:ascii="Times New Roman" w:hAnsi="Times New Roman" w:cs="Times New Roman"/>
                <w:color w:val="auto"/>
                <w:kern w:val="0"/>
              </w:rPr>
              <w:t>个</w:t>
            </w:r>
          </w:p>
        </w:tc>
        <w:tc>
          <w:tcPr>
            <w:tcW w:w="765" w:type="dxa"/>
            <w:vAlign w:val="center"/>
          </w:tcPr>
          <w:p>
            <w:pPr>
              <w:jc w:val="center"/>
              <w:rPr>
                <w:rFonts w:ascii="Times New Roman" w:hAnsi="Times New Roman" w:cs="Times New Roman"/>
                <w:color w:val="auto"/>
                <w:kern w:val="0"/>
              </w:rPr>
            </w:pPr>
            <w:r>
              <w:rPr>
                <w:rFonts w:hint="default" w:ascii="Times New Roman" w:hAnsi="Times New Roman" w:cs="Times New Roman"/>
                <w:color w:val="auto"/>
                <w:kern w:val="0"/>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trPr>
        <w:tc>
          <w:tcPr>
            <w:tcW w:w="832"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2</w:t>
            </w:r>
          </w:p>
        </w:tc>
        <w:tc>
          <w:tcPr>
            <w:tcW w:w="1511" w:type="dxa"/>
            <w:vAlign w:val="center"/>
          </w:tcPr>
          <w:p>
            <w:pPr>
              <w:rPr>
                <w:rFonts w:ascii="Times New Roman" w:hAnsi="Times New Roman" w:cs="Times New Roman"/>
                <w:color w:val="auto"/>
                <w:kern w:val="0"/>
              </w:rPr>
            </w:pPr>
            <w:r>
              <w:rPr>
                <w:rFonts w:ascii="Times New Roman" w:hAnsi="Times New Roman" w:cs="Times New Roman"/>
                <w:color w:val="auto"/>
                <w:kern w:val="0"/>
              </w:rPr>
              <w:t>37%甲醛储罐</w:t>
            </w:r>
          </w:p>
        </w:tc>
        <w:tc>
          <w:tcPr>
            <w:tcW w:w="200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V=100m³</w:t>
            </w:r>
          </w:p>
        </w:tc>
        <w:tc>
          <w:tcPr>
            <w:tcW w:w="1999"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S30408（不锈钢）</w:t>
            </w:r>
          </w:p>
        </w:tc>
        <w:tc>
          <w:tcPr>
            <w:tcW w:w="99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1</w:t>
            </w:r>
            <w:r>
              <w:rPr>
                <w:rFonts w:hint="default" w:ascii="Times New Roman" w:hAnsi="Times New Roman" w:cs="Times New Roman"/>
                <w:color w:val="auto"/>
                <w:kern w:val="0"/>
              </w:rPr>
              <w:t>个</w:t>
            </w:r>
          </w:p>
        </w:tc>
        <w:tc>
          <w:tcPr>
            <w:tcW w:w="788"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1</w:t>
            </w:r>
            <w:r>
              <w:rPr>
                <w:rFonts w:hint="default" w:ascii="Times New Roman" w:hAnsi="Times New Roman" w:cs="Times New Roman"/>
                <w:color w:val="auto"/>
                <w:kern w:val="0"/>
              </w:rPr>
              <w:t>个</w:t>
            </w:r>
          </w:p>
        </w:tc>
        <w:tc>
          <w:tcPr>
            <w:tcW w:w="765" w:type="dxa"/>
            <w:vAlign w:val="center"/>
          </w:tcPr>
          <w:p>
            <w:pPr>
              <w:jc w:val="center"/>
              <w:rPr>
                <w:rFonts w:ascii="Times New Roman" w:hAnsi="Times New Roman" w:cs="Times New Roman"/>
                <w:color w:val="auto"/>
                <w:kern w:val="0"/>
              </w:rPr>
            </w:pPr>
            <w:r>
              <w:rPr>
                <w:rFonts w:hint="default" w:ascii="Times New Roman" w:hAnsi="Times New Roman" w:cs="Times New Roman"/>
                <w:color w:val="auto"/>
                <w:kern w:val="0"/>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trPr>
        <w:tc>
          <w:tcPr>
            <w:tcW w:w="832"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3</w:t>
            </w:r>
          </w:p>
        </w:tc>
        <w:tc>
          <w:tcPr>
            <w:tcW w:w="1511" w:type="dxa"/>
            <w:vAlign w:val="center"/>
          </w:tcPr>
          <w:p>
            <w:pPr>
              <w:rPr>
                <w:rFonts w:ascii="Times New Roman" w:hAnsi="Times New Roman" w:cs="Times New Roman"/>
                <w:color w:val="auto"/>
                <w:kern w:val="0"/>
              </w:rPr>
            </w:pPr>
            <w:r>
              <w:rPr>
                <w:rFonts w:ascii="Times New Roman" w:hAnsi="Times New Roman" w:cs="Times New Roman"/>
                <w:color w:val="auto"/>
                <w:kern w:val="0"/>
              </w:rPr>
              <w:t>乙二胺储罐</w:t>
            </w:r>
          </w:p>
        </w:tc>
        <w:tc>
          <w:tcPr>
            <w:tcW w:w="200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V=100m³</w:t>
            </w:r>
          </w:p>
        </w:tc>
        <w:tc>
          <w:tcPr>
            <w:tcW w:w="1999"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S30408（不锈钢）</w:t>
            </w:r>
          </w:p>
        </w:tc>
        <w:tc>
          <w:tcPr>
            <w:tcW w:w="99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1</w:t>
            </w:r>
            <w:r>
              <w:rPr>
                <w:rFonts w:hint="default" w:ascii="Times New Roman" w:hAnsi="Times New Roman" w:cs="Times New Roman"/>
                <w:color w:val="auto"/>
                <w:kern w:val="0"/>
              </w:rPr>
              <w:t>个</w:t>
            </w:r>
          </w:p>
        </w:tc>
        <w:tc>
          <w:tcPr>
            <w:tcW w:w="788"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1</w:t>
            </w:r>
            <w:r>
              <w:rPr>
                <w:rFonts w:hint="default" w:ascii="Times New Roman" w:hAnsi="Times New Roman" w:cs="Times New Roman"/>
                <w:color w:val="auto"/>
                <w:kern w:val="0"/>
              </w:rPr>
              <w:t>个</w:t>
            </w:r>
          </w:p>
        </w:tc>
        <w:tc>
          <w:tcPr>
            <w:tcW w:w="765" w:type="dxa"/>
            <w:vAlign w:val="center"/>
          </w:tcPr>
          <w:p>
            <w:pPr>
              <w:jc w:val="center"/>
              <w:rPr>
                <w:rFonts w:ascii="Times New Roman" w:hAnsi="Times New Roman" w:cs="Times New Roman"/>
                <w:color w:val="auto"/>
                <w:kern w:val="0"/>
              </w:rPr>
            </w:pPr>
            <w:r>
              <w:rPr>
                <w:rFonts w:hint="default" w:ascii="Times New Roman" w:hAnsi="Times New Roman" w:cs="Times New Roman"/>
                <w:color w:val="auto"/>
                <w:kern w:val="0"/>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trPr>
        <w:tc>
          <w:tcPr>
            <w:tcW w:w="832"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4</w:t>
            </w:r>
          </w:p>
        </w:tc>
        <w:tc>
          <w:tcPr>
            <w:tcW w:w="1511" w:type="dxa"/>
            <w:vAlign w:val="center"/>
          </w:tcPr>
          <w:p>
            <w:pPr>
              <w:rPr>
                <w:rFonts w:ascii="Times New Roman" w:hAnsi="Times New Roman" w:cs="Times New Roman"/>
                <w:color w:val="auto"/>
                <w:kern w:val="0"/>
              </w:rPr>
            </w:pPr>
            <w:r>
              <w:rPr>
                <w:rFonts w:ascii="Times New Roman" w:hAnsi="Times New Roman" w:cs="Times New Roman"/>
                <w:color w:val="auto"/>
                <w:kern w:val="0"/>
              </w:rPr>
              <w:t>苯甲醇储罐</w:t>
            </w:r>
          </w:p>
        </w:tc>
        <w:tc>
          <w:tcPr>
            <w:tcW w:w="200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V=100m³</w:t>
            </w:r>
          </w:p>
        </w:tc>
        <w:tc>
          <w:tcPr>
            <w:tcW w:w="1999"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S30408（不锈钢）</w:t>
            </w:r>
          </w:p>
        </w:tc>
        <w:tc>
          <w:tcPr>
            <w:tcW w:w="99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1</w:t>
            </w:r>
            <w:r>
              <w:rPr>
                <w:rFonts w:hint="default" w:ascii="Times New Roman" w:hAnsi="Times New Roman" w:cs="Times New Roman"/>
                <w:color w:val="auto"/>
                <w:kern w:val="0"/>
              </w:rPr>
              <w:t>个</w:t>
            </w:r>
          </w:p>
        </w:tc>
        <w:tc>
          <w:tcPr>
            <w:tcW w:w="788"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1</w:t>
            </w:r>
            <w:r>
              <w:rPr>
                <w:rFonts w:hint="default" w:ascii="Times New Roman" w:hAnsi="Times New Roman" w:cs="Times New Roman"/>
                <w:color w:val="auto"/>
                <w:kern w:val="0"/>
              </w:rPr>
              <w:t>个</w:t>
            </w:r>
          </w:p>
        </w:tc>
        <w:tc>
          <w:tcPr>
            <w:tcW w:w="765" w:type="dxa"/>
            <w:vAlign w:val="center"/>
          </w:tcPr>
          <w:p>
            <w:pPr>
              <w:jc w:val="center"/>
              <w:rPr>
                <w:rFonts w:ascii="Times New Roman" w:hAnsi="Times New Roman" w:cs="Times New Roman"/>
                <w:color w:val="auto"/>
                <w:kern w:val="0"/>
              </w:rPr>
            </w:pPr>
            <w:r>
              <w:rPr>
                <w:rFonts w:hint="default" w:ascii="Times New Roman" w:hAnsi="Times New Roman" w:cs="Times New Roman"/>
                <w:color w:val="auto"/>
                <w:kern w:val="0"/>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trPr>
        <w:tc>
          <w:tcPr>
            <w:tcW w:w="832"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5</w:t>
            </w:r>
          </w:p>
        </w:tc>
        <w:tc>
          <w:tcPr>
            <w:tcW w:w="1511" w:type="dxa"/>
            <w:vAlign w:val="center"/>
          </w:tcPr>
          <w:p>
            <w:pPr>
              <w:rPr>
                <w:rFonts w:ascii="Times New Roman" w:hAnsi="Times New Roman" w:cs="Times New Roman"/>
                <w:color w:val="auto"/>
                <w:kern w:val="0"/>
              </w:rPr>
            </w:pPr>
            <w:r>
              <w:rPr>
                <w:rFonts w:ascii="Times New Roman" w:hAnsi="Times New Roman" w:cs="Times New Roman"/>
                <w:color w:val="auto"/>
                <w:kern w:val="0"/>
              </w:rPr>
              <w:t>环氧树脂</w:t>
            </w:r>
          </w:p>
        </w:tc>
        <w:tc>
          <w:tcPr>
            <w:tcW w:w="200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V=100m³</w:t>
            </w:r>
          </w:p>
        </w:tc>
        <w:tc>
          <w:tcPr>
            <w:tcW w:w="1999"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S30408（不锈钢）</w:t>
            </w:r>
          </w:p>
        </w:tc>
        <w:tc>
          <w:tcPr>
            <w:tcW w:w="99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1</w:t>
            </w:r>
            <w:r>
              <w:rPr>
                <w:rFonts w:hint="default" w:ascii="Times New Roman" w:hAnsi="Times New Roman" w:cs="Times New Roman"/>
                <w:color w:val="auto"/>
                <w:kern w:val="0"/>
              </w:rPr>
              <w:t>个</w:t>
            </w:r>
          </w:p>
        </w:tc>
        <w:tc>
          <w:tcPr>
            <w:tcW w:w="788"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1</w:t>
            </w:r>
            <w:r>
              <w:rPr>
                <w:rFonts w:hint="default" w:ascii="Times New Roman" w:hAnsi="Times New Roman" w:cs="Times New Roman"/>
                <w:color w:val="auto"/>
                <w:kern w:val="0"/>
              </w:rPr>
              <w:t>个</w:t>
            </w:r>
          </w:p>
        </w:tc>
        <w:tc>
          <w:tcPr>
            <w:tcW w:w="765" w:type="dxa"/>
            <w:vAlign w:val="center"/>
          </w:tcPr>
          <w:p>
            <w:pPr>
              <w:jc w:val="center"/>
              <w:rPr>
                <w:rFonts w:ascii="Times New Roman" w:hAnsi="Times New Roman" w:cs="Times New Roman"/>
                <w:color w:val="auto"/>
                <w:kern w:val="0"/>
              </w:rPr>
            </w:pPr>
            <w:r>
              <w:rPr>
                <w:rFonts w:hint="default" w:ascii="Times New Roman" w:hAnsi="Times New Roman" w:cs="Times New Roman"/>
                <w:color w:val="auto"/>
                <w:kern w:val="0"/>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trPr>
        <w:tc>
          <w:tcPr>
            <w:tcW w:w="832"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6</w:t>
            </w:r>
          </w:p>
        </w:tc>
        <w:tc>
          <w:tcPr>
            <w:tcW w:w="1511" w:type="dxa"/>
            <w:vAlign w:val="center"/>
          </w:tcPr>
          <w:p>
            <w:pPr>
              <w:rPr>
                <w:rFonts w:ascii="Times New Roman" w:hAnsi="Times New Roman" w:cs="Times New Roman"/>
                <w:color w:val="auto"/>
                <w:kern w:val="0"/>
              </w:rPr>
            </w:pPr>
            <w:r>
              <w:rPr>
                <w:rFonts w:ascii="Times New Roman" w:hAnsi="Times New Roman" w:cs="Times New Roman"/>
                <w:color w:val="auto"/>
                <w:kern w:val="0"/>
              </w:rPr>
              <w:t>二甲胺储罐</w:t>
            </w:r>
          </w:p>
        </w:tc>
        <w:tc>
          <w:tcPr>
            <w:tcW w:w="200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V=95m³</w:t>
            </w:r>
          </w:p>
        </w:tc>
        <w:tc>
          <w:tcPr>
            <w:tcW w:w="1999"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S30408（不锈钢）</w:t>
            </w:r>
          </w:p>
        </w:tc>
        <w:tc>
          <w:tcPr>
            <w:tcW w:w="99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1</w:t>
            </w:r>
            <w:r>
              <w:rPr>
                <w:rFonts w:hint="default" w:ascii="Times New Roman" w:hAnsi="Times New Roman" w:cs="Times New Roman"/>
                <w:color w:val="auto"/>
                <w:kern w:val="0"/>
              </w:rPr>
              <w:t>个</w:t>
            </w:r>
          </w:p>
        </w:tc>
        <w:tc>
          <w:tcPr>
            <w:tcW w:w="788"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1</w:t>
            </w:r>
            <w:r>
              <w:rPr>
                <w:rFonts w:hint="default" w:ascii="Times New Roman" w:hAnsi="Times New Roman" w:cs="Times New Roman"/>
                <w:color w:val="auto"/>
                <w:kern w:val="0"/>
              </w:rPr>
              <w:t>个</w:t>
            </w:r>
          </w:p>
        </w:tc>
        <w:tc>
          <w:tcPr>
            <w:tcW w:w="765" w:type="dxa"/>
            <w:vAlign w:val="center"/>
          </w:tcPr>
          <w:p>
            <w:pPr>
              <w:jc w:val="center"/>
              <w:rPr>
                <w:rFonts w:ascii="Times New Roman" w:hAnsi="Times New Roman" w:cs="Times New Roman"/>
                <w:color w:val="auto"/>
                <w:kern w:val="0"/>
              </w:rPr>
            </w:pPr>
            <w:r>
              <w:rPr>
                <w:rFonts w:hint="default" w:ascii="Times New Roman" w:hAnsi="Times New Roman" w:cs="Times New Roman"/>
                <w:color w:val="auto"/>
                <w:kern w:val="0"/>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trPr>
        <w:tc>
          <w:tcPr>
            <w:tcW w:w="832"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7</w:t>
            </w:r>
          </w:p>
        </w:tc>
        <w:tc>
          <w:tcPr>
            <w:tcW w:w="1511" w:type="dxa"/>
            <w:vAlign w:val="center"/>
          </w:tcPr>
          <w:p>
            <w:pPr>
              <w:rPr>
                <w:rFonts w:ascii="Times New Roman" w:hAnsi="Times New Roman" w:cs="Times New Roman"/>
                <w:color w:val="auto"/>
                <w:kern w:val="0"/>
              </w:rPr>
            </w:pPr>
            <w:r>
              <w:rPr>
                <w:rFonts w:ascii="Times New Roman" w:hAnsi="Times New Roman" w:cs="Times New Roman"/>
                <w:color w:val="auto"/>
                <w:kern w:val="0"/>
              </w:rPr>
              <w:t>液氮</w:t>
            </w:r>
          </w:p>
        </w:tc>
        <w:tc>
          <w:tcPr>
            <w:tcW w:w="200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V=30m³</w:t>
            </w:r>
          </w:p>
        </w:tc>
        <w:tc>
          <w:tcPr>
            <w:tcW w:w="1999"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碳钢</w:t>
            </w:r>
          </w:p>
        </w:tc>
        <w:tc>
          <w:tcPr>
            <w:tcW w:w="99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1</w:t>
            </w:r>
            <w:r>
              <w:rPr>
                <w:rFonts w:hint="default" w:ascii="Times New Roman" w:hAnsi="Times New Roman" w:cs="Times New Roman"/>
                <w:color w:val="auto"/>
                <w:kern w:val="0"/>
              </w:rPr>
              <w:t>个</w:t>
            </w:r>
          </w:p>
        </w:tc>
        <w:tc>
          <w:tcPr>
            <w:tcW w:w="788"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1</w:t>
            </w:r>
            <w:r>
              <w:rPr>
                <w:rFonts w:hint="default" w:ascii="Times New Roman" w:hAnsi="Times New Roman" w:cs="Times New Roman"/>
                <w:color w:val="auto"/>
                <w:kern w:val="0"/>
              </w:rPr>
              <w:t>个</w:t>
            </w:r>
          </w:p>
        </w:tc>
        <w:tc>
          <w:tcPr>
            <w:tcW w:w="765" w:type="dxa"/>
            <w:vAlign w:val="center"/>
          </w:tcPr>
          <w:p>
            <w:pPr>
              <w:jc w:val="center"/>
              <w:rPr>
                <w:rFonts w:ascii="Times New Roman" w:hAnsi="Times New Roman" w:cs="Times New Roman"/>
                <w:color w:val="auto"/>
                <w:kern w:val="0"/>
              </w:rPr>
            </w:pPr>
            <w:r>
              <w:rPr>
                <w:rFonts w:hint="default" w:ascii="Times New Roman" w:hAnsi="Times New Roman" w:cs="Times New Roman"/>
                <w:color w:val="auto"/>
                <w:kern w:val="0"/>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trPr>
        <w:tc>
          <w:tcPr>
            <w:tcW w:w="832"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7</w:t>
            </w:r>
          </w:p>
        </w:tc>
        <w:tc>
          <w:tcPr>
            <w:tcW w:w="1511" w:type="dxa"/>
            <w:vAlign w:val="center"/>
          </w:tcPr>
          <w:p>
            <w:pPr>
              <w:rPr>
                <w:rFonts w:ascii="Times New Roman" w:hAnsi="Times New Roman" w:cs="Times New Roman"/>
                <w:color w:val="auto"/>
                <w:kern w:val="0"/>
              </w:rPr>
            </w:pPr>
            <w:r>
              <w:rPr>
                <w:rFonts w:ascii="Times New Roman" w:hAnsi="Times New Roman" w:cs="Times New Roman"/>
                <w:color w:val="auto"/>
                <w:kern w:val="0"/>
              </w:rPr>
              <w:t>苯酚泵</w:t>
            </w:r>
          </w:p>
        </w:tc>
        <w:tc>
          <w:tcPr>
            <w:tcW w:w="200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Q=6m³/h，H=30m</w:t>
            </w:r>
          </w:p>
        </w:tc>
        <w:tc>
          <w:tcPr>
            <w:tcW w:w="1999"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S30408</w:t>
            </w:r>
          </w:p>
        </w:tc>
        <w:tc>
          <w:tcPr>
            <w:tcW w:w="99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2</w:t>
            </w:r>
            <w:r>
              <w:rPr>
                <w:rFonts w:hint="default" w:ascii="Times New Roman" w:hAnsi="Times New Roman" w:cs="Times New Roman"/>
                <w:color w:val="auto"/>
                <w:kern w:val="0"/>
              </w:rPr>
              <w:t>台</w:t>
            </w:r>
          </w:p>
        </w:tc>
        <w:tc>
          <w:tcPr>
            <w:tcW w:w="788"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2</w:t>
            </w:r>
            <w:r>
              <w:rPr>
                <w:rFonts w:hint="default" w:ascii="Times New Roman" w:hAnsi="Times New Roman" w:cs="Times New Roman"/>
                <w:color w:val="auto"/>
                <w:kern w:val="0"/>
              </w:rPr>
              <w:t>台</w:t>
            </w:r>
          </w:p>
        </w:tc>
        <w:tc>
          <w:tcPr>
            <w:tcW w:w="765" w:type="dxa"/>
            <w:vAlign w:val="center"/>
          </w:tcPr>
          <w:p>
            <w:pPr>
              <w:jc w:val="center"/>
              <w:rPr>
                <w:rFonts w:ascii="Times New Roman" w:hAnsi="Times New Roman" w:cs="Times New Roman"/>
                <w:color w:val="auto"/>
                <w:kern w:val="0"/>
              </w:rPr>
            </w:pPr>
            <w:r>
              <w:rPr>
                <w:rFonts w:hint="default" w:ascii="Times New Roman" w:hAnsi="Times New Roman" w:cs="Times New Roman"/>
                <w:color w:val="auto"/>
                <w:kern w:val="0"/>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trPr>
        <w:tc>
          <w:tcPr>
            <w:tcW w:w="832"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8</w:t>
            </w:r>
          </w:p>
        </w:tc>
        <w:tc>
          <w:tcPr>
            <w:tcW w:w="1511" w:type="dxa"/>
            <w:vAlign w:val="center"/>
          </w:tcPr>
          <w:p>
            <w:pPr>
              <w:rPr>
                <w:rFonts w:ascii="Times New Roman" w:hAnsi="Times New Roman" w:cs="Times New Roman"/>
                <w:color w:val="auto"/>
                <w:kern w:val="0"/>
              </w:rPr>
            </w:pPr>
            <w:r>
              <w:rPr>
                <w:rFonts w:ascii="Times New Roman" w:hAnsi="Times New Roman" w:cs="Times New Roman"/>
                <w:color w:val="auto"/>
                <w:kern w:val="0"/>
              </w:rPr>
              <w:t>甲醛泵</w:t>
            </w:r>
          </w:p>
        </w:tc>
        <w:tc>
          <w:tcPr>
            <w:tcW w:w="200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Q=6m³/h，H=30m</w:t>
            </w:r>
          </w:p>
        </w:tc>
        <w:tc>
          <w:tcPr>
            <w:tcW w:w="1999"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S30408</w:t>
            </w:r>
          </w:p>
        </w:tc>
        <w:tc>
          <w:tcPr>
            <w:tcW w:w="99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2</w:t>
            </w:r>
            <w:r>
              <w:rPr>
                <w:rFonts w:hint="default" w:ascii="Times New Roman" w:hAnsi="Times New Roman" w:cs="Times New Roman"/>
                <w:color w:val="auto"/>
                <w:kern w:val="0"/>
              </w:rPr>
              <w:t>台</w:t>
            </w:r>
          </w:p>
        </w:tc>
        <w:tc>
          <w:tcPr>
            <w:tcW w:w="788"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2</w:t>
            </w:r>
            <w:r>
              <w:rPr>
                <w:rFonts w:hint="default" w:ascii="Times New Roman" w:hAnsi="Times New Roman" w:cs="Times New Roman"/>
                <w:color w:val="auto"/>
                <w:kern w:val="0"/>
              </w:rPr>
              <w:t>台</w:t>
            </w:r>
          </w:p>
        </w:tc>
        <w:tc>
          <w:tcPr>
            <w:tcW w:w="765" w:type="dxa"/>
            <w:vAlign w:val="center"/>
          </w:tcPr>
          <w:p>
            <w:pPr>
              <w:jc w:val="center"/>
              <w:rPr>
                <w:rFonts w:ascii="Times New Roman" w:hAnsi="Times New Roman" w:cs="Times New Roman"/>
                <w:color w:val="auto"/>
                <w:kern w:val="0"/>
              </w:rPr>
            </w:pPr>
            <w:r>
              <w:rPr>
                <w:rFonts w:hint="default" w:ascii="Times New Roman" w:hAnsi="Times New Roman" w:cs="Times New Roman"/>
                <w:color w:val="auto"/>
                <w:kern w:val="0"/>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trPr>
        <w:tc>
          <w:tcPr>
            <w:tcW w:w="832"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9</w:t>
            </w:r>
          </w:p>
        </w:tc>
        <w:tc>
          <w:tcPr>
            <w:tcW w:w="1511" w:type="dxa"/>
            <w:vAlign w:val="center"/>
          </w:tcPr>
          <w:p>
            <w:pPr>
              <w:rPr>
                <w:rFonts w:ascii="Times New Roman" w:hAnsi="Times New Roman" w:cs="Times New Roman"/>
                <w:color w:val="auto"/>
                <w:kern w:val="0"/>
              </w:rPr>
            </w:pPr>
            <w:r>
              <w:rPr>
                <w:rFonts w:ascii="Times New Roman" w:hAnsi="Times New Roman" w:cs="Times New Roman"/>
                <w:color w:val="auto"/>
                <w:kern w:val="0"/>
              </w:rPr>
              <w:t>二甲胺泵</w:t>
            </w:r>
          </w:p>
        </w:tc>
        <w:tc>
          <w:tcPr>
            <w:tcW w:w="200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Q=20m³/h，H=30m</w:t>
            </w:r>
          </w:p>
        </w:tc>
        <w:tc>
          <w:tcPr>
            <w:tcW w:w="1999"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S30408</w:t>
            </w:r>
          </w:p>
        </w:tc>
        <w:tc>
          <w:tcPr>
            <w:tcW w:w="99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2</w:t>
            </w:r>
            <w:r>
              <w:rPr>
                <w:rFonts w:hint="default" w:ascii="Times New Roman" w:hAnsi="Times New Roman" w:cs="Times New Roman"/>
                <w:color w:val="auto"/>
                <w:kern w:val="0"/>
              </w:rPr>
              <w:t>台</w:t>
            </w:r>
          </w:p>
        </w:tc>
        <w:tc>
          <w:tcPr>
            <w:tcW w:w="788"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2</w:t>
            </w:r>
            <w:r>
              <w:rPr>
                <w:rFonts w:hint="default" w:ascii="Times New Roman" w:hAnsi="Times New Roman" w:cs="Times New Roman"/>
                <w:color w:val="auto"/>
                <w:kern w:val="0"/>
              </w:rPr>
              <w:t>台</w:t>
            </w:r>
          </w:p>
        </w:tc>
        <w:tc>
          <w:tcPr>
            <w:tcW w:w="765" w:type="dxa"/>
            <w:vAlign w:val="center"/>
          </w:tcPr>
          <w:p>
            <w:pPr>
              <w:jc w:val="center"/>
              <w:rPr>
                <w:rFonts w:ascii="Times New Roman" w:hAnsi="Times New Roman" w:cs="Times New Roman"/>
                <w:color w:val="auto"/>
                <w:kern w:val="0"/>
              </w:rPr>
            </w:pPr>
            <w:r>
              <w:rPr>
                <w:rFonts w:hint="default" w:ascii="Times New Roman" w:hAnsi="Times New Roman" w:cs="Times New Roman"/>
                <w:color w:val="auto"/>
                <w:kern w:val="0"/>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trPr>
        <w:tc>
          <w:tcPr>
            <w:tcW w:w="832"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10</w:t>
            </w:r>
          </w:p>
        </w:tc>
        <w:tc>
          <w:tcPr>
            <w:tcW w:w="1511" w:type="dxa"/>
            <w:vAlign w:val="center"/>
          </w:tcPr>
          <w:p>
            <w:pPr>
              <w:rPr>
                <w:rFonts w:ascii="Times New Roman" w:hAnsi="Times New Roman" w:cs="Times New Roman"/>
                <w:color w:val="auto"/>
                <w:kern w:val="0"/>
              </w:rPr>
            </w:pPr>
            <w:r>
              <w:rPr>
                <w:rFonts w:ascii="Times New Roman" w:hAnsi="Times New Roman" w:cs="Times New Roman"/>
                <w:color w:val="auto"/>
                <w:kern w:val="0"/>
              </w:rPr>
              <w:t>稀硫酸储罐</w:t>
            </w:r>
          </w:p>
        </w:tc>
        <w:tc>
          <w:tcPr>
            <w:tcW w:w="200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V=10m³</w:t>
            </w:r>
          </w:p>
        </w:tc>
        <w:tc>
          <w:tcPr>
            <w:tcW w:w="1999"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S30408（不锈钢）</w:t>
            </w:r>
          </w:p>
        </w:tc>
        <w:tc>
          <w:tcPr>
            <w:tcW w:w="99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1</w:t>
            </w:r>
            <w:r>
              <w:rPr>
                <w:rFonts w:hint="default" w:ascii="Times New Roman" w:hAnsi="Times New Roman" w:cs="Times New Roman"/>
                <w:color w:val="auto"/>
                <w:kern w:val="0"/>
              </w:rPr>
              <w:t>个</w:t>
            </w:r>
          </w:p>
        </w:tc>
        <w:tc>
          <w:tcPr>
            <w:tcW w:w="788"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1</w:t>
            </w:r>
            <w:r>
              <w:rPr>
                <w:rFonts w:hint="default" w:ascii="Times New Roman" w:hAnsi="Times New Roman" w:cs="Times New Roman"/>
                <w:color w:val="auto"/>
                <w:kern w:val="0"/>
              </w:rPr>
              <w:t>个</w:t>
            </w:r>
          </w:p>
        </w:tc>
        <w:tc>
          <w:tcPr>
            <w:tcW w:w="765" w:type="dxa"/>
            <w:vAlign w:val="center"/>
          </w:tcPr>
          <w:p>
            <w:pPr>
              <w:jc w:val="center"/>
              <w:rPr>
                <w:rFonts w:ascii="Times New Roman" w:hAnsi="Times New Roman" w:cs="Times New Roman"/>
                <w:color w:val="auto"/>
                <w:kern w:val="0"/>
              </w:rPr>
            </w:pPr>
            <w:r>
              <w:rPr>
                <w:rFonts w:hint="default" w:ascii="Times New Roman" w:hAnsi="Times New Roman" w:cs="Times New Roman"/>
                <w:color w:val="auto"/>
                <w:kern w:val="0"/>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trPr>
        <w:tc>
          <w:tcPr>
            <w:tcW w:w="8891" w:type="dxa"/>
            <w:gridSpan w:val="7"/>
            <w:vAlign w:val="center"/>
          </w:tcPr>
          <w:p>
            <w:pPr>
              <w:rPr>
                <w:rFonts w:ascii="Times New Roman" w:hAnsi="Times New Roman" w:cs="Times New Roman"/>
                <w:color w:val="auto"/>
                <w:kern w:val="0"/>
              </w:rPr>
            </w:pPr>
            <w:r>
              <w:rPr>
                <w:rFonts w:ascii="Times New Roman" w:hAnsi="Times New Roman" w:cs="Times New Roman"/>
                <w:color w:val="auto"/>
                <w:kern w:val="0"/>
              </w:rPr>
              <w:t>六、制冷设备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tblHeader/>
        </w:trPr>
        <w:tc>
          <w:tcPr>
            <w:tcW w:w="832"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1</w:t>
            </w:r>
          </w:p>
        </w:tc>
        <w:tc>
          <w:tcPr>
            <w:tcW w:w="1511" w:type="dxa"/>
            <w:vAlign w:val="center"/>
          </w:tcPr>
          <w:p>
            <w:pPr>
              <w:rPr>
                <w:rFonts w:ascii="Times New Roman" w:hAnsi="Times New Roman" w:cs="Times New Roman"/>
                <w:color w:val="auto"/>
                <w:kern w:val="0"/>
              </w:rPr>
            </w:pPr>
            <w:r>
              <w:rPr>
                <w:rFonts w:ascii="Times New Roman" w:hAnsi="Times New Roman" w:cs="Times New Roman"/>
                <w:color w:val="auto"/>
                <w:kern w:val="0"/>
              </w:rPr>
              <w:t>制冷机</w:t>
            </w:r>
          </w:p>
        </w:tc>
        <w:tc>
          <w:tcPr>
            <w:tcW w:w="200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10万大卡</w:t>
            </w:r>
          </w:p>
        </w:tc>
        <w:tc>
          <w:tcPr>
            <w:tcW w:w="1999"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w:t>
            </w:r>
          </w:p>
        </w:tc>
        <w:tc>
          <w:tcPr>
            <w:tcW w:w="993"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1</w:t>
            </w:r>
            <w:r>
              <w:rPr>
                <w:rFonts w:hint="default" w:ascii="Times New Roman" w:hAnsi="Times New Roman" w:cs="Times New Roman"/>
                <w:color w:val="auto"/>
                <w:kern w:val="0"/>
              </w:rPr>
              <w:t>台</w:t>
            </w:r>
          </w:p>
        </w:tc>
        <w:tc>
          <w:tcPr>
            <w:tcW w:w="788"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1</w:t>
            </w:r>
            <w:r>
              <w:rPr>
                <w:rFonts w:hint="default" w:ascii="Times New Roman" w:hAnsi="Times New Roman" w:cs="Times New Roman"/>
                <w:color w:val="auto"/>
                <w:kern w:val="0"/>
              </w:rPr>
              <w:t>台</w:t>
            </w:r>
          </w:p>
        </w:tc>
        <w:tc>
          <w:tcPr>
            <w:tcW w:w="765" w:type="dxa"/>
            <w:vAlign w:val="center"/>
          </w:tcPr>
          <w:p>
            <w:pPr>
              <w:jc w:val="center"/>
              <w:rPr>
                <w:rFonts w:ascii="Times New Roman" w:hAnsi="Times New Roman" w:cs="Times New Roman"/>
                <w:color w:val="auto"/>
                <w:kern w:val="0"/>
              </w:rPr>
            </w:pPr>
            <w:r>
              <w:rPr>
                <w:rFonts w:ascii="Times New Roman" w:hAnsi="Times New Roman" w:cs="Times New Roman"/>
                <w:color w:val="auto"/>
                <w:kern w:val="0"/>
              </w:rPr>
              <w:t>制冷剂R410a</w:t>
            </w:r>
            <w:r>
              <w:rPr>
                <w:rFonts w:hint="default" w:ascii="Times New Roman" w:hAnsi="Times New Roman" w:cs="Times New Roman"/>
                <w:color w:val="auto"/>
                <w:kern w:val="0"/>
              </w:rPr>
              <w:t>，一致</w:t>
            </w:r>
          </w:p>
        </w:tc>
      </w:tr>
    </w:tbl>
    <w:p>
      <w:pPr>
        <w:spacing w:line="360" w:lineRule="auto"/>
        <w:outlineLvl w:val="1"/>
        <w:rPr>
          <w:rFonts w:ascii="Times New Roman" w:hAnsi="Times New Roman" w:cs="Times New Roman"/>
          <w:b/>
          <w:color w:val="auto"/>
          <w:sz w:val="30"/>
          <w:szCs w:val="30"/>
        </w:rPr>
      </w:pPr>
      <w:bookmarkStart w:id="22" w:name="_Toc20832"/>
      <w:bookmarkStart w:id="23" w:name="_Toc85120875"/>
      <w:r>
        <w:rPr>
          <w:rFonts w:hint="default" w:ascii="Times New Roman" w:hAnsi="Times New Roman" w:cs="Times New Roman"/>
          <w:b/>
          <w:color w:val="auto"/>
          <w:sz w:val="30"/>
          <w:szCs w:val="30"/>
        </w:rPr>
        <w:t>3.</w:t>
      </w:r>
      <w:r>
        <w:rPr>
          <w:rFonts w:ascii="Times New Roman" w:hAnsi="Times New Roman" w:cs="Times New Roman"/>
          <w:b/>
          <w:color w:val="auto"/>
          <w:sz w:val="30"/>
          <w:szCs w:val="30"/>
        </w:rPr>
        <w:t>4</w:t>
      </w:r>
      <w:r>
        <w:rPr>
          <w:rFonts w:hint="default" w:ascii="Times New Roman" w:hAnsi="Times New Roman" w:cs="Times New Roman"/>
          <w:b/>
          <w:color w:val="auto"/>
          <w:sz w:val="30"/>
          <w:szCs w:val="30"/>
        </w:rPr>
        <w:t>主要产品</w:t>
      </w:r>
      <w:bookmarkEnd w:id="22"/>
    </w:p>
    <w:p>
      <w:pPr>
        <w:autoSpaceDE w:val="0"/>
        <w:autoSpaceDN w:val="0"/>
        <w:adjustRightInd w:val="0"/>
        <w:spacing w:line="360" w:lineRule="auto"/>
        <w:ind w:firstLine="480" w:firstLineChars="200"/>
        <w:outlineLvl w:val="9"/>
        <w:rPr>
          <w:rFonts w:hint="default" w:ascii="Times New Roman" w:hAnsi="Times New Roman" w:cs="Times New Roman"/>
          <w:b w:val="0"/>
          <w:color w:val="auto"/>
          <w:sz w:val="24"/>
          <w:szCs w:val="24"/>
        </w:rPr>
      </w:pPr>
      <w:r>
        <w:rPr>
          <w:rFonts w:ascii="Times New Roman" w:hAnsi="Times New Roman" w:cs="Times New Roman"/>
          <w:color w:val="auto"/>
          <w:sz w:val="24"/>
          <w:szCs w:val="24"/>
        </w:rPr>
        <w:t>验收项目环评时产能与本次验收产品实际产能对比详见</w:t>
      </w:r>
      <w:r>
        <w:rPr>
          <w:rFonts w:hint="default" w:ascii="Times New Roman" w:hAnsi="Times New Roman" w:cs="Times New Roman"/>
          <w:color w:val="auto"/>
          <w:sz w:val="24"/>
          <w:szCs w:val="24"/>
        </w:rPr>
        <w:t>下</w:t>
      </w:r>
      <w:r>
        <w:rPr>
          <w:rFonts w:ascii="Times New Roman" w:hAnsi="Times New Roman" w:cs="Times New Roman"/>
          <w:color w:val="auto"/>
          <w:sz w:val="24"/>
          <w:szCs w:val="24"/>
        </w:rPr>
        <w:t>表</w:t>
      </w:r>
      <w:r>
        <w:rPr>
          <w:rFonts w:hint="default" w:ascii="Times New Roman" w:hAnsi="Times New Roman" w:cs="Times New Roman"/>
          <w:color w:val="auto"/>
          <w:sz w:val="24"/>
          <w:szCs w:val="24"/>
          <w:lang w:eastAsia="zh-CN"/>
        </w:rPr>
        <w:t>。</w:t>
      </w:r>
    </w:p>
    <w:p>
      <w:pPr>
        <w:spacing w:line="240" w:lineRule="auto"/>
        <w:jc w:val="center"/>
        <w:outlineLvl w:val="9"/>
        <w:rPr>
          <w:rFonts w:ascii="Times New Roman" w:hAnsi="Times New Roman" w:cs="Times New Roman"/>
          <w:b/>
          <w:bCs/>
          <w:color w:val="auto"/>
          <w:sz w:val="21"/>
          <w:szCs w:val="22"/>
        </w:rPr>
      </w:pPr>
      <w:r>
        <w:rPr>
          <w:rFonts w:hint="default" w:ascii="Times New Roman" w:hAnsi="Times New Roman" w:cs="Times New Roman"/>
          <w:b/>
          <w:bCs/>
          <w:color w:val="auto"/>
          <w:sz w:val="21"/>
          <w:szCs w:val="22"/>
        </w:rPr>
        <w:t>表</w:t>
      </w:r>
      <w:r>
        <w:rPr>
          <w:rFonts w:hint="eastAsia" w:ascii="Times New Roman" w:hAnsi="Times New Roman" w:cs="Times New Roman"/>
          <w:b/>
          <w:bCs/>
          <w:color w:val="auto"/>
          <w:sz w:val="21"/>
          <w:szCs w:val="22"/>
          <w:lang w:val="en-US" w:eastAsia="zh-CN"/>
        </w:rPr>
        <w:t>3.4-1</w:t>
      </w:r>
      <w:r>
        <w:rPr>
          <w:rFonts w:ascii="Times New Roman" w:hAnsi="Times New Roman" w:cs="Times New Roman"/>
          <w:b/>
          <w:bCs/>
          <w:color w:val="auto"/>
          <w:sz w:val="21"/>
          <w:szCs w:val="22"/>
        </w:rPr>
        <w:t xml:space="preserve">  </w:t>
      </w:r>
      <w:r>
        <w:rPr>
          <w:rFonts w:ascii="Times New Roman" w:hAnsi="Times New Roman" w:cs="Times New Roman"/>
          <w:b/>
          <w:bCs/>
          <w:color w:val="auto"/>
        </w:rPr>
        <w:t>环评时产能与实际产能对比一览表</w:t>
      </w:r>
    </w:p>
    <w:tbl>
      <w:tblPr>
        <w:tblStyle w:val="28"/>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604"/>
        <w:gridCol w:w="1056"/>
        <w:gridCol w:w="1373"/>
        <w:gridCol w:w="844"/>
        <w:gridCol w:w="1108"/>
        <w:gridCol w:w="1211"/>
        <w:gridCol w:w="1160"/>
        <w:gridCol w:w="116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355" w:type="pct"/>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序号</w:t>
            </w:r>
          </w:p>
        </w:tc>
        <w:tc>
          <w:tcPr>
            <w:tcW w:w="1424" w:type="pct"/>
            <w:gridSpan w:val="2"/>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产品方案</w:t>
            </w:r>
          </w:p>
        </w:tc>
        <w:tc>
          <w:tcPr>
            <w:tcW w:w="495" w:type="pct"/>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单位</w:t>
            </w:r>
          </w:p>
        </w:tc>
        <w:tc>
          <w:tcPr>
            <w:tcW w:w="650" w:type="pct"/>
            <w:tcBorders>
              <w:tl2br w:val="nil"/>
              <w:tr2bl w:val="nil"/>
            </w:tcBorders>
            <w:noWrap w:val="0"/>
            <w:vAlign w:val="center"/>
          </w:tcPr>
          <w:p>
            <w:pPr>
              <w:adjustRightInd w:val="0"/>
              <w:spacing w:before="48" w:beforeLines="20" w:after="48" w:afterLines="20"/>
              <w:ind w:left="-105" w:leftChars="-50" w:right="-105" w:rightChars="-50"/>
              <w:jc w:val="center"/>
              <w:rPr>
                <w:rFonts w:hint="default" w:ascii="Times New Roman" w:hAnsi="Times New Roman" w:cs="Times New Roman" w:eastAsiaTheme="minorEastAsia"/>
                <w:color w:val="auto"/>
                <w:sz w:val="21"/>
                <w:szCs w:val="21"/>
                <w:lang w:val="en-US" w:eastAsia="zh-CN" w:bidi="ar"/>
              </w:rPr>
            </w:pPr>
            <w:r>
              <w:rPr>
                <w:rFonts w:hint="eastAsia" w:ascii="Times New Roman" w:hAnsi="Times New Roman" w:cs="Times New Roman"/>
                <w:color w:val="auto"/>
                <w:sz w:val="21"/>
                <w:szCs w:val="21"/>
                <w:lang w:val="en-US" w:eastAsia="zh-CN" w:bidi="ar"/>
              </w:rPr>
              <w:t>环评产能</w:t>
            </w:r>
          </w:p>
        </w:tc>
        <w:tc>
          <w:tcPr>
            <w:tcW w:w="710" w:type="pct"/>
            <w:tcBorders>
              <w:tl2br w:val="nil"/>
              <w:tr2bl w:val="nil"/>
            </w:tcBorders>
            <w:noWrap w:val="0"/>
            <w:vAlign w:val="center"/>
          </w:tcPr>
          <w:p>
            <w:pPr>
              <w:adjustRightInd w:val="0"/>
              <w:spacing w:before="48" w:beforeLines="20" w:after="48" w:afterLines="20"/>
              <w:ind w:left="-105" w:leftChars="-50" w:right="-105" w:rightChars="-50"/>
              <w:jc w:val="center"/>
              <w:rPr>
                <w:rFonts w:hint="default" w:ascii="Times New Roman" w:hAnsi="Times New Roman" w:cs="Times New Roman"/>
                <w:color w:val="auto"/>
                <w:sz w:val="21"/>
                <w:szCs w:val="21"/>
                <w:lang w:val="en-US" w:eastAsia="zh-CN" w:bidi="ar"/>
              </w:rPr>
            </w:pPr>
            <w:r>
              <w:rPr>
                <w:rFonts w:hint="eastAsia" w:ascii="Times New Roman" w:hAnsi="Times New Roman" w:cs="Times New Roman"/>
                <w:color w:val="auto"/>
                <w:sz w:val="21"/>
                <w:szCs w:val="21"/>
                <w:lang w:val="en-US" w:eastAsia="zh-CN" w:bidi="ar"/>
              </w:rPr>
              <w:t>实际产能</w:t>
            </w:r>
          </w:p>
        </w:tc>
        <w:tc>
          <w:tcPr>
            <w:tcW w:w="680" w:type="pct"/>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形态</w:t>
            </w:r>
          </w:p>
        </w:tc>
        <w:tc>
          <w:tcPr>
            <w:tcW w:w="682" w:type="pct"/>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包装方式</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355" w:type="pct"/>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1</w:t>
            </w:r>
          </w:p>
        </w:tc>
        <w:tc>
          <w:tcPr>
            <w:tcW w:w="1424" w:type="pct"/>
            <w:gridSpan w:val="2"/>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DMP-30促进剂</w:t>
            </w:r>
          </w:p>
        </w:tc>
        <w:tc>
          <w:tcPr>
            <w:tcW w:w="495" w:type="pct"/>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t/a</w:t>
            </w:r>
          </w:p>
        </w:tc>
        <w:tc>
          <w:tcPr>
            <w:tcW w:w="650" w:type="pct"/>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5000</w:t>
            </w:r>
          </w:p>
        </w:tc>
        <w:tc>
          <w:tcPr>
            <w:tcW w:w="1211" w:type="dxa"/>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5000</w:t>
            </w:r>
          </w:p>
        </w:tc>
        <w:tc>
          <w:tcPr>
            <w:tcW w:w="680" w:type="pct"/>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rPr>
              <w:t>液态</w:t>
            </w:r>
          </w:p>
        </w:tc>
        <w:tc>
          <w:tcPr>
            <w:tcW w:w="682" w:type="pct"/>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桶装</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355" w:type="pct"/>
            <w:vMerge w:val="restart"/>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2</w:t>
            </w:r>
          </w:p>
        </w:tc>
        <w:tc>
          <w:tcPr>
            <w:tcW w:w="619" w:type="pct"/>
            <w:vMerge w:val="restart"/>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PPA固化剂（T31）</w:t>
            </w:r>
          </w:p>
        </w:tc>
        <w:tc>
          <w:tcPr>
            <w:tcW w:w="804" w:type="pct"/>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PPA-1固化剂</w:t>
            </w:r>
          </w:p>
        </w:tc>
        <w:tc>
          <w:tcPr>
            <w:tcW w:w="495" w:type="pct"/>
            <w:tcBorders>
              <w:tl2br w:val="nil"/>
              <w:tr2bl w:val="nil"/>
            </w:tcBorders>
            <w:noWrap w:val="0"/>
            <w:vAlign w:val="top"/>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t/a</w:t>
            </w:r>
          </w:p>
        </w:tc>
        <w:tc>
          <w:tcPr>
            <w:tcW w:w="650" w:type="pct"/>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1500</w:t>
            </w:r>
          </w:p>
        </w:tc>
        <w:tc>
          <w:tcPr>
            <w:tcW w:w="1211" w:type="dxa"/>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1500</w:t>
            </w:r>
          </w:p>
        </w:tc>
        <w:tc>
          <w:tcPr>
            <w:tcW w:w="680" w:type="pct"/>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rPr>
              <w:t>液态</w:t>
            </w:r>
          </w:p>
        </w:tc>
        <w:tc>
          <w:tcPr>
            <w:tcW w:w="682" w:type="pct"/>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桶装</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355" w:type="pct"/>
            <w:vMerge w:val="continue"/>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p>
        </w:tc>
        <w:tc>
          <w:tcPr>
            <w:tcW w:w="619" w:type="pct"/>
            <w:vMerge w:val="continue"/>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p>
        </w:tc>
        <w:tc>
          <w:tcPr>
            <w:tcW w:w="804" w:type="pct"/>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PPA-2固化剂</w:t>
            </w:r>
          </w:p>
        </w:tc>
        <w:tc>
          <w:tcPr>
            <w:tcW w:w="495" w:type="pct"/>
            <w:tcBorders>
              <w:tl2br w:val="nil"/>
              <w:tr2bl w:val="nil"/>
            </w:tcBorders>
            <w:noWrap w:val="0"/>
            <w:vAlign w:val="top"/>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t/a</w:t>
            </w:r>
          </w:p>
        </w:tc>
        <w:tc>
          <w:tcPr>
            <w:tcW w:w="650" w:type="pct"/>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1500</w:t>
            </w:r>
          </w:p>
        </w:tc>
        <w:tc>
          <w:tcPr>
            <w:tcW w:w="1211" w:type="dxa"/>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1500</w:t>
            </w:r>
          </w:p>
        </w:tc>
        <w:tc>
          <w:tcPr>
            <w:tcW w:w="680" w:type="pct"/>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rPr>
              <w:t>液态</w:t>
            </w:r>
          </w:p>
        </w:tc>
        <w:tc>
          <w:tcPr>
            <w:tcW w:w="682" w:type="pct"/>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桶装</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355" w:type="pct"/>
            <w:vMerge w:val="restart"/>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3</w:t>
            </w:r>
          </w:p>
        </w:tc>
        <w:tc>
          <w:tcPr>
            <w:tcW w:w="619" w:type="pct"/>
            <w:vMerge w:val="restart"/>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改性胺固化剂</w:t>
            </w:r>
          </w:p>
        </w:tc>
        <w:tc>
          <w:tcPr>
            <w:tcW w:w="804" w:type="pct"/>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593系列固化剂</w:t>
            </w:r>
          </w:p>
        </w:tc>
        <w:tc>
          <w:tcPr>
            <w:tcW w:w="495" w:type="pct"/>
            <w:tcBorders>
              <w:tl2br w:val="nil"/>
              <w:tr2bl w:val="nil"/>
            </w:tcBorders>
            <w:noWrap w:val="0"/>
            <w:vAlign w:val="top"/>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t/a</w:t>
            </w:r>
          </w:p>
        </w:tc>
        <w:tc>
          <w:tcPr>
            <w:tcW w:w="650" w:type="pct"/>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800</w:t>
            </w:r>
          </w:p>
        </w:tc>
        <w:tc>
          <w:tcPr>
            <w:tcW w:w="1211" w:type="dxa"/>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800</w:t>
            </w:r>
          </w:p>
        </w:tc>
        <w:tc>
          <w:tcPr>
            <w:tcW w:w="680" w:type="pct"/>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rPr>
              <w:t>液态</w:t>
            </w:r>
          </w:p>
        </w:tc>
        <w:tc>
          <w:tcPr>
            <w:tcW w:w="682" w:type="pct"/>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桶装</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355" w:type="pct"/>
            <w:vMerge w:val="continue"/>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p>
        </w:tc>
        <w:tc>
          <w:tcPr>
            <w:tcW w:w="619" w:type="pct"/>
            <w:vMerge w:val="continue"/>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p>
        </w:tc>
        <w:tc>
          <w:tcPr>
            <w:tcW w:w="804" w:type="pct"/>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693系列固化剂</w:t>
            </w:r>
          </w:p>
        </w:tc>
        <w:tc>
          <w:tcPr>
            <w:tcW w:w="495" w:type="pct"/>
            <w:tcBorders>
              <w:tl2br w:val="nil"/>
              <w:tr2bl w:val="nil"/>
            </w:tcBorders>
            <w:noWrap w:val="0"/>
            <w:vAlign w:val="top"/>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t/a</w:t>
            </w:r>
          </w:p>
        </w:tc>
        <w:tc>
          <w:tcPr>
            <w:tcW w:w="650" w:type="pct"/>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800</w:t>
            </w:r>
          </w:p>
        </w:tc>
        <w:tc>
          <w:tcPr>
            <w:tcW w:w="1211" w:type="dxa"/>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800</w:t>
            </w:r>
          </w:p>
        </w:tc>
        <w:tc>
          <w:tcPr>
            <w:tcW w:w="680" w:type="pct"/>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rPr>
              <w:t>液态</w:t>
            </w:r>
          </w:p>
        </w:tc>
        <w:tc>
          <w:tcPr>
            <w:tcW w:w="682" w:type="pct"/>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桶装</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355" w:type="pct"/>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4</w:t>
            </w:r>
          </w:p>
        </w:tc>
        <w:tc>
          <w:tcPr>
            <w:tcW w:w="1424" w:type="pct"/>
            <w:gridSpan w:val="2"/>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聚酰胺固化剂</w:t>
            </w:r>
          </w:p>
        </w:tc>
        <w:tc>
          <w:tcPr>
            <w:tcW w:w="495" w:type="pct"/>
            <w:tcBorders>
              <w:tl2br w:val="nil"/>
              <w:tr2bl w:val="nil"/>
            </w:tcBorders>
            <w:noWrap w:val="0"/>
            <w:vAlign w:val="top"/>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t/a</w:t>
            </w:r>
          </w:p>
        </w:tc>
        <w:tc>
          <w:tcPr>
            <w:tcW w:w="650" w:type="pct"/>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3000</w:t>
            </w:r>
          </w:p>
        </w:tc>
        <w:tc>
          <w:tcPr>
            <w:tcW w:w="1211" w:type="dxa"/>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3000</w:t>
            </w:r>
          </w:p>
        </w:tc>
        <w:tc>
          <w:tcPr>
            <w:tcW w:w="680" w:type="pct"/>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rPr>
              <w:t>液态</w:t>
            </w:r>
          </w:p>
        </w:tc>
        <w:tc>
          <w:tcPr>
            <w:tcW w:w="682" w:type="pct"/>
            <w:tcBorders>
              <w:tl2br w:val="nil"/>
              <w:tr2bl w:val="nil"/>
            </w:tcBorders>
            <w:noWrap w:val="0"/>
            <w:vAlign w:val="center"/>
          </w:tcPr>
          <w:p>
            <w:pPr>
              <w:adjustRightInd w:val="0"/>
              <w:spacing w:before="48" w:beforeLines="20" w:after="48" w:afterLines="20"/>
              <w:ind w:left="-105" w:leftChars="-50" w:right="-105" w:rightChars="-50"/>
              <w:jc w:val="center"/>
              <w:rPr>
                <w:rFonts w:ascii="Times New Roman" w:hAnsi="Times New Roman" w:cs="Times New Roman"/>
                <w:color w:val="auto"/>
                <w:sz w:val="21"/>
                <w:szCs w:val="21"/>
                <w:lang w:bidi="ar"/>
              </w:rPr>
            </w:pPr>
            <w:r>
              <w:rPr>
                <w:rFonts w:ascii="Times New Roman" w:hAnsi="Times New Roman" w:cs="Times New Roman"/>
                <w:color w:val="auto"/>
                <w:sz w:val="21"/>
                <w:szCs w:val="21"/>
                <w:lang w:bidi="ar"/>
              </w:rPr>
              <w:t>桶装</w:t>
            </w:r>
          </w:p>
        </w:tc>
      </w:tr>
    </w:tbl>
    <w:p>
      <w:pPr>
        <w:autoSpaceDE w:val="0"/>
        <w:autoSpaceDN w:val="0"/>
        <w:adjustRightInd w:val="0"/>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从</w:t>
      </w:r>
      <w:r>
        <w:rPr>
          <w:rFonts w:hint="default" w:ascii="Times New Roman" w:hAnsi="Times New Roman" w:cs="Times New Roman"/>
          <w:color w:val="auto"/>
          <w:sz w:val="24"/>
          <w:szCs w:val="24"/>
        </w:rPr>
        <w:t>上表可以看出：本项目实际</w:t>
      </w:r>
      <w:r>
        <w:rPr>
          <w:rFonts w:hint="eastAsia" w:ascii="Times New Roman" w:hAnsi="Times New Roman" w:cs="Times New Roman"/>
          <w:color w:val="auto"/>
          <w:sz w:val="24"/>
          <w:szCs w:val="24"/>
          <w:lang w:val="en-US" w:eastAsia="zh-CN"/>
        </w:rPr>
        <w:t>产能</w:t>
      </w:r>
      <w:r>
        <w:rPr>
          <w:rFonts w:hint="default" w:ascii="Times New Roman" w:hAnsi="Times New Roman" w:cs="Times New Roman"/>
          <w:color w:val="auto"/>
          <w:sz w:val="24"/>
          <w:szCs w:val="24"/>
        </w:rPr>
        <w:t>与环评审批</w:t>
      </w:r>
      <w:r>
        <w:rPr>
          <w:rFonts w:hint="eastAsia" w:ascii="Times New Roman" w:hAnsi="Times New Roman" w:cs="Times New Roman"/>
          <w:color w:val="auto"/>
          <w:sz w:val="24"/>
          <w:szCs w:val="24"/>
          <w:lang w:val="en-US" w:eastAsia="zh-CN"/>
        </w:rPr>
        <w:t>产能</w:t>
      </w:r>
      <w:r>
        <w:rPr>
          <w:rFonts w:hint="default" w:ascii="Times New Roman" w:hAnsi="Times New Roman" w:cs="Times New Roman"/>
          <w:color w:val="auto"/>
          <w:sz w:val="24"/>
          <w:szCs w:val="24"/>
        </w:rPr>
        <w:t>一致，未有重大变动。</w:t>
      </w:r>
    </w:p>
    <w:p>
      <w:pPr>
        <w:spacing w:line="360" w:lineRule="auto"/>
        <w:outlineLvl w:val="1"/>
        <w:rPr>
          <w:rFonts w:hint="default" w:ascii="Times New Roman" w:hAnsi="Times New Roman" w:cs="Times New Roman"/>
          <w:b/>
          <w:color w:val="auto"/>
          <w:sz w:val="30"/>
          <w:szCs w:val="30"/>
        </w:rPr>
      </w:pPr>
      <w:bookmarkStart w:id="24" w:name="_Toc13934"/>
      <w:r>
        <w:rPr>
          <w:rFonts w:hint="eastAsia" w:ascii="Times New Roman" w:hAnsi="Times New Roman" w:cs="Times New Roman"/>
          <w:b/>
          <w:color w:val="auto"/>
          <w:sz w:val="30"/>
          <w:szCs w:val="30"/>
          <w:lang w:val="en-US" w:eastAsia="zh-CN"/>
        </w:rPr>
        <w:t>3.5</w:t>
      </w:r>
      <w:r>
        <w:rPr>
          <w:rFonts w:hint="default" w:ascii="Times New Roman" w:hAnsi="Times New Roman" w:cs="Times New Roman"/>
          <w:b/>
          <w:color w:val="auto"/>
          <w:sz w:val="30"/>
          <w:szCs w:val="30"/>
        </w:rPr>
        <w:t>主要原辅材料</w:t>
      </w:r>
      <w:bookmarkEnd w:id="23"/>
      <w:bookmarkEnd w:id="24"/>
    </w:p>
    <w:p>
      <w:pPr>
        <w:autoSpaceDE w:val="0"/>
        <w:autoSpaceDN w:val="0"/>
        <w:adjustRightInd w:val="0"/>
        <w:spacing w:line="360" w:lineRule="auto"/>
        <w:ind w:firstLine="480" w:firstLineChars="200"/>
        <w:outlineLvl w:val="9"/>
        <w:rPr>
          <w:rFonts w:hint="default" w:ascii="Times New Roman" w:hAnsi="Times New Roman" w:cs="Times New Roman"/>
          <w:b w:val="0"/>
          <w:color w:val="auto"/>
          <w:sz w:val="24"/>
          <w:szCs w:val="24"/>
        </w:rPr>
      </w:pPr>
      <w:r>
        <w:rPr>
          <w:rFonts w:ascii="Times New Roman" w:hAnsi="Times New Roman" w:cs="Times New Roman"/>
          <w:color w:val="auto"/>
          <w:sz w:val="24"/>
          <w:szCs w:val="24"/>
        </w:rPr>
        <w:t>验收项目环评时</w:t>
      </w:r>
      <w:r>
        <w:rPr>
          <w:rFonts w:hint="eastAsia" w:ascii="Times New Roman" w:hAnsi="Times New Roman" w:cs="Times New Roman"/>
          <w:color w:val="auto"/>
          <w:sz w:val="24"/>
          <w:szCs w:val="24"/>
          <w:lang w:val="en-US" w:eastAsia="zh-CN"/>
        </w:rPr>
        <w:t>原辅材料</w:t>
      </w:r>
      <w:r>
        <w:rPr>
          <w:rFonts w:ascii="Times New Roman" w:hAnsi="Times New Roman" w:cs="Times New Roman"/>
          <w:color w:val="auto"/>
          <w:sz w:val="24"/>
          <w:szCs w:val="24"/>
        </w:rPr>
        <w:t>与本次验收</w:t>
      </w:r>
      <w:r>
        <w:rPr>
          <w:rFonts w:hint="eastAsia" w:ascii="Times New Roman" w:hAnsi="Times New Roman" w:cs="Times New Roman"/>
          <w:color w:val="auto"/>
          <w:sz w:val="24"/>
          <w:szCs w:val="24"/>
          <w:lang w:val="en-US" w:eastAsia="zh-CN"/>
        </w:rPr>
        <w:t>原辅材料</w:t>
      </w:r>
      <w:r>
        <w:rPr>
          <w:rFonts w:ascii="Times New Roman" w:hAnsi="Times New Roman" w:cs="Times New Roman"/>
          <w:color w:val="auto"/>
          <w:sz w:val="24"/>
          <w:szCs w:val="24"/>
        </w:rPr>
        <w:t>对比详见</w:t>
      </w:r>
      <w:r>
        <w:rPr>
          <w:rFonts w:hint="default" w:ascii="Times New Roman" w:hAnsi="Times New Roman" w:cs="Times New Roman"/>
          <w:color w:val="auto"/>
          <w:sz w:val="24"/>
          <w:szCs w:val="24"/>
        </w:rPr>
        <w:t>下</w:t>
      </w:r>
      <w:r>
        <w:rPr>
          <w:rFonts w:ascii="Times New Roman" w:hAnsi="Times New Roman" w:cs="Times New Roman"/>
          <w:color w:val="auto"/>
          <w:sz w:val="24"/>
          <w:szCs w:val="24"/>
        </w:rPr>
        <w:t>表</w:t>
      </w:r>
      <w:r>
        <w:rPr>
          <w:rFonts w:hint="default" w:ascii="Times New Roman" w:hAnsi="Times New Roman" w:cs="Times New Roman"/>
          <w:color w:val="auto"/>
          <w:sz w:val="24"/>
          <w:szCs w:val="24"/>
          <w:lang w:eastAsia="zh-CN"/>
        </w:rPr>
        <w:t>。</w:t>
      </w:r>
    </w:p>
    <w:p>
      <w:pPr>
        <w:jc w:val="center"/>
        <w:rPr>
          <w:rFonts w:ascii="Times New Roman" w:hAnsi="Times New Roman" w:cs="Times New Roman"/>
          <w:b/>
          <w:bCs/>
          <w:color w:val="auto"/>
        </w:rPr>
      </w:pPr>
      <w:r>
        <w:rPr>
          <w:rFonts w:ascii="Times New Roman" w:hAnsi="Times New Roman" w:cs="Times New Roman"/>
          <w:b/>
          <w:bCs/>
          <w:color w:val="auto"/>
        </w:rPr>
        <w:t>表3.</w:t>
      </w:r>
      <w:r>
        <w:rPr>
          <w:rFonts w:hint="eastAsia" w:ascii="Times New Roman" w:hAnsi="Times New Roman" w:cs="Times New Roman"/>
          <w:b/>
          <w:bCs/>
          <w:color w:val="auto"/>
          <w:lang w:val="en-US" w:eastAsia="zh-CN"/>
        </w:rPr>
        <w:t>5</w:t>
      </w:r>
      <w:r>
        <w:rPr>
          <w:rFonts w:ascii="Times New Roman" w:hAnsi="Times New Roman" w:cs="Times New Roman"/>
          <w:b/>
          <w:bCs/>
          <w:color w:val="auto"/>
        </w:rPr>
        <w:t>-1   原辅材料及年用量</w:t>
      </w:r>
    </w:p>
    <w:tbl>
      <w:tblPr>
        <w:tblStyle w:val="28"/>
        <w:tblW w:w="4997"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22"/>
        <w:gridCol w:w="981"/>
        <w:gridCol w:w="979"/>
        <w:gridCol w:w="1255"/>
        <w:gridCol w:w="1255"/>
        <w:gridCol w:w="794"/>
        <w:gridCol w:w="986"/>
        <w:gridCol w:w="882"/>
        <w:gridCol w:w="76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adjustRightInd w:val="0"/>
              <w:snapToGrid w:val="0"/>
              <w:jc w:val="center"/>
              <w:rPr>
                <w:rFonts w:ascii="Times New Roman" w:hAnsi="Times New Roman" w:cs="Times New Roman"/>
                <w:b/>
                <w:bCs/>
                <w:color w:val="auto"/>
              </w:rPr>
            </w:pPr>
            <w:r>
              <w:rPr>
                <w:rFonts w:ascii="Times New Roman" w:hAnsi="Times New Roman" w:cs="Times New Roman"/>
                <w:b/>
                <w:bCs/>
                <w:color w:val="auto"/>
              </w:rPr>
              <w:t>序号</w:t>
            </w:r>
          </w:p>
        </w:tc>
        <w:tc>
          <w:tcPr>
            <w:tcW w:w="601" w:type="pct"/>
            <w:vAlign w:val="center"/>
          </w:tcPr>
          <w:p>
            <w:pPr>
              <w:adjustRightInd w:val="0"/>
              <w:snapToGrid w:val="0"/>
              <w:jc w:val="center"/>
              <w:rPr>
                <w:rFonts w:ascii="Times New Roman" w:hAnsi="Times New Roman" w:cs="Times New Roman"/>
                <w:b/>
                <w:bCs/>
                <w:color w:val="auto"/>
              </w:rPr>
            </w:pPr>
            <w:r>
              <w:rPr>
                <w:rFonts w:ascii="Times New Roman" w:hAnsi="Times New Roman" w:cs="Times New Roman"/>
                <w:b/>
                <w:bCs/>
                <w:color w:val="auto"/>
              </w:rPr>
              <w:t>原料名称</w:t>
            </w:r>
          </w:p>
        </w:tc>
        <w:tc>
          <w:tcPr>
            <w:tcW w:w="464" w:type="pct"/>
            <w:vAlign w:val="center"/>
          </w:tcPr>
          <w:p>
            <w:pPr>
              <w:adjustRightInd w:val="0"/>
              <w:snapToGrid w:val="0"/>
              <w:jc w:val="center"/>
              <w:rPr>
                <w:rFonts w:ascii="Times New Roman" w:hAnsi="Times New Roman" w:cs="Times New Roman"/>
                <w:b/>
                <w:bCs/>
                <w:color w:val="auto"/>
              </w:rPr>
            </w:pPr>
            <w:r>
              <w:rPr>
                <w:rFonts w:ascii="Times New Roman" w:hAnsi="Times New Roman" w:cs="Times New Roman"/>
                <w:b/>
                <w:bCs/>
                <w:color w:val="auto"/>
              </w:rPr>
              <w:t>规格/纯度</w:t>
            </w:r>
          </w:p>
        </w:tc>
        <w:tc>
          <w:tcPr>
            <w:tcW w:w="584" w:type="pct"/>
            <w:vAlign w:val="center"/>
          </w:tcPr>
          <w:p>
            <w:pPr>
              <w:adjustRightInd w:val="0"/>
              <w:snapToGrid w:val="0"/>
              <w:jc w:val="center"/>
              <w:rPr>
                <w:rFonts w:ascii="Times New Roman" w:hAnsi="Times New Roman" w:cs="Times New Roman"/>
                <w:b/>
                <w:bCs/>
                <w:color w:val="auto"/>
              </w:rPr>
            </w:pPr>
            <w:r>
              <w:rPr>
                <w:rFonts w:hint="default" w:ascii="Times New Roman" w:hAnsi="Times New Roman" w:cs="Times New Roman"/>
                <w:b/>
                <w:bCs/>
                <w:color w:val="auto"/>
              </w:rPr>
              <w:t>环评设计年用量</w:t>
            </w:r>
            <w:r>
              <w:rPr>
                <w:rFonts w:ascii="Times New Roman" w:hAnsi="Times New Roman" w:cs="Times New Roman"/>
                <w:b/>
                <w:bCs/>
                <w:color w:val="auto"/>
              </w:rPr>
              <w:t>（t）</w:t>
            </w:r>
          </w:p>
        </w:tc>
        <w:tc>
          <w:tcPr>
            <w:tcW w:w="584" w:type="pct"/>
            <w:vAlign w:val="center"/>
          </w:tcPr>
          <w:p>
            <w:pPr>
              <w:adjustRightInd w:val="0"/>
              <w:snapToGrid w:val="0"/>
              <w:jc w:val="center"/>
              <w:rPr>
                <w:rFonts w:ascii="Times New Roman" w:hAnsi="Times New Roman" w:cs="Times New Roman"/>
                <w:b/>
                <w:bCs/>
                <w:color w:val="auto"/>
              </w:rPr>
            </w:pPr>
            <w:r>
              <w:rPr>
                <w:rFonts w:hint="default" w:ascii="Times New Roman" w:hAnsi="Times New Roman" w:cs="Times New Roman"/>
                <w:b/>
                <w:bCs/>
                <w:color w:val="auto"/>
              </w:rPr>
              <w:t>实际</w:t>
            </w:r>
            <w:r>
              <w:rPr>
                <w:rFonts w:ascii="Times New Roman" w:hAnsi="Times New Roman" w:cs="Times New Roman"/>
                <w:b/>
                <w:bCs/>
                <w:color w:val="auto"/>
              </w:rPr>
              <w:t>年用量（t）</w:t>
            </w:r>
          </w:p>
        </w:tc>
        <w:tc>
          <w:tcPr>
            <w:tcW w:w="538" w:type="pct"/>
            <w:vAlign w:val="center"/>
          </w:tcPr>
          <w:p>
            <w:pPr>
              <w:adjustRightInd w:val="0"/>
              <w:snapToGrid w:val="0"/>
              <w:jc w:val="center"/>
              <w:rPr>
                <w:rFonts w:ascii="Times New Roman" w:hAnsi="Times New Roman" w:cs="Times New Roman"/>
                <w:b/>
                <w:bCs/>
                <w:color w:val="auto"/>
              </w:rPr>
            </w:pPr>
            <w:r>
              <w:rPr>
                <w:rFonts w:ascii="Times New Roman" w:hAnsi="Times New Roman" w:cs="Times New Roman"/>
                <w:b/>
                <w:bCs/>
                <w:color w:val="auto"/>
              </w:rPr>
              <w:t>每批次物料投加量（t）</w:t>
            </w:r>
          </w:p>
        </w:tc>
        <w:tc>
          <w:tcPr>
            <w:tcW w:w="689" w:type="pct"/>
            <w:vAlign w:val="center"/>
          </w:tcPr>
          <w:p>
            <w:pPr>
              <w:adjustRightInd w:val="0"/>
              <w:snapToGrid w:val="0"/>
              <w:jc w:val="center"/>
              <w:rPr>
                <w:rFonts w:ascii="Times New Roman" w:hAnsi="Times New Roman" w:cs="Times New Roman"/>
                <w:b/>
                <w:bCs/>
                <w:color w:val="auto"/>
              </w:rPr>
            </w:pPr>
            <w:r>
              <w:rPr>
                <w:rFonts w:ascii="Times New Roman" w:hAnsi="Times New Roman" w:cs="Times New Roman"/>
                <w:b/>
                <w:bCs/>
                <w:color w:val="auto"/>
              </w:rPr>
              <w:t>包装方式</w:t>
            </w:r>
          </w:p>
        </w:tc>
        <w:tc>
          <w:tcPr>
            <w:tcW w:w="587" w:type="pct"/>
            <w:vAlign w:val="center"/>
          </w:tcPr>
          <w:p>
            <w:pPr>
              <w:adjustRightInd w:val="0"/>
              <w:snapToGrid w:val="0"/>
              <w:jc w:val="center"/>
              <w:rPr>
                <w:rFonts w:ascii="Times New Roman" w:hAnsi="Times New Roman" w:cs="Times New Roman"/>
                <w:b/>
                <w:bCs/>
                <w:color w:val="auto"/>
              </w:rPr>
            </w:pPr>
            <w:r>
              <w:rPr>
                <w:rFonts w:ascii="Times New Roman" w:hAnsi="Times New Roman" w:cs="Times New Roman"/>
                <w:b/>
                <w:bCs/>
                <w:color w:val="auto"/>
              </w:rPr>
              <w:t>来源</w:t>
            </w:r>
          </w:p>
        </w:tc>
        <w:tc>
          <w:tcPr>
            <w:tcW w:w="514" w:type="pct"/>
            <w:vAlign w:val="center"/>
          </w:tcPr>
          <w:p>
            <w:pPr>
              <w:adjustRightInd w:val="0"/>
              <w:snapToGrid w:val="0"/>
              <w:jc w:val="center"/>
              <w:rPr>
                <w:rFonts w:ascii="Times New Roman" w:hAnsi="Times New Roman" w:cs="Times New Roman"/>
                <w:b/>
                <w:bCs/>
                <w:color w:val="auto"/>
              </w:rPr>
            </w:pPr>
            <w:r>
              <w:rPr>
                <w:rFonts w:ascii="Times New Roman" w:hAnsi="Times New Roman" w:cs="Times New Roman"/>
                <w:b/>
                <w:bCs/>
                <w:color w:val="auto"/>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一</w:t>
            </w:r>
          </w:p>
        </w:tc>
        <w:tc>
          <w:tcPr>
            <w:tcW w:w="4564" w:type="pct"/>
            <w:gridSpan w:val="8"/>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DMP-30促进剂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1</w:t>
            </w:r>
          </w:p>
        </w:tc>
        <w:tc>
          <w:tcPr>
            <w:tcW w:w="601"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苯酚</w:t>
            </w:r>
          </w:p>
        </w:tc>
        <w:tc>
          <w:tcPr>
            <w:tcW w:w="46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≥99.48%</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1812</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1812</w:t>
            </w:r>
          </w:p>
        </w:tc>
        <w:tc>
          <w:tcPr>
            <w:tcW w:w="538"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3.624</w:t>
            </w:r>
          </w:p>
        </w:tc>
        <w:tc>
          <w:tcPr>
            <w:tcW w:w="689" w:type="pct"/>
            <w:vAlign w:val="center"/>
          </w:tcPr>
          <w:p>
            <w:pPr>
              <w:jc w:val="center"/>
              <w:rPr>
                <w:rFonts w:ascii="Times New Roman" w:hAnsi="Times New Roman" w:cs="Times New Roman"/>
                <w:color w:val="auto"/>
              </w:rPr>
            </w:pPr>
            <w:r>
              <w:rPr>
                <w:rFonts w:ascii="Times New Roman" w:hAnsi="Times New Roman" w:cs="Times New Roman"/>
                <w:color w:val="auto"/>
              </w:rPr>
              <w:t>储罐</w:t>
            </w:r>
          </w:p>
        </w:tc>
        <w:tc>
          <w:tcPr>
            <w:tcW w:w="587"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外购</w:t>
            </w:r>
          </w:p>
        </w:tc>
        <w:tc>
          <w:tcPr>
            <w:tcW w:w="514" w:type="pct"/>
            <w:vAlign w:val="center"/>
          </w:tcPr>
          <w:p>
            <w:pPr>
              <w:adjustRightInd w:val="0"/>
              <w:snapToGrid w:val="0"/>
              <w:jc w:val="center"/>
              <w:rPr>
                <w:rFonts w:ascii="Times New Roman" w:hAnsi="Times New Roman" w:cs="Times New Roman"/>
                <w:color w:val="auto"/>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2</w:t>
            </w:r>
          </w:p>
        </w:tc>
        <w:tc>
          <w:tcPr>
            <w:tcW w:w="601"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二甲胺</w:t>
            </w:r>
          </w:p>
        </w:tc>
        <w:tc>
          <w:tcPr>
            <w:tcW w:w="46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≥99%</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2561.25</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2561.25</w:t>
            </w:r>
          </w:p>
        </w:tc>
        <w:tc>
          <w:tcPr>
            <w:tcW w:w="538"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5.1225</w:t>
            </w:r>
          </w:p>
        </w:tc>
        <w:tc>
          <w:tcPr>
            <w:tcW w:w="689" w:type="pct"/>
            <w:vAlign w:val="center"/>
          </w:tcPr>
          <w:p>
            <w:pPr>
              <w:jc w:val="center"/>
              <w:rPr>
                <w:rFonts w:ascii="Times New Roman" w:hAnsi="Times New Roman" w:cs="Times New Roman"/>
                <w:color w:val="auto"/>
              </w:rPr>
            </w:pPr>
            <w:r>
              <w:rPr>
                <w:rFonts w:ascii="Times New Roman" w:hAnsi="Times New Roman" w:cs="Times New Roman"/>
                <w:color w:val="auto"/>
              </w:rPr>
              <w:t>储罐</w:t>
            </w:r>
          </w:p>
        </w:tc>
        <w:tc>
          <w:tcPr>
            <w:tcW w:w="587"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外购</w:t>
            </w:r>
          </w:p>
        </w:tc>
        <w:tc>
          <w:tcPr>
            <w:tcW w:w="514" w:type="pct"/>
            <w:vAlign w:val="center"/>
          </w:tcPr>
          <w:p>
            <w:pPr>
              <w:adjustRightInd w:val="0"/>
              <w:snapToGrid w:val="0"/>
              <w:jc w:val="center"/>
              <w:rPr>
                <w:rFonts w:ascii="Times New Roman" w:hAnsi="Times New Roman" w:cs="Times New Roman"/>
                <w:color w:val="auto"/>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3</w:t>
            </w:r>
          </w:p>
        </w:tc>
        <w:tc>
          <w:tcPr>
            <w:tcW w:w="601"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甲醛(37%)</w:t>
            </w:r>
          </w:p>
        </w:tc>
        <w:tc>
          <w:tcPr>
            <w:tcW w:w="46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37%</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4692</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4692</w:t>
            </w:r>
          </w:p>
        </w:tc>
        <w:tc>
          <w:tcPr>
            <w:tcW w:w="538"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9.384</w:t>
            </w:r>
          </w:p>
        </w:tc>
        <w:tc>
          <w:tcPr>
            <w:tcW w:w="689"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储罐</w:t>
            </w:r>
          </w:p>
        </w:tc>
        <w:tc>
          <w:tcPr>
            <w:tcW w:w="587"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外购</w:t>
            </w:r>
          </w:p>
        </w:tc>
        <w:tc>
          <w:tcPr>
            <w:tcW w:w="514" w:type="pct"/>
            <w:vAlign w:val="center"/>
          </w:tcPr>
          <w:p>
            <w:pPr>
              <w:adjustRightInd w:val="0"/>
              <w:snapToGrid w:val="0"/>
              <w:jc w:val="center"/>
              <w:rPr>
                <w:rFonts w:ascii="Times New Roman" w:hAnsi="Times New Roman" w:cs="Times New Roman"/>
                <w:color w:val="auto"/>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二</w:t>
            </w:r>
          </w:p>
        </w:tc>
        <w:tc>
          <w:tcPr>
            <w:tcW w:w="4564" w:type="pct"/>
            <w:gridSpan w:val="8"/>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PPA-1固化剂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1</w:t>
            </w:r>
          </w:p>
        </w:tc>
        <w:tc>
          <w:tcPr>
            <w:tcW w:w="601" w:type="pct"/>
            <w:vAlign w:val="bottom"/>
          </w:tcPr>
          <w:p>
            <w:pPr>
              <w:adjustRightInd w:val="0"/>
              <w:snapToGrid w:val="0"/>
              <w:jc w:val="center"/>
              <w:rPr>
                <w:rFonts w:ascii="Times New Roman" w:hAnsi="Times New Roman" w:cs="Times New Roman"/>
                <w:color w:val="auto"/>
              </w:rPr>
            </w:pPr>
            <w:r>
              <w:rPr>
                <w:rFonts w:ascii="Times New Roman" w:hAnsi="Times New Roman" w:cs="Times New Roman"/>
                <w:color w:val="auto"/>
              </w:rPr>
              <w:t>苯酚</w:t>
            </w:r>
          </w:p>
        </w:tc>
        <w:tc>
          <w:tcPr>
            <w:tcW w:w="46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≥99.48%</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638</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638</w:t>
            </w:r>
          </w:p>
        </w:tc>
        <w:tc>
          <w:tcPr>
            <w:tcW w:w="538"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2.1267</w:t>
            </w:r>
          </w:p>
        </w:tc>
        <w:tc>
          <w:tcPr>
            <w:tcW w:w="689"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储罐</w:t>
            </w:r>
          </w:p>
        </w:tc>
        <w:tc>
          <w:tcPr>
            <w:tcW w:w="587"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外购</w:t>
            </w:r>
          </w:p>
        </w:tc>
        <w:tc>
          <w:tcPr>
            <w:tcW w:w="514" w:type="pct"/>
            <w:vAlign w:val="center"/>
          </w:tcPr>
          <w:p>
            <w:pPr>
              <w:adjustRightInd w:val="0"/>
              <w:snapToGrid w:val="0"/>
              <w:jc w:val="center"/>
              <w:rPr>
                <w:rFonts w:ascii="Times New Roman" w:hAnsi="Times New Roman" w:cs="Times New Roman"/>
                <w:color w:val="auto"/>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2</w:t>
            </w:r>
          </w:p>
        </w:tc>
        <w:tc>
          <w:tcPr>
            <w:tcW w:w="601" w:type="pct"/>
            <w:vAlign w:val="bottom"/>
          </w:tcPr>
          <w:p>
            <w:pPr>
              <w:adjustRightInd w:val="0"/>
              <w:snapToGrid w:val="0"/>
              <w:jc w:val="center"/>
              <w:rPr>
                <w:rFonts w:ascii="Times New Roman" w:hAnsi="Times New Roman" w:cs="Times New Roman"/>
                <w:color w:val="auto"/>
              </w:rPr>
            </w:pPr>
            <w:r>
              <w:rPr>
                <w:rFonts w:ascii="Times New Roman" w:hAnsi="Times New Roman" w:cs="Times New Roman"/>
                <w:color w:val="auto"/>
              </w:rPr>
              <w:t>多聚甲醛</w:t>
            </w:r>
          </w:p>
        </w:tc>
        <w:tc>
          <w:tcPr>
            <w:tcW w:w="46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≥96%</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222.39</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222.39</w:t>
            </w:r>
          </w:p>
        </w:tc>
        <w:tc>
          <w:tcPr>
            <w:tcW w:w="538"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0.7413</w:t>
            </w:r>
          </w:p>
        </w:tc>
        <w:tc>
          <w:tcPr>
            <w:tcW w:w="689"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袋装</w:t>
            </w:r>
          </w:p>
        </w:tc>
        <w:tc>
          <w:tcPr>
            <w:tcW w:w="587"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外购</w:t>
            </w:r>
          </w:p>
        </w:tc>
        <w:tc>
          <w:tcPr>
            <w:tcW w:w="514" w:type="pct"/>
            <w:vAlign w:val="center"/>
          </w:tcPr>
          <w:p>
            <w:pPr>
              <w:adjustRightInd w:val="0"/>
              <w:snapToGrid w:val="0"/>
              <w:jc w:val="center"/>
              <w:rPr>
                <w:rFonts w:ascii="Times New Roman" w:hAnsi="Times New Roman" w:cs="Times New Roman"/>
                <w:color w:val="auto"/>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3</w:t>
            </w:r>
          </w:p>
        </w:tc>
        <w:tc>
          <w:tcPr>
            <w:tcW w:w="601" w:type="pct"/>
            <w:vAlign w:val="bottom"/>
          </w:tcPr>
          <w:p>
            <w:pPr>
              <w:adjustRightInd w:val="0"/>
              <w:snapToGrid w:val="0"/>
              <w:jc w:val="center"/>
              <w:rPr>
                <w:rFonts w:ascii="Times New Roman" w:hAnsi="Times New Roman" w:cs="Times New Roman"/>
                <w:color w:val="auto"/>
              </w:rPr>
            </w:pPr>
            <w:r>
              <w:rPr>
                <w:rFonts w:ascii="Times New Roman" w:hAnsi="Times New Roman" w:cs="Times New Roman"/>
                <w:color w:val="auto"/>
              </w:rPr>
              <w:t>乙二胺</w:t>
            </w:r>
          </w:p>
        </w:tc>
        <w:tc>
          <w:tcPr>
            <w:tcW w:w="46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≥98%</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396</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396</w:t>
            </w:r>
          </w:p>
        </w:tc>
        <w:tc>
          <w:tcPr>
            <w:tcW w:w="538"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1.32</w:t>
            </w:r>
          </w:p>
        </w:tc>
        <w:tc>
          <w:tcPr>
            <w:tcW w:w="689"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桶装</w:t>
            </w:r>
          </w:p>
        </w:tc>
        <w:tc>
          <w:tcPr>
            <w:tcW w:w="587"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外购</w:t>
            </w:r>
          </w:p>
        </w:tc>
        <w:tc>
          <w:tcPr>
            <w:tcW w:w="514" w:type="pct"/>
            <w:vAlign w:val="center"/>
          </w:tcPr>
          <w:p>
            <w:pPr>
              <w:adjustRightInd w:val="0"/>
              <w:snapToGrid w:val="0"/>
              <w:jc w:val="center"/>
              <w:rPr>
                <w:rFonts w:ascii="Times New Roman" w:hAnsi="Times New Roman" w:cs="Times New Roman"/>
                <w:color w:val="auto"/>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4</w:t>
            </w:r>
          </w:p>
        </w:tc>
        <w:tc>
          <w:tcPr>
            <w:tcW w:w="601" w:type="pct"/>
            <w:vAlign w:val="bottom"/>
          </w:tcPr>
          <w:p>
            <w:pPr>
              <w:adjustRightInd w:val="0"/>
              <w:snapToGrid w:val="0"/>
              <w:jc w:val="center"/>
              <w:rPr>
                <w:rFonts w:ascii="Times New Roman" w:hAnsi="Times New Roman" w:cs="Times New Roman"/>
                <w:color w:val="auto"/>
              </w:rPr>
            </w:pPr>
            <w:r>
              <w:rPr>
                <w:rFonts w:ascii="Times New Roman" w:hAnsi="Times New Roman" w:cs="Times New Roman"/>
                <w:color w:val="auto"/>
              </w:rPr>
              <w:t>邻苯二甲酸二丁酯</w:t>
            </w:r>
          </w:p>
        </w:tc>
        <w:tc>
          <w:tcPr>
            <w:tcW w:w="46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≥99%</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96</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96</w:t>
            </w:r>
          </w:p>
        </w:tc>
        <w:tc>
          <w:tcPr>
            <w:tcW w:w="538"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0.32</w:t>
            </w:r>
          </w:p>
        </w:tc>
        <w:tc>
          <w:tcPr>
            <w:tcW w:w="689"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桶装</w:t>
            </w:r>
          </w:p>
        </w:tc>
        <w:tc>
          <w:tcPr>
            <w:tcW w:w="587"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外购</w:t>
            </w:r>
          </w:p>
        </w:tc>
        <w:tc>
          <w:tcPr>
            <w:tcW w:w="514" w:type="pct"/>
            <w:vAlign w:val="center"/>
          </w:tcPr>
          <w:p>
            <w:pPr>
              <w:adjustRightInd w:val="0"/>
              <w:snapToGrid w:val="0"/>
              <w:jc w:val="center"/>
              <w:rPr>
                <w:rFonts w:ascii="Times New Roman" w:hAnsi="Times New Roman" w:cs="Times New Roman"/>
                <w:color w:val="auto"/>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5</w:t>
            </w:r>
          </w:p>
        </w:tc>
        <w:tc>
          <w:tcPr>
            <w:tcW w:w="601" w:type="pct"/>
            <w:vAlign w:val="bottom"/>
          </w:tcPr>
          <w:p>
            <w:pPr>
              <w:adjustRightInd w:val="0"/>
              <w:snapToGrid w:val="0"/>
              <w:jc w:val="center"/>
              <w:rPr>
                <w:rFonts w:ascii="Times New Roman" w:hAnsi="Times New Roman" w:cs="Times New Roman"/>
                <w:color w:val="auto"/>
              </w:rPr>
            </w:pPr>
            <w:r>
              <w:rPr>
                <w:rFonts w:ascii="Times New Roman" w:hAnsi="Times New Roman" w:cs="Times New Roman"/>
                <w:color w:val="auto"/>
              </w:rPr>
              <w:t>甲醇</w:t>
            </w:r>
          </w:p>
        </w:tc>
        <w:tc>
          <w:tcPr>
            <w:tcW w:w="46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≥99%</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148.35</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148.35</w:t>
            </w:r>
          </w:p>
        </w:tc>
        <w:tc>
          <w:tcPr>
            <w:tcW w:w="538"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0.4945</w:t>
            </w:r>
          </w:p>
        </w:tc>
        <w:tc>
          <w:tcPr>
            <w:tcW w:w="689"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桶装</w:t>
            </w:r>
          </w:p>
        </w:tc>
        <w:tc>
          <w:tcPr>
            <w:tcW w:w="587"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外购</w:t>
            </w:r>
          </w:p>
        </w:tc>
        <w:tc>
          <w:tcPr>
            <w:tcW w:w="514" w:type="pct"/>
            <w:vAlign w:val="center"/>
          </w:tcPr>
          <w:p>
            <w:pPr>
              <w:adjustRightInd w:val="0"/>
              <w:snapToGrid w:val="0"/>
              <w:jc w:val="center"/>
              <w:rPr>
                <w:rFonts w:ascii="Times New Roman" w:hAnsi="Times New Roman" w:cs="Times New Roman"/>
                <w:color w:val="auto"/>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adjustRightInd w:val="0"/>
              <w:snapToGrid w:val="0"/>
              <w:jc w:val="center"/>
              <w:rPr>
                <w:rFonts w:ascii="Times New Roman" w:hAnsi="Times New Roman" w:cs="Times New Roman"/>
                <w:color w:val="auto"/>
              </w:rPr>
            </w:pPr>
          </w:p>
        </w:tc>
        <w:tc>
          <w:tcPr>
            <w:tcW w:w="4564" w:type="pct"/>
            <w:gridSpan w:val="8"/>
            <w:vAlign w:val="bottom"/>
          </w:tcPr>
          <w:p>
            <w:pPr>
              <w:adjustRightInd w:val="0"/>
              <w:snapToGrid w:val="0"/>
              <w:jc w:val="center"/>
              <w:rPr>
                <w:rFonts w:ascii="Times New Roman" w:hAnsi="Times New Roman" w:cs="Times New Roman"/>
                <w:color w:val="auto"/>
              </w:rPr>
            </w:pPr>
            <w:r>
              <w:rPr>
                <w:rFonts w:ascii="Times New Roman" w:hAnsi="Times New Roman" w:cs="Times New Roman"/>
                <w:color w:val="auto"/>
              </w:rPr>
              <w:t>PPA-2固化剂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1</w:t>
            </w:r>
          </w:p>
        </w:tc>
        <w:tc>
          <w:tcPr>
            <w:tcW w:w="601" w:type="pct"/>
            <w:vAlign w:val="bottom"/>
          </w:tcPr>
          <w:p>
            <w:pPr>
              <w:adjustRightInd w:val="0"/>
              <w:snapToGrid w:val="0"/>
              <w:jc w:val="center"/>
              <w:rPr>
                <w:rFonts w:ascii="Times New Roman" w:hAnsi="Times New Roman" w:cs="Times New Roman"/>
                <w:color w:val="auto"/>
              </w:rPr>
            </w:pPr>
            <w:r>
              <w:rPr>
                <w:rFonts w:ascii="Times New Roman" w:hAnsi="Times New Roman" w:cs="Times New Roman"/>
                <w:color w:val="auto"/>
              </w:rPr>
              <w:t>苯酚</w:t>
            </w:r>
          </w:p>
        </w:tc>
        <w:tc>
          <w:tcPr>
            <w:tcW w:w="46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≥99.48%</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463.3</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463.3</w:t>
            </w:r>
          </w:p>
        </w:tc>
        <w:tc>
          <w:tcPr>
            <w:tcW w:w="538"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0.9266</w:t>
            </w:r>
          </w:p>
        </w:tc>
        <w:tc>
          <w:tcPr>
            <w:tcW w:w="689"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储罐</w:t>
            </w:r>
          </w:p>
        </w:tc>
        <w:tc>
          <w:tcPr>
            <w:tcW w:w="587"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外购</w:t>
            </w:r>
          </w:p>
        </w:tc>
        <w:tc>
          <w:tcPr>
            <w:tcW w:w="514" w:type="pct"/>
            <w:vAlign w:val="center"/>
          </w:tcPr>
          <w:p>
            <w:pPr>
              <w:adjustRightInd w:val="0"/>
              <w:snapToGrid w:val="0"/>
              <w:jc w:val="center"/>
              <w:rPr>
                <w:rFonts w:ascii="Times New Roman" w:hAnsi="Times New Roman" w:cs="Times New Roman"/>
                <w:color w:val="auto"/>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2</w:t>
            </w:r>
          </w:p>
        </w:tc>
        <w:tc>
          <w:tcPr>
            <w:tcW w:w="601" w:type="pct"/>
            <w:vAlign w:val="bottom"/>
          </w:tcPr>
          <w:p>
            <w:pPr>
              <w:adjustRightInd w:val="0"/>
              <w:snapToGrid w:val="0"/>
              <w:jc w:val="center"/>
              <w:rPr>
                <w:rFonts w:ascii="Times New Roman" w:hAnsi="Times New Roman" w:cs="Times New Roman"/>
                <w:color w:val="auto"/>
              </w:rPr>
            </w:pPr>
            <w:r>
              <w:rPr>
                <w:rFonts w:ascii="Times New Roman" w:hAnsi="Times New Roman" w:cs="Times New Roman"/>
                <w:color w:val="auto"/>
              </w:rPr>
              <w:t>腰果酚</w:t>
            </w:r>
          </w:p>
        </w:tc>
        <w:tc>
          <w:tcPr>
            <w:tcW w:w="46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≥90%</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234</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234</w:t>
            </w:r>
          </w:p>
        </w:tc>
        <w:tc>
          <w:tcPr>
            <w:tcW w:w="538"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10</w:t>
            </w:r>
          </w:p>
        </w:tc>
        <w:tc>
          <w:tcPr>
            <w:tcW w:w="689"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桶装</w:t>
            </w:r>
          </w:p>
        </w:tc>
        <w:tc>
          <w:tcPr>
            <w:tcW w:w="587"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外购</w:t>
            </w:r>
          </w:p>
        </w:tc>
        <w:tc>
          <w:tcPr>
            <w:tcW w:w="514" w:type="pct"/>
            <w:vAlign w:val="center"/>
          </w:tcPr>
          <w:p>
            <w:pPr>
              <w:adjustRightInd w:val="0"/>
              <w:snapToGrid w:val="0"/>
              <w:jc w:val="center"/>
              <w:rPr>
                <w:rFonts w:ascii="Times New Roman" w:hAnsi="Times New Roman" w:cs="Times New Roman"/>
                <w:color w:val="auto"/>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3</w:t>
            </w:r>
          </w:p>
        </w:tc>
        <w:tc>
          <w:tcPr>
            <w:tcW w:w="601" w:type="pct"/>
            <w:vAlign w:val="bottom"/>
          </w:tcPr>
          <w:p>
            <w:pPr>
              <w:adjustRightInd w:val="0"/>
              <w:snapToGrid w:val="0"/>
              <w:jc w:val="center"/>
              <w:rPr>
                <w:rFonts w:ascii="Times New Roman" w:hAnsi="Times New Roman" w:cs="Times New Roman"/>
                <w:color w:val="auto"/>
              </w:rPr>
            </w:pPr>
            <w:r>
              <w:rPr>
                <w:rFonts w:ascii="Times New Roman" w:hAnsi="Times New Roman" w:cs="Times New Roman"/>
                <w:color w:val="auto"/>
              </w:rPr>
              <w:t>乙二胺</w:t>
            </w:r>
          </w:p>
        </w:tc>
        <w:tc>
          <w:tcPr>
            <w:tcW w:w="46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≥98%</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170.6</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170.6</w:t>
            </w:r>
          </w:p>
        </w:tc>
        <w:tc>
          <w:tcPr>
            <w:tcW w:w="538"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0.3412</w:t>
            </w:r>
          </w:p>
        </w:tc>
        <w:tc>
          <w:tcPr>
            <w:tcW w:w="689"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桶装</w:t>
            </w:r>
          </w:p>
        </w:tc>
        <w:tc>
          <w:tcPr>
            <w:tcW w:w="587"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外购</w:t>
            </w:r>
          </w:p>
        </w:tc>
        <w:tc>
          <w:tcPr>
            <w:tcW w:w="514" w:type="pct"/>
            <w:vAlign w:val="center"/>
          </w:tcPr>
          <w:p>
            <w:pPr>
              <w:adjustRightInd w:val="0"/>
              <w:snapToGrid w:val="0"/>
              <w:jc w:val="center"/>
              <w:rPr>
                <w:rFonts w:ascii="Times New Roman" w:hAnsi="Times New Roman" w:cs="Times New Roman"/>
                <w:color w:val="auto"/>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4</w:t>
            </w:r>
          </w:p>
        </w:tc>
        <w:tc>
          <w:tcPr>
            <w:tcW w:w="601" w:type="pct"/>
            <w:vAlign w:val="bottom"/>
          </w:tcPr>
          <w:p>
            <w:pPr>
              <w:adjustRightInd w:val="0"/>
              <w:snapToGrid w:val="0"/>
              <w:jc w:val="center"/>
              <w:rPr>
                <w:rFonts w:ascii="Times New Roman" w:hAnsi="Times New Roman" w:cs="Times New Roman"/>
                <w:color w:val="auto"/>
              </w:rPr>
            </w:pPr>
            <w:r>
              <w:rPr>
                <w:rFonts w:ascii="Times New Roman" w:hAnsi="Times New Roman" w:cs="Times New Roman"/>
                <w:color w:val="auto"/>
              </w:rPr>
              <w:t>己二胺</w:t>
            </w:r>
          </w:p>
        </w:tc>
        <w:tc>
          <w:tcPr>
            <w:tcW w:w="46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≥99.7%</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82.2</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82.2</w:t>
            </w:r>
          </w:p>
        </w:tc>
        <w:tc>
          <w:tcPr>
            <w:tcW w:w="538"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0.1644</w:t>
            </w:r>
          </w:p>
        </w:tc>
        <w:tc>
          <w:tcPr>
            <w:tcW w:w="689"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桶装</w:t>
            </w:r>
          </w:p>
        </w:tc>
        <w:tc>
          <w:tcPr>
            <w:tcW w:w="587"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外购</w:t>
            </w:r>
          </w:p>
        </w:tc>
        <w:tc>
          <w:tcPr>
            <w:tcW w:w="514" w:type="pct"/>
            <w:vAlign w:val="center"/>
          </w:tcPr>
          <w:p>
            <w:pPr>
              <w:adjustRightInd w:val="0"/>
              <w:snapToGrid w:val="0"/>
              <w:jc w:val="center"/>
              <w:rPr>
                <w:rFonts w:ascii="Times New Roman" w:hAnsi="Times New Roman" w:cs="Times New Roman"/>
                <w:color w:val="auto"/>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5</w:t>
            </w:r>
          </w:p>
        </w:tc>
        <w:tc>
          <w:tcPr>
            <w:tcW w:w="601" w:type="pct"/>
            <w:vAlign w:val="bottom"/>
          </w:tcPr>
          <w:p>
            <w:pPr>
              <w:adjustRightInd w:val="0"/>
              <w:snapToGrid w:val="0"/>
              <w:jc w:val="center"/>
              <w:rPr>
                <w:rFonts w:ascii="Times New Roman" w:hAnsi="Times New Roman" w:cs="Times New Roman"/>
                <w:color w:val="auto"/>
              </w:rPr>
            </w:pPr>
            <w:r>
              <w:rPr>
                <w:rFonts w:ascii="Times New Roman" w:hAnsi="Times New Roman" w:cs="Times New Roman"/>
                <w:color w:val="auto"/>
              </w:rPr>
              <w:t>多乙烯多胺</w:t>
            </w:r>
          </w:p>
        </w:tc>
        <w:tc>
          <w:tcPr>
            <w:tcW w:w="46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359.3</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359.3</w:t>
            </w:r>
          </w:p>
        </w:tc>
        <w:tc>
          <w:tcPr>
            <w:tcW w:w="538"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0.7186</w:t>
            </w:r>
          </w:p>
        </w:tc>
        <w:tc>
          <w:tcPr>
            <w:tcW w:w="689"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桶装</w:t>
            </w:r>
          </w:p>
        </w:tc>
        <w:tc>
          <w:tcPr>
            <w:tcW w:w="587"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外购</w:t>
            </w:r>
          </w:p>
        </w:tc>
        <w:tc>
          <w:tcPr>
            <w:tcW w:w="514" w:type="pct"/>
            <w:vAlign w:val="center"/>
          </w:tcPr>
          <w:p>
            <w:pPr>
              <w:adjustRightInd w:val="0"/>
              <w:snapToGrid w:val="0"/>
              <w:jc w:val="center"/>
              <w:rPr>
                <w:rFonts w:ascii="Times New Roman" w:hAnsi="Times New Roman" w:cs="Times New Roman"/>
                <w:color w:val="auto"/>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6</w:t>
            </w:r>
          </w:p>
        </w:tc>
        <w:tc>
          <w:tcPr>
            <w:tcW w:w="601" w:type="pct"/>
            <w:vAlign w:val="bottom"/>
          </w:tcPr>
          <w:p>
            <w:pPr>
              <w:adjustRightInd w:val="0"/>
              <w:snapToGrid w:val="0"/>
              <w:jc w:val="center"/>
              <w:rPr>
                <w:rFonts w:ascii="Times New Roman" w:hAnsi="Times New Roman" w:cs="Times New Roman"/>
                <w:color w:val="auto"/>
              </w:rPr>
            </w:pPr>
            <w:r>
              <w:rPr>
                <w:rFonts w:ascii="Times New Roman" w:hAnsi="Times New Roman" w:cs="Times New Roman"/>
                <w:color w:val="auto"/>
              </w:rPr>
              <w:t>多聚甲醛</w:t>
            </w:r>
          </w:p>
        </w:tc>
        <w:tc>
          <w:tcPr>
            <w:tcW w:w="46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≥96%</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188.85</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188.85</w:t>
            </w:r>
          </w:p>
        </w:tc>
        <w:tc>
          <w:tcPr>
            <w:tcW w:w="538"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0.3791</w:t>
            </w:r>
          </w:p>
        </w:tc>
        <w:tc>
          <w:tcPr>
            <w:tcW w:w="689"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袋装</w:t>
            </w:r>
          </w:p>
        </w:tc>
        <w:tc>
          <w:tcPr>
            <w:tcW w:w="587"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外购</w:t>
            </w:r>
          </w:p>
        </w:tc>
        <w:tc>
          <w:tcPr>
            <w:tcW w:w="514" w:type="pct"/>
            <w:vAlign w:val="center"/>
          </w:tcPr>
          <w:p>
            <w:pPr>
              <w:adjustRightInd w:val="0"/>
              <w:snapToGrid w:val="0"/>
              <w:jc w:val="center"/>
              <w:rPr>
                <w:rFonts w:ascii="Times New Roman" w:hAnsi="Times New Roman" w:cs="Times New Roman"/>
                <w:color w:val="auto"/>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7</w:t>
            </w:r>
          </w:p>
        </w:tc>
        <w:tc>
          <w:tcPr>
            <w:tcW w:w="601" w:type="pct"/>
            <w:vAlign w:val="bottom"/>
          </w:tcPr>
          <w:p>
            <w:pPr>
              <w:adjustRightInd w:val="0"/>
              <w:snapToGrid w:val="0"/>
              <w:jc w:val="center"/>
              <w:rPr>
                <w:rFonts w:ascii="Times New Roman" w:hAnsi="Times New Roman" w:cs="Times New Roman"/>
                <w:color w:val="auto"/>
              </w:rPr>
            </w:pPr>
            <w:r>
              <w:rPr>
                <w:rFonts w:ascii="Times New Roman" w:hAnsi="Times New Roman" w:cs="Times New Roman"/>
                <w:color w:val="auto"/>
              </w:rPr>
              <w:t>乙醇</w:t>
            </w:r>
          </w:p>
        </w:tc>
        <w:tc>
          <w:tcPr>
            <w:tcW w:w="46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≥95%</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105</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105</w:t>
            </w:r>
          </w:p>
        </w:tc>
        <w:tc>
          <w:tcPr>
            <w:tcW w:w="538"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0.21</w:t>
            </w:r>
          </w:p>
        </w:tc>
        <w:tc>
          <w:tcPr>
            <w:tcW w:w="689"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桶装</w:t>
            </w:r>
          </w:p>
        </w:tc>
        <w:tc>
          <w:tcPr>
            <w:tcW w:w="587"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外购</w:t>
            </w:r>
          </w:p>
        </w:tc>
        <w:tc>
          <w:tcPr>
            <w:tcW w:w="514" w:type="pct"/>
            <w:vAlign w:val="center"/>
          </w:tcPr>
          <w:p>
            <w:pPr>
              <w:adjustRightInd w:val="0"/>
              <w:snapToGrid w:val="0"/>
              <w:jc w:val="center"/>
              <w:rPr>
                <w:rFonts w:ascii="Times New Roman" w:hAnsi="Times New Roman" w:cs="Times New Roman"/>
                <w:color w:val="auto"/>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三-1</w:t>
            </w:r>
          </w:p>
        </w:tc>
        <w:tc>
          <w:tcPr>
            <w:tcW w:w="4564" w:type="pct"/>
            <w:gridSpan w:val="8"/>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改性胺固化剂(593)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1</w:t>
            </w:r>
          </w:p>
        </w:tc>
        <w:tc>
          <w:tcPr>
            <w:tcW w:w="601" w:type="pct"/>
            <w:vAlign w:val="bottom"/>
          </w:tcPr>
          <w:p>
            <w:pPr>
              <w:adjustRightInd w:val="0"/>
              <w:snapToGrid w:val="0"/>
              <w:jc w:val="center"/>
              <w:rPr>
                <w:rFonts w:ascii="Times New Roman" w:hAnsi="Times New Roman" w:cs="Times New Roman"/>
                <w:color w:val="auto"/>
              </w:rPr>
            </w:pPr>
            <w:r>
              <w:rPr>
                <w:rFonts w:ascii="Times New Roman" w:hAnsi="Times New Roman" w:cs="Times New Roman"/>
                <w:color w:val="auto"/>
              </w:rPr>
              <w:t>苯甲醇</w:t>
            </w:r>
          </w:p>
        </w:tc>
        <w:tc>
          <w:tcPr>
            <w:tcW w:w="46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≥99%</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320</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320</w:t>
            </w:r>
          </w:p>
        </w:tc>
        <w:tc>
          <w:tcPr>
            <w:tcW w:w="538"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2</w:t>
            </w:r>
          </w:p>
        </w:tc>
        <w:tc>
          <w:tcPr>
            <w:tcW w:w="689"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桶装</w:t>
            </w:r>
          </w:p>
        </w:tc>
        <w:tc>
          <w:tcPr>
            <w:tcW w:w="587"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外购</w:t>
            </w:r>
          </w:p>
        </w:tc>
        <w:tc>
          <w:tcPr>
            <w:tcW w:w="514" w:type="pct"/>
            <w:vAlign w:val="center"/>
          </w:tcPr>
          <w:p>
            <w:pPr>
              <w:adjustRightInd w:val="0"/>
              <w:snapToGrid w:val="0"/>
              <w:jc w:val="center"/>
              <w:rPr>
                <w:rFonts w:ascii="Times New Roman" w:hAnsi="Times New Roman" w:cs="Times New Roman"/>
                <w:color w:val="auto"/>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2</w:t>
            </w:r>
          </w:p>
        </w:tc>
        <w:tc>
          <w:tcPr>
            <w:tcW w:w="601" w:type="pct"/>
            <w:vAlign w:val="bottom"/>
          </w:tcPr>
          <w:p>
            <w:pPr>
              <w:adjustRightInd w:val="0"/>
              <w:snapToGrid w:val="0"/>
              <w:jc w:val="center"/>
              <w:rPr>
                <w:rFonts w:ascii="Times New Roman" w:hAnsi="Times New Roman" w:cs="Times New Roman"/>
                <w:color w:val="auto"/>
              </w:rPr>
            </w:pPr>
            <w:r>
              <w:rPr>
                <w:rFonts w:ascii="Times New Roman" w:hAnsi="Times New Roman" w:cs="Times New Roman"/>
                <w:color w:val="auto"/>
              </w:rPr>
              <w:t>二乙烯三胺</w:t>
            </w:r>
          </w:p>
        </w:tc>
        <w:tc>
          <w:tcPr>
            <w:tcW w:w="46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99.9%</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320</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320</w:t>
            </w:r>
          </w:p>
        </w:tc>
        <w:tc>
          <w:tcPr>
            <w:tcW w:w="538"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2</w:t>
            </w:r>
          </w:p>
        </w:tc>
        <w:tc>
          <w:tcPr>
            <w:tcW w:w="689"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桶装</w:t>
            </w:r>
          </w:p>
        </w:tc>
        <w:tc>
          <w:tcPr>
            <w:tcW w:w="587"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外购</w:t>
            </w:r>
          </w:p>
        </w:tc>
        <w:tc>
          <w:tcPr>
            <w:tcW w:w="514" w:type="pct"/>
            <w:vAlign w:val="center"/>
          </w:tcPr>
          <w:p>
            <w:pPr>
              <w:adjustRightInd w:val="0"/>
              <w:snapToGrid w:val="0"/>
              <w:jc w:val="center"/>
              <w:rPr>
                <w:rFonts w:ascii="Times New Roman" w:hAnsi="Times New Roman" w:cs="Times New Roman"/>
                <w:color w:val="auto"/>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3</w:t>
            </w:r>
          </w:p>
        </w:tc>
        <w:tc>
          <w:tcPr>
            <w:tcW w:w="601" w:type="pct"/>
            <w:vAlign w:val="bottom"/>
          </w:tcPr>
          <w:p>
            <w:pPr>
              <w:adjustRightInd w:val="0"/>
              <w:snapToGrid w:val="0"/>
              <w:jc w:val="center"/>
              <w:rPr>
                <w:rFonts w:ascii="Times New Roman" w:hAnsi="Times New Roman" w:cs="Times New Roman"/>
                <w:color w:val="auto"/>
              </w:rPr>
            </w:pPr>
            <w:r>
              <w:rPr>
                <w:rFonts w:ascii="Times New Roman" w:hAnsi="Times New Roman" w:cs="Times New Roman"/>
                <w:color w:val="auto"/>
              </w:rPr>
              <w:t>环氧树脂</w:t>
            </w:r>
          </w:p>
        </w:tc>
        <w:tc>
          <w:tcPr>
            <w:tcW w:w="46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160.192</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160.192</w:t>
            </w:r>
          </w:p>
        </w:tc>
        <w:tc>
          <w:tcPr>
            <w:tcW w:w="538"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1.0012</w:t>
            </w:r>
          </w:p>
        </w:tc>
        <w:tc>
          <w:tcPr>
            <w:tcW w:w="689"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桶装</w:t>
            </w:r>
          </w:p>
        </w:tc>
        <w:tc>
          <w:tcPr>
            <w:tcW w:w="587"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外购</w:t>
            </w:r>
          </w:p>
        </w:tc>
        <w:tc>
          <w:tcPr>
            <w:tcW w:w="514" w:type="pct"/>
            <w:vAlign w:val="center"/>
          </w:tcPr>
          <w:p>
            <w:pPr>
              <w:adjustRightInd w:val="0"/>
              <w:snapToGrid w:val="0"/>
              <w:jc w:val="center"/>
              <w:rPr>
                <w:rFonts w:ascii="Times New Roman" w:hAnsi="Times New Roman" w:cs="Times New Roman"/>
                <w:color w:val="auto"/>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三-2</w:t>
            </w:r>
          </w:p>
        </w:tc>
        <w:tc>
          <w:tcPr>
            <w:tcW w:w="4564" w:type="pct"/>
            <w:gridSpan w:val="8"/>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改性胺固化剂(693)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1</w:t>
            </w:r>
          </w:p>
        </w:tc>
        <w:tc>
          <w:tcPr>
            <w:tcW w:w="601"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1,3-BAC（1，3-环己二甲胺）</w:t>
            </w:r>
          </w:p>
        </w:tc>
        <w:tc>
          <w:tcPr>
            <w:tcW w:w="46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160</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160</w:t>
            </w:r>
          </w:p>
        </w:tc>
        <w:tc>
          <w:tcPr>
            <w:tcW w:w="538"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1</w:t>
            </w:r>
          </w:p>
        </w:tc>
        <w:tc>
          <w:tcPr>
            <w:tcW w:w="689"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桶装</w:t>
            </w:r>
          </w:p>
        </w:tc>
        <w:tc>
          <w:tcPr>
            <w:tcW w:w="587"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外购</w:t>
            </w:r>
          </w:p>
        </w:tc>
        <w:tc>
          <w:tcPr>
            <w:tcW w:w="514" w:type="pct"/>
            <w:vAlign w:val="center"/>
          </w:tcPr>
          <w:p>
            <w:pPr>
              <w:adjustRightInd w:val="0"/>
              <w:snapToGrid w:val="0"/>
              <w:jc w:val="center"/>
              <w:rPr>
                <w:rFonts w:ascii="Times New Roman" w:hAnsi="Times New Roman" w:cs="Times New Roman"/>
                <w:color w:val="auto"/>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2</w:t>
            </w:r>
          </w:p>
        </w:tc>
        <w:tc>
          <w:tcPr>
            <w:tcW w:w="601"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聚醚胺</w:t>
            </w:r>
          </w:p>
        </w:tc>
        <w:tc>
          <w:tcPr>
            <w:tcW w:w="46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160</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160</w:t>
            </w:r>
          </w:p>
        </w:tc>
        <w:tc>
          <w:tcPr>
            <w:tcW w:w="538"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1</w:t>
            </w:r>
          </w:p>
        </w:tc>
        <w:tc>
          <w:tcPr>
            <w:tcW w:w="689"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桶装</w:t>
            </w:r>
          </w:p>
        </w:tc>
        <w:tc>
          <w:tcPr>
            <w:tcW w:w="587"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外购</w:t>
            </w:r>
          </w:p>
        </w:tc>
        <w:tc>
          <w:tcPr>
            <w:tcW w:w="514" w:type="pct"/>
            <w:vAlign w:val="center"/>
          </w:tcPr>
          <w:p>
            <w:pPr>
              <w:adjustRightInd w:val="0"/>
              <w:snapToGrid w:val="0"/>
              <w:jc w:val="center"/>
              <w:rPr>
                <w:rFonts w:ascii="Times New Roman" w:hAnsi="Times New Roman" w:cs="Times New Roman"/>
                <w:color w:val="auto"/>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3</w:t>
            </w:r>
          </w:p>
        </w:tc>
        <w:tc>
          <w:tcPr>
            <w:tcW w:w="601"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环氧树脂</w:t>
            </w:r>
          </w:p>
        </w:tc>
        <w:tc>
          <w:tcPr>
            <w:tcW w:w="46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80.192</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80.192</w:t>
            </w:r>
          </w:p>
        </w:tc>
        <w:tc>
          <w:tcPr>
            <w:tcW w:w="538"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0.5012</w:t>
            </w:r>
          </w:p>
        </w:tc>
        <w:tc>
          <w:tcPr>
            <w:tcW w:w="689"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桶装</w:t>
            </w:r>
          </w:p>
        </w:tc>
        <w:tc>
          <w:tcPr>
            <w:tcW w:w="587"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外购</w:t>
            </w:r>
          </w:p>
        </w:tc>
        <w:tc>
          <w:tcPr>
            <w:tcW w:w="514" w:type="pct"/>
            <w:vAlign w:val="center"/>
          </w:tcPr>
          <w:p>
            <w:pPr>
              <w:adjustRightInd w:val="0"/>
              <w:snapToGrid w:val="0"/>
              <w:jc w:val="center"/>
              <w:rPr>
                <w:rFonts w:ascii="Times New Roman" w:hAnsi="Times New Roman" w:cs="Times New Roman"/>
                <w:color w:val="auto"/>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4</w:t>
            </w:r>
          </w:p>
        </w:tc>
        <w:tc>
          <w:tcPr>
            <w:tcW w:w="601"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苯甲醇</w:t>
            </w:r>
          </w:p>
        </w:tc>
        <w:tc>
          <w:tcPr>
            <w:tcW w:w="46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≥99%</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320</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320</w:t>
            </w:r>
          </w:p>
        </w:tc>
        <w:tc>
          <w:tcPr>
            <w:tcW w:w="538"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2</w:t>
            </w:r>
          </w:p>
        </w:tc>
        <w:tc>
          <w:tcPr>
            <w:tcW w:w="689"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桶装</w:t>
            </w:r>
          </w:p>
        </w:tc>
        <w:tc>
          <w:tcPr>
            <w:tcW w:w="587"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外购</w:t>
            </w:r>
          </w:p>
        </w:tc>
        <w:tc>
          <w:tcPr>
            <w:tcW w:w="514" w:type="pct"/>
            <w:vAlign w:val="center"/>
          </w:tcPr>
          <w:p>
            <w:pPr>
              <w:adjustRightInd w:val="0"/>
              <w:snapToGrid w:val="0"/>
              <w:jc w:val="center"/>
              <w:rPr>
                <w:rFonts w:ascii="Times New Roman" w:hAnsi="Times New Roman" w:cs="Times New Roman"/>
                <w:color w:val="auto"/>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5</w:t>
            </w:r>
          </w:p>
        </w:tc>
        <w:tc>
          <w:tcPr>
            <w:tcW w:w="601"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壬基酚</w:t>
            </w:r>
          </w:p>
        </w:tc>
        <w:tc>
          <w:tcPr>
            <w:tcW w:w="46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≥99.5%</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80</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80</w:t>
            </w:r>
          </w:p>
        </w:tc>
        <w:tc>
          <w:tcPr>
            <w:tcW w:w="538"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0.5</w:t>
            </w:r>
          </w:p>
        </w:tc>
        <w:tc>
          <w:tcPr>
            <w:tcW w:w="689"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桶装</w:t>
            </w:r>
          </w:p>
        </w:tc>
        <w:tc>
          <w:tcPr>
            <w:tcW w:w="587"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外购</w:t>
            </w:r>
          </w:p>
        </w:tc>
        <w:tc>
          <w:tcPr>
            <w:tcW w:w="514" w:type="pct"/>
            <w:vAlign w:val="center"/>
          </w:tcPr>
          <w:p>
            <w:pPr>
              <w:adjustRightInd w:val="0"/>
              <w:snapToGrid w:val="0"/>
              <w:jc w:val="center"/>
              <w:rPr>
                <w:rFonts w:ascii="Times New Roman" w:hAnsi="Times New Roman" w:cs="Times New Roman"/>
                <w:color w:val="auto"/>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四-1</w:t>
            </w:r>
          </w:p>
        </w:tc>
        <w:tc>
          <w:tcPr>
            <w:tcW w:w="4564" w:type="pct"/>
            <w:gridSpan w:val="8"/>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聚酰胺固化剂650#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1</w:t>
            </w:r>
          </w:p>
        </w:tc>
        <w:tc>
          <w:tcPr>
            <w:tcW w:w="601"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二聚酸</w:t>
            </w:r>
          </w:p>
        </w:tc>
        <w:tc>
          <w:tcPr>
            <w:tcW w:w="46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≥99%</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2520</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2520</w:t>
            </w:r>
          </w:p>
        </w:tc>
        <w:tc>
          <w:tcPr>
            <w:tcW w:w="538"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7.875</w:t>
            </w:r>
          </w:p>
        </w:tc>
        <w:tc>
          <w:tcPr>
            <w:tcW w:w="689"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桶装</w:t>
            </w:r>
          </w:p>
        </w:tc>
        <w:tc>
          <w:tcPr>
            <w:tcW w:w="587"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外购</w:t>
            </w:r>
          </w:p>
        </w:tc>
        <w:tc>
          <w:tcPr>
            <w:tcW w:w="514" w:type="pct"/>
            <w:vAlign w:val="center"/>
          </w:tcPr>
          <w:p>
            <w:pPr>
              <w:adjustRightInd w:val="0"/>
              <w:snapToGrid w:val="0"/>
              <w:jc w:val="center"/>
              <w:rPr>
                <w:rFonts w:ascii="Times New Roman" w:hAnsi="Times New Roman" w:cs="Times New Roman"/>
                <w:color w:val="auto"/>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2</w:t>
            </w:r>
          </w:p>
        </w:tc>
        <w:tc>
          <w:tcPr>
            <w:tcW w:w="601"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二乙烯三胺</w:t>
            </w:r>
          </w:p>
        </w:tc>
        <w:tc>
          <w:tcPr>
            <w:tcW w:w="46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689.92</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689.92</w:t>
            </w:r>
          </w:p>
        </w:tc>
        <w:tc>
          <w:tcPr>
            <w:tcW w:w="538"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2.156</w:t>
            </w:r>
          </w:p>
        </w:tc>
        <w:tc>
          <w:tcPr>
            <w:tcW w:w="689"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桶装</w:t>
            </w:r>
          </w:p>
        </w:tc>
        <w:tc>
          <w:tcPr>
            <w:tcW w:w="587"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外购</w:t>
            </w:r>
          </w:p>
        </w:tc>
        <w:tc>
          <w:tcPr>
            <w:tcW w:w="514" w:type="pct"/>
            <w:vAlign w:val="center"/>
          </w:tcPr>
          <w:p>
            <w:pPr>
              <w:adjustRightInd w:val="0"/>
              <w:snapToGrid w:val="0"/>
              <w:jc w:val="center"/>
              <w:rPr>
                <w:rFonts w:ascii="Times New Roman" w:hAnsi="Times New Roman" w:cs="Times New Roman"/>
                <w:color w:val="auto"/>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五</w:t>
            </w:r>
          </w:p>
        </w:tc>
        <w:tc>
          <w:tcPr>
            <w:tcW w:w="4564" w:type="pct"/>
            <w:gridSpan w:val="8"/>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实验室检测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1</w:t>
            </w:r>
          </w:p>
        </w:tc>
        <w:tc>
          <w:tcPr>
            <w:tcW w:w="601"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盐酸</w:t>
            </w:r>
          </w:p>
        </w:tc>
        <w:tc>
          <w:tcPr>
            <w:tcW w:w="46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37%</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15L</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15L</w:t>
            </w:r>
          </w:p>
        </w:tc>
        <w:tc>
          <w:tcPr>
            <w:tcW w:w="538"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w:t>
            </w:r>
          </w:p>
        </w:tc>
        <w:tc>
          <w:tcPr>
            <w:tcW w:w="689"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瓶装</w:t>
            </w:r>
          </w:p>
        </w:tc>
        <w:tc>
          <w:tcPr>
            <w:tcW w:w="587"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外购</w:t>
            </w:r>
          </w:p>
        </w:tc>
        <w:tc>
          <w:tcPr>
            <w:tcW w:w="514" w:type="pct"/>
            <w:vAlign w:val="center"/>
          </w:tcPr>
          <w:p>
            <w:pPr>
              <w:adjustRightInd w:val="0"/>
              <w:snapToGrid w:val="0"/>
              <w:jc w:val="center"/>
              <w:rPr>
                <w:rFonts w:ascii="Times New Roman" w:hAnsi="Times New Roman" w:cs="Times New Roman"/>
                <w:color w:val="auto"/>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2</w:t>
            </w:r>
          </w:p>
        </w:tc>
        <w:tc>
          <w:tcPr>
            <w:tcW w:w="601"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氢氧化钠</w:t>
            </w:r>
          </w:p>
        </w:tc>
        <w:tc>
          <w:tcPr>
            <w:tcW w:w="46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15kg</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15kg</w:t>
            </w:r>
          </w:p>
        </w:tc>
        <w:tc>
          <w:tcPr>
            <w:tcW w:w="538"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w:t>
            </w:r>
          </w:p>
        </w:tc>
        <w:tc>
          <w:tcPr>
            <w:tcW w:w="689"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瓶装</w:t>
            </w:r>
          </w:p>
        </w:tc>
        <w:tc>
          <w:tcPr>
            <w:tcW w:w="587"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外购</w:t>
            </w:r>
          </w:p>
        </w:tc>
        <w:tc>
          <w:tcPr>
            <w:tcW w:w="514" w:type="pct"/>
            <w:vAlign w:val="center"/>
          </w:tcPr>
          <w:p>
            <w:pPr>
              <w:adjustRightInd w:val="0"/>
              <w:snapToGrid w:val="0"/>
              <w:jc w:val="center"/>
              <w:rPr>
                <w:rFonts w:ascii="Times New Roman" w:hAnsi="Times New Roman" w:cs="Times New Roman"/>
                <w:color w:val="auto"/>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3</w:t>
            </w:r>
          </w:p>
        </w:tc>
        <w:tc>
          <w:tcPr>
            <w:tcW w:w="601"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乙醇</w:t>
            </w:r>
          </w:p>
        </w:tc>
        <w:tc>
          <w:tcPr>
            <w:tcW w:w="46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40kg</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40kg</w:t>
            </w:r>
          </w:p>
        </w:tc>
        <w:tc>
          <w:tcPr>
            <w:tcW w:w="538"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w:t>
            </w:r>
          </w:p>
        </w:tc>
        <w:tc>
          <w:tcPr>
            <w:tcW w:w="689"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瓶装</w:t>
            </w:r>
          </w:p>
        </w:tc>
        <w:tc>
          <w:tcPr>
            <w:tcW w:w="587"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外购</w:t>
            </w:r>
          </w:p>
        </w:tc>
        <w:tc>
          <w:tcPr>
            <w:tcW w:w="514" w:type="pct"/>
            <w:vAlign w:val="center"/>
          </w:tcPr>
          <w:p>
            <w:pPr>
              <w:adjustRightInd w:val="0"/>
              <w:snapToGrid w:val="0"/>
              <w:jc w:val="center"/>
              <w:rPr>
                <w:rFonts w:ascii="Times New Roman" w:hAnsi="Times New Roman" w:cs="Times New Roman"/>
                <w:color w:val="auto"/>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六</w:t>
            </w:r>
          </w:p>
        </w:tc>
        <w:tc>
          <w:tcPr>
            <w:tcW w:w="4564" w:type="pct"/>
            <w:gridSpan w:val="8"/>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公用工程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1</w:t>
            </w:r>
          </w:p>
        </w:tc>
        <w:tc>
          <w:tcPr>
            <w:tcW w:w="601"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电</w:t>
            </w:r>
          </w:p>
        </w:tc>
        <w:tc>
          <w:tcPr>
            <w:tcW w:w="46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544100kWh</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544100kWh</w:t>
            </w:r>
          </w:p>
        </w:tc>
        <w:tc>
          <w:tcPr>
            <w:tcW w:w="538"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w:t>
            </w:r>
          </w:p>
        </w:tc>
        <w:tc>
          <w:tcPr>
            <w:tcW w:w="689"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w:t>
            </w:r>
          </w:p>
        </w:tc>
        <w:tc>
          <w:tcPr>
            <w:tcW w:w="587"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w:t>
            </w:r>
          </w:p>
        </w:tc>
        <w:tc>
          <w:tcPr>
            <w:tcW w:w="514" w:type="pct"/>
            <w:vAlign w:val="center"/>
          </w:tcPr>
          <w:p>
            <w:pPr>
              <w:adjustRightInd w:val="0"/>
              <w:snapToGrid w:val="0"/>
              <w:jc w:val="center"/>
              <w:rPr>
                <w:rFonts w:ascii="Times New Roman" w:hAnsi="Times New Roman" w:cs="Times New Roman"/>
                <w:color w:val="auto"/>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2</w:t>
            </w:r>
          </w:p>
        </w:tc>
        <w:tc>
          <w:tcPr>
            <w:tcW w:w="601"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水</w:t>
            </w:r>
          </w:p>
        </w:tc>
        <w:tc>
          <w:tcPr>
            <w:tcW w:w="46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37529.1</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37529.1</w:t>
            </w:r>
          </w:p>
        </w:tc>
        <w:tc>
          <w:tcPr>
            <w:tcW w:w="538"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不存储</w:t>
            </w:r>
          </w:p>
        </w:tc>
        <w:tc>
          <w:tcPr>
            <w:tcW w:w="689"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w:t>
            </w:r>
          </w:p>
        </w:tc>
        <w:tc>
          <w:tcPr>
            <w:tcW w:w="587"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自来水</w:t>
            </w:r>
          </w:p>
        </w:tc>
        <w:tc>
          <w:tcPr>
            <w:tcW w:w="514" w:type="pct"/>
            <w:vAlign w:val="center"/>
          </w:tcPr>
          <w:p>
            <w:pPr>
              <w:adjustRightInd w:val="0"/>
              <w:snapToGrid w:val="0"/>
              <w:jc w:val="center"/>
              <w:rPr>
                <w:rFonts w:ascii="Times New Roman" w:hAnsi="Times New Roman" w:cs="Times New Roman"/>
                <w:color w:val="auto"/>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3</w:t>
            </w:r>
          </w:p>
        </w:tc>
        <w:tc>
          <w:tcPr>
            <w:tcW w:w="601"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蒸汽</w:t>
            </w:r>
          </w:p>
        </w:tc>
        <w:tc>
          <w:tcPr>
            <w:tcW w:w="46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122782.6m</w:t>
            </w:r>
            <w:r>
              <w:rPr>
                <w:rFonts w:ascii="Times New Roman" w:hAnsi="Times New Roman" w:cs="Times New Roman"/>
                <w:color w:val="auto"/>
                <w:vertAlign w:val="superscript"/>
              </w:rPr>
              <w:t>3</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122782.6m</w:t>
            </w:r>
            <w:r>
              <w:rPr>
                <w:rFonts w:ascii="Times New Roman" w:hAnsi="Times New Roman" w:cs="Times New Roman"/>
                <w:color w:val="auto"/>
                <w:vertAlign w:val="superscript"/>
              </w:rPr>
              <w:t>3</w:t>
            </w:r>
          </w:p>
        </w:tc>
        <w:tc>
          <w:tcPr>
            <w:tcW w:w="538"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w:t>
            </w:r>
          </w:p>
        </w:tc>
        <w:tc>
          <w:tcPr>
            <w:tcW w:w="689"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w:t>
            </w:r>
          </w:p>
        </w:tc>
        <w:tc>
          <w:tcPr>
            <w:tcW w:w="587"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w:t>
            </w:r>
          </w:p>
        </w:tc>
        <w:tc>
          <w:tcPr>
            <w:tcW w:w="514" w:type="pct"/>
            <w:vAlign w:val="center"/>
          </w:tcPr>
          <w:p>
            <w:pPr>
              <w:adjustRightInd w:val="0"/>
              <w:snapToGrid w:val="0"/>
              <w:jc w:val="center"/>
              <w:rPr>
                <w:rFonts w:ascii="Times New Roman" w:hAnsi="Times New Roman" w:cs="Times New Roman"/>
                <w:color w:val="auto"/>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adjustRightInd w:val="0"/>
              <w:snapToGrid w:val="0"/>
              <w:jc w:val="center"/>
              <w:rPr>
                <w:rFonts w:ascii="Times New Roman" w:hAnsi="Times New Roman" w:cs="Times New Roman"/>
                <w:color w:val="auto"/>
              </w:rPr>
            </w:pPr>
            <w:r>
              <w:rPr>
                <w:rFonts w:hint="default" w:ascii="Times New Roman" w:hAnsi="Times New Roman" w:cs="Times New Roman"/>
                <w:color w:val="auto"/>
              </w:rPr>
              <w:t>4</w:t>
            </w:r>
          </w:p>
        </w:tc>
        <w:tc>
          <w:tcPr>
            <w:tcW w:w="601"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导热油</w:t>
            </w:r>
          </w:p>
        </w:tc>
        <w:tc>
          <w:tcPr>
            <w:tcW w:w="46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4</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4</w:t>
            </w:r>
          </w:p>
        </w:tc>
        <w:tc>
          <w:tcPr>
            <w:tcW w:w="538"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w:t>
            </w:r>
          </w:p>
        </w:tc>
        <w:tc>
          <w:tcPr>
            <w:tcW w:w="689"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w:t>
            </w:r>
          </w:p>
        </w:tc>
        <w:tc>
          <w:tcPr>
            <w:tcW w:w="587"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w:t>
            </w:r>
          </w:p>
        </w:tc>
        <w:tc>
          <w:tcPr>
            <w:tcW w:w="514" w:type="pct"/>
            <w:vAlign w:val="center"/>
          </w:tcPr>
          <w:p>
            <w:pPr>
              <w:adjustRightInd w:val="0"/>
              <w:snapToGrid w:val="0"/>
              <w:jc w:val="center"/>
              <w:rPr>
                <w:rFonts w:ascii="Times New Roman" w:hAnsi="Times New Roman" w:cs="Times New Roman"/>
                <w:color w:val="auto"/>
              </w:rPr>
            </w:pPr>
            <w:r>
              <w:rPr>
                <w:rFonts w:hint="default" w:ascii="Times New Roman" w:hAnsi="Times New Roman" w:eastAsia="宋体" w:cs="Times New Roman"/>
                <w:color w:val="auto"/>
                <w:spacing w:val="-4"/>
                <w:kern w:val="0"/>
                <w:szCs w:val="21"/>
              </w:rPr>
              <w:t>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adjustRightInd w:val="0"/>
              <w:snapToGrid w:val="0"/>
              <w:jc w:val="center"/>
              <w:rPr>
                <w:rFonts w:ascii="Times New Roman" w:hAnsi="Times New Roman" w:cs="Times New Roman"/>
                <w:color w:val="auto"/>
              </w:rPr>
            </w:pPr>
            <w:r>
              <w:rPr>
                <w:rFonts w:hint="default" w:ascii="Times New Roman" w:hAnsi="Times New Roman" w:cs="Times New Roman"/>
                <w:color w:val="auto"/>
              </w:rPr>
              <w:t>5</w:t>
            </w:r>
          </w:p>
        </w:tc>
        <w:tc>
          <w:tcPr>
            <w:tcW w:w="601"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稀硫酸</w:t>
            </w:r>
          </w:p>
        </w:tc>
        <w:tc>
          <w:tcPr>
            <w:tcW w:w="46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15</w:t>
            </w:r>
          </w:p>
        </w:tc>
        <w:tc>
          <w:tcPr>
            <w:tcW w:w="584"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15</w:t>
            </w:r>
          </w:p>
        </w:tc>
        <w:tc>
          <w:tcPr>
            <w:tcW w:w="538"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w:t>
            </w:r>
          </w:p>
        </w:tc>
        <w:tc>
          <w:tcPr>
            <w:tcW w:w="689"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储罐</w:t>
            </w:r>
          </w:p>
        </w:tc>
        <w:tc>
          <w:tcPr>
            <w:tcW w:w="587"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外购</w:t>
            </w:r>
          </w:p>
        </w:tc>
        <w:tc>
          <w:tcPr>
            <w:tcW w:w="514" w:type="pct"/>
            <w:vAlign w:val="center"/>
          </w:tcPr>
          <w:p>
            <w:pPr>
              <w:adjustRightInd w:val="0"/>
              <w:snapToGrid w:val="0"/>
              <w:jc w:val="center"/>
              <w:rPr>
                <w:rFonts w:ascii="Times New Roman" w:hAnsi="Times New Roman" w:cs="Times New Roman"/>
                <w:color w:val="auto"/>
              </w:rPr>
            </w:pPr>
            <w:r>
              <w:rPr>
                <w:rFonts w:hint="default" w:ascii="Times New Roman" w:hAnsi="Times New Roman" w:eastAsia="宋体" w:cs="Times New Roman"/>
                <w:color w:val="auto"/>
                <w:spacing w:val="-4"/>
                <w:kern w:val="0"/>
                <w:szCs w:val="21"/>
              </w:rPr>
              <w:t>一致</w:t>
            </w:r>
          </w:p>
        </w:tc>
      </w:tr>
    </w:tbl>
    <w:p>
      <w:pPr>
        <w:autoSpaceDE w:val="0"/>
        <w:autoSpaceDN w:val="0"/>
        <w:adjustRightInd w:val="0"/>
        <w:jc w:val="left"/>
        <w:rPr>
          <w:rFonts w:ascii="Times New Roman" w:hAnsi="Times New Roman" w:cs="Times New Roman"/>
          <w:color w:val="auto"/>
          <w:highlight w:val="magenta"/>
        </w:rPr>
      </w:pPr>
      <w:r>
        <w:rPr>
          <w:rFonts w:ascii="Times New Roman" w:hAnsi="Times New Roman" w:cs="Times New Roman"/>
          <w:color w:val="auto"/>
        </w:rPr>
        <w:t>备注：苯酚为固态，加热为液态，运输过程采用带有加热旁管的槽车运输，运输到厂内后，采用带有加热旁管的储罐储存。</w:t>
      </w:r>
    </w:p>
    <w:p>
      <w:pPr>
        <w:spacing w:line="360" w:lineRule="auto"/>
        <w:outlineLvl w:val="1"/>
        <w:rPr>
          <w:rFonts w:ascii="Times New Roman" w:hAnsi="Times New Roman" w:cs="Times New Roman"/>
          <w:b/>
          <w:color w:val="auto"/>
          <w:sz w:val="30"/>
          <w:szCs w:val="30"/>
        </w:rPr>
      </w:pPr>
      <w:bookmarkStart w:id="25" w:name="_Toc7206"/>
      <w:bookmarkStart w:id="26" w:name="_Toc85120876"/>
      <w:r>
        <w:rPr>
          <w:rFonts w:hint="default" w:ascii="Times New Roman" w:hAnsi="Times New Roman" w:cs="Times New Roman"/>
          <w:b/>
          <w:color w:val="auto"/>
          <w:sz w:val="30"/>
          <w:szCs w:val="30"/>
        </w:rPr>
        <w:t>3.</w:t>
      </w:r>
      <w:r>
        <w:rPr>
          <w:rFonts w:hint="eastAsia" w:ascii="Times New Roman" w:hAnsi="Times New Roman" w:cs="Times New Roman"/>
          <w:b/>
          <w:color w:val="auto"/>
          <w:sz w:val="30"/>
          <w:szCs w:val="30"/>
          <w:lang w:val="en-US" w:eastAsia="zh-CN"/>
        </w:rPr>
        <w:t>6</w:t>
      </w:r>
      <w:r>
        <w:rPr>
          <w:rFonts w:hint="default" w:ascii="Times New Roman" w:hAnsi="Times New Roman" w:cs="Times New Roman"/>
          <w:b/>
          <w:color w:val="auto"/>
          <w:sz w:val="30"/>
          <w:szCs w:val="30"/>
        </w:rPr>
        <w:t>生产工艺</w:t>
      </w:r>
      <w:bookmarkEnd w:id="25"/>
      <w:bookmarkEnd w:id="26"/>
    </w:p>
    <w:p>
      <w:pPr>
        <w:spacing w:line="360" w:lineRule="auto"/>
        <w:outlineLvl w:val="2"/>
        <w:rPr>
          <w:rFonts w:ascii="Times New Roman" w:hAnsi="Times New Roman" w:cs="Times New Roman"/>
          <w:b/>
          <w:color w:val="auto"/>
          <w:sz w:val="28"/>
          <w:szCs w:val="28"/>
        </w:rPr>
      </w:pPr>
      <w:bookmarkStart w:id="27" w:name="_Toc22089"/>
      <w:r>
        <w:rPr>
          <w:rFonts w:hint="default" w:ascii="Times New Roman" w:hAnsi="Times New Roman" w:cs="Times New Roman"/>
          <w:b/>
          <w:color w:val="auto"/>
          <w:sz w:val="28"/>
          <w:szCs w:val="28"/>
        </w:rPr>
        <w:t>3.</w:t>
      </w:r>
      <w:r>
        <w:rPr>
          <w:rFonts w:hint="eastAsia" w:ascii="Times New Roman" w:hAnsi="Times New Roman" w:cs="Times New Roman"/>
          <w:b/>
          <w:color w:val="auto"/>
          <w:sz w:val="28"/>
          <w:szCs w:val="28"/>
          <w:lang w:val="en-US" w:eastAsia="zh-CN"/>
        </w:rPr>
        <w:t>6</w:t>
      </w:r>
      <w:r>
        <w:rPr>
          <w:rFonts w:hint="default" w:ascii="Times New Roman" w:hAnsi="Times New Roman" w:cs="Times New Roman"/>
          <w:b/>
          <w:color w:val="auto"/>
          <w:sz w:val="28"/>
          <w:szCs w:val="28"/>
        </w:rPr>
        <w:t>.1DMP-30生产工艺及产污环节</w:t>
      </w:r>
      <w:bookmarkEnd w:id="27"/>
    </w:p>
    <w:p>
      <w:pPr>
        <w:adjustRightInd w:val="0"/>
        <w:spacing w:before="78" w:beforeLines="25" w:after="78" w:afterLines="25" w:line="360" w:lineRule="auto"/>
        <w:outlineLvl w:val="3"/>
        <w:rPr>
          <w:rFonts w:ascii="Times New Roman" w:hAnsi="Times New Roman" w:cs="Times New Roman"/>
          <w:b/>
          <w:bCs/>
          <w:color w:val="auto"/>
          <w:sz w:val="24"/>
          <w:szCs w:val="24"/>
        </w:rPr>
      </w:pPr>
      <w:r>
        <w:rPr>
          <w:rFonts w:hint="default" w:ascii="Times New Roman" w:hAnsi="Times New Roman" w:cs="Times New Roman"/>
          <w:b/>
          <w:bCs/>
          <w:color w:val="auto"/>
          <w:sz w:val="24"/>
          <w:szCs w:val="24"/>
        </w:rPr>
        <w:t>3.</w:t>
      </w:r>
      <w:r>
        <w:rPr>
          <w:rFonts w:hint="eastAsia" w:ascii="Times New Roman" w:hAnsi="Times New Roman" w:cs="Times New Roman"/>
          <w:b/>
          <w:bCs/>
          <w:color w:val="auto"/>
          <w:sz w:val="24"/>
          <w:szCs w:val="24"/>
          <w:lang w:val="en-US" w:eastAsia="zh-CN"/>
        </w:rPr>
        <w:t>6</w:t>
      </w:r>
      <w:r>
        <w:rPr>
          <w:rFonts w:hint="default" w:ascii="Times New Roman" w:hAnsi="Times New Roman" w:cs="Times New Roman"/>
          <w:b/>
          <w:bCs/>
          <w:color w:val="auto"/>
          <w:sz w:val="24"/>
          <w:szCs w:val="24"/>
        </w:rPr>
        <w:t>.1.1</w:t>
      </w:r>
      <w:r>
        <w:rPr>
          <w:rFonts w:ascii="Times New Roman" w:hAnsi="Times New Roman" w:cs="Times New Roman"/>
          <w:b/>
          <w:bCs/>
          <w:color w:val="auto"/>
          <w:sz w:val="24"/>
          <w:szCs w:val="24"/>
        </w:rPr>
        <w:t>反应原理</w:t>
      </w:r>
    </w:p>
    <w:p>
      <w:pPr>
        <w:pStyle w:val="17"/>
        <w:adjustRightInd w:val="0"/>
        <w:snapToGrid w:val="0"/>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DMP-30促进剂由苯酚、甲醛、二甲胺缩合反应而生成（曼尼希反应）。反应机理如下。</w:t>
      </w:r>
    </w:p>
    <w:p>
      <w:pPr>
        <w:pStyle w:val="17"/>
        <w:adjustRightInd w:val="0"/>
        <w:snapToGrid w:val="0"/>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主反应：</w:t>
      </w:r>
    </w:p>
    <w:p>
      <w:pPr>
        <w:pStyle w:val="17"/>
        <w:adjustRightInd w:val="0"/>
        <w:snapToGrid w:val="0"/>
        <w:spacing w:line="360" w:lineRule="auto"/>
        <w:rPr>
          <w:rFonts w:ascii="Times New Roman" w:hAnsi="Times New Roman" w:cs="Times New Roman"/>
          <w:color w:val="auto"/>
        </w:rPr>
      </w:pPr>
      <w:r>
        <w:rPr>
          <w:rFonts w:ascii="Times New Roman" w:hAnsi="Times New Roman" w:cs="Times New Roman"/>
          <w:color w:val="auto"/>
        </w:rPr>
        <w:drawing>
          <wp:inline distT="0" distB="0" distL="114300" distR="114300">
            <wp:extent cx="5162550" cy="1212215"/>
            <wp:effectExtent l="0" t="0" r="0" b="6985"/>
            <wp:docPr id="83" name="图片 11" descr="C:\Users\Administrator\Desktop\DMP-30方程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1" descr="C:\Users\Administrator\Desktop\DMP-30方程式.jpg"/>
                    <pic:cNvPicPr>
                      <a:picLocks noChangeAspect="1"/>
                    </pic:cNvPicPr>
                  </pic:nvPicPr>
                  <pic:blipFill>
                    <a:blip r:embed="rId6"/>
                    <a:srcRect t="34113" r="2219" b="33121"/>
                    <a:stretch>
                      <a:fillRect/>
                    </a:stretch>
                  </pic:blipFill>
                  <pic:spPr>
                    <a:xfrm>
                      <a:off x="0" y="0"/>
                      <a:ext cx="5162550" cy="1212215"/>
                    </a:xfrm>
                    <a:prstGeom prst="rect">
                      <a:avLst/>
                    </a:prstGeom>
                    <a:noFill/>
                    <a:ln>
                      <a:noFill/>
                    </a:ln>
                  </pic:spPr>
                </pic:pic>
              </a:graphicData>
            </a:graphic>
          </wp:inline>
        </w:drawing>
      </w:r>
    </w:p>
    <w:p>
      <w:pPr>
        <w:pStyle w:val="17"/>
        <w:adjustRightInd w:val="0"/>
        <w:snapToGrid w:val="0"/>
        <w:spacing w:line="360" w:lineRule="auto"/>
        <w:ind w:firstLine="420" w:firstLineChars="200"/>
        <w:rPr>
          <w:rFonts w:ascii="Times New Roman" w:hAnsi="Times New Roman" w:cs="Times New Roman"/>
          <w:color w:val="auto"/>
        </w:rPr>
      </w:pPr>
      <w:r>
        <w:rPr>
          <w:rFonts w:ascii="Times New Roman" w:hAnsi="Times New Roman" w:cs="Times New Roman"/>
          <w:color w:val="auto"/>
        </w:rPr>
        <w:t>副反应：</w:t>
      </w:r>
    </w:p>
    <w:p>
      <w:pPr>
        <w:pStyle w:val="17"/>
        <w:adjustRightInd w:val="0"/>
        <w:snapToGrid w:val="0"/>
        <w:spacing w:line="360" w:lineRule="auto"/>
        <w:ind w:firstLine="420" w:firstLineChars="200"/>
        <w:rPr>
          <w:rFonts w:ascii="Times New Roman" w:hAnsi="Times New Roman" w:cs="Times New Roman"/>
          <w:color w:val="auto"/>
        </w:rPr>
      </w:pPr>
      <w:r>
        <w:rPr>
          <w:rFonts w:ascii="Times New Roman" w:hAnsi="Times New Roman" w:cs="Times New Roman"/>
          <w:color w:val="auto"/>
        </w:rPr>
        <w:object>
          <v:shape id="_x0000_i1025" o:spt="75" type="#_x0000_t75" style="height:308.1pt;width:332.35pt;" o:ole="t" filled="f" o:preferrelative="t" stroked="f" coordsize="21600,21600">
            <v:path/>
            <v:fill on="f" focussize="0,0"/>
            <v:stroke on="f" joinstyle="miter"/>
            <v:imagedata r:id="rId8" cropleft="22346f" croptop="17754f" cropright="22604f" cropbottom="11819f" o:title=""/>
            <o:lock v:ext="edit" aspectratio="t"/>
            <w10:wrap type="none"/>
            <w10:anchorlock/>
          </v:shape>
          <o:OLEObject Type="Embed" ProgID="Equation.3" ShapeID="_x0000_i1025" DrawAspect="Content" ObjectID="_1468075725" r:id="rId7">
            <o:LockedField>false</o:LockedField>
          </o:OLEObject>
        </w:object>
      </w:r>
    </w:p>
    <w:p>
      <w:pPr>
        <w:adjustRightInd w:val="0"/>
        <w:spacing w:before="78" w:beforeLines="25" w:after="78" w:afterLines="25" w:line="360" w:lineRule="auto"/>
        <w:outlineLvl w:val="3"/>
        <w:rPr>
          <w:rFonts w:ascii="Times New Roman" w:hAnsi="Times New Roman" w:cs="Times New Roman"/>
          <w:b/>
          <w:bCs/>
          <w:color w:val="auto"/>
          <w:sz w:val="24"/>
          <w:szCs w:val="24"/>
        </w:rPr>
      </w:pPr>
      <w:r>
        <w:rPr>
          <w:rFonts w:hint="default" w:ascii="Times New Roman" w:hAnsi="Times New Roman" w:cs="Times New Roman"/>
          <w:b/>
          <w:bCs/>
          <w:color w:val="auto"/>
          <w:sz w:val="24"/>
          <w:szCs w:val="24"/>
        </w:rPr>
        <w:t>3.</w:t>
      </w:r>
      <w:r>
        <w:rPr>
          <w:rFonts w:hint="eastAsia" w:ascii="Times New Roman" w:hAnsi="Times New Roman" w:cs="Times New Roman"/>
          <w:b/>
          <w:bCs/>
          <w:color w:val="auto"/>
          <w:sz w:val="24"/>
          <w:szCs w:val="24"/>
          <w:lang w:val="en-US" w:eastAsia="zh-CN"/>
        </w:rPr>
        <w:t>6</w:t>
      </w:r>
      <w:r>
        <w:rPr>
          <w:rFonts w:hint="default" w:ascii="Times New Roman" w:hAnsi="Times New Roman" w:cs="Times New Roman"/>
          <w:b/>
          <w:bCs/>
          <w:color w:val="auto"/>
          <w:sz w:val="24"/>
          <w:szCs w:val="24"/>
        </w:rPr>
        <w:t>.1.2</w:t>
      </w:r>
      <w:r>
        <w:rPr>
          <w:rFonts w:ascii="Times New Roman" w:hAnsi="Times New Roman" w:cs="Times New Roman"/>
          <w:b/>
          <w:bCs/>
          <w:color w:val="auto"/>
          <w:sz w:val="24"/>
          <w:szCs w:val="24"/>
        </w:rPr>
        <w:t>工艺流程</w:t>
      </w:r>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项目DMP-30的主要工艺流程和产污节点见图</w:t>
      </w:r>
      <w:r>
        <w:rPr>
          <w:rFonts w:hint="default" w:ascii="Times New Roman" w:hAnsi="Times New Roman" w:cs="Times New Roman"/>
          <w:color w:val="auto"/>
          <w:sz w:val="24"/>
          <w:szCs w:val="24"/>
        </w:rPr>
        <w:t>3.</w:t>
      </w:r>
      <w:r>
        <w:rPr>
          <w:rFonts w:hint="eastAsia" w:ascii="Times New Roman" w:hAnsi="Times New Roman" w:cs="Times New Roman"/>
          <w:color w:val="auto"/>
          <w:sz w:val="24"/>
          <w:szCs w:val="24"/>
          <w:lang w:val="en-US" w:eastAsia="zh-CN"/>
        </w:rPr>
        <w:t>6</w:t>
      </w:r>
      <w:r>
        <w:rPr>
          <w:rFonts w:hint="default" w:ascii="Times New Roman" w:hAnsi="Times New Roman" w:cs="Times New Roman"/>
          <w:color w:val="auto"/>
          <w:sz w:val="24"/>
          <w:szCs w:val="24"/>
        </w:rPr>
        <w:t>-1</w:t>
      </w:r>
      <w:r>
        <w:rPr>
          <w:rFonts w:ascii="Times New Roman" w:hAnsi="Times New Roman" w:cs="Times New Roman"/>
          <w:color w:val="auto"/>
          <w:sz w:val="24"/>
          <w:szCs w:val="24"/>
        </w:rPr>
        <w:t>。</w:t>
      </w:r>
    </w:p>
    <w:p>
      <w:pPr>
        <w:spacing w:line="360" w:lineRule="auto"/>
        <w:rPr>
          <w:rFonts w:ascii="Times New Roman" w:hAnsi="Times New Roman" w:cs="Times New Roman"/>
          <w:color w:val="auto"/>
        </w:rPr>
      </w:pPr>
      <w:r>
        <w:rPr>
          <w:rFonts w:ascii="Times New Roman" w:hAnsi="Times New Roman" w:cs="Times New Roman"/>
          <w:color w:val="auto"/>
        </w:rPr>
        <w:object>
          <v:shape id="_x0000_i1026" o:spt="75" type="#_x0000_t75" style="height:353.3pt;width:438.7pt;" o:ole="t" filled="f" o:preferrelative="t" stroked="f" coordsize="21600,21600">
            <v:path/>
            <v:fill on="f" focussize="0,0"/>
            <v:stroke on="f" joinstyle="miter"/>
            <v:imagedata r:id="rId10" o:title=""/>
            <o:lock v:ext="edit" aspectratio="f"/>
            <w10:wrap type="none"/>
            <w10:anchorlock/>
          </v:shape>
          <o:OLEObject Type="Embed" ProgID="Visio.Drawing.11" ShapeID="_x0000_i1026" DrawAspect="Content" ObjectID="_1468075726" r:id="rId9">
            <o:LockedField>false</o:LockedField>
          </o:OLEObject>
        </w:object>
      </w:r>
    </w:p>
    <w:p>
      <w:pPr>
        <w:spacing w:before="156" w:beforeLines="50" w:line="360" w:lineRule="auto"/>
        <w:ind w:left="-368" w:leftChars="-175"/>
        <w:jc w:val="center"/>
        <w:rPr>
          <w:rFonts w:ascii="Times New Roman" w:hAnsi="Times New Roman" w:eastAsia="黑体" w:cs="Times New Roman"/>
          <w:color w:val="auto"/>
        </w:rPr>
      </w:pPr>
      <w:r>
        <w:rPr>
          <w:rFonts w:hint="default" w:ascii="Times New Roman" w:hAnsi="Times New Roman" w:eastAsia="黑体" w:cs="Times New Roman"/>
          <w:color w:val="auto"/>
        </w:rPr>
        <w:t>图3.</w:t>
      </w:r>
      <w:r>
        <w:rPr>
          <w:rFonts w:hint="eastAsia" w:ascii="Times New Roman" w:hAnsi="Times New Roman" w:eastAsia="黑体" w:cs="Times New Roman"/>
          <w:color w:val="auto"/>
          <w:lang w:val="en-US" w:eastAsia="zh-CN"/>
        </w:rPr>
        <w:t>6</w:t>
      </w:r>
      <w:r>
        <w:rPr>
          <w:rFonts w:hint="default" w:ascii="Times New Roman" w:hAnsi="Times New Roman" w:eastAsia="黑体" w:cs="Times New Roman"/>
          <w:color w:val="auto"/>
        </w:rPr>
        <w:t xml:space="preserve">-1  </w:t>
      </w:r>
      <w:r>
        <w:rPr>
          <w:rFonts w:ascii="Times New Roman" w:hAnsi="Times New Roman" w:eastAsia="黑体" w:cs="Times New Roman"/>
          <w:color w:val="auto"/>
        </w:rPr>
        <w:t>DMP30工艺流程及产污节点图</w:t>
      </w:r>
    </w:p>
    <w:p>
      <w:pPr>
        <w:adjustRightInd w:val="0"/>
        <w:spacing w:before="78" w:beforeLines="25" w:after="78" w:afterLines="25" w:line="360" w:lineRule="auto"/>
        <w:outlineLvl w:val="3"/>
        <w:rPr>
          <w:rFonts w:ascii="Times New Roman" w:hAnsi="Times New Roman" w:cs="Times New Roman"/>
          <w:b/>
          <w:bCs/>
          <w:color w:val="auto"/>
          <w:sz w:val="24"/>
          <w:szCs w:val="24"/>
        </w:rPr>
      </w:pPr>
      <w:r>
        <w:rPr>
          <w:rFonts w:hint="default" w:ascii="Times New Roman" w:hAnsi="Times New Roman" w:cs="Times New Roman"/>
          <w:b/>
          <w:bCs/>
          <w:color w:val="auto"/>
          <w:sz w:val="24"/>
          <w:szCs w:val="24"/>
        </w:rPr>
        <w:t>3.</w:t>
      </w:r>
      <w:r>
        <w:rPr>
          <w:rFonts w:hint="eastAsia" w:ascii="Times New Roman" w:hAnsi="Times New Roman" w:cs="Times New Roman"/>
          <w:b/>
          <w:bCs/>
          <w:color w:val="auto"/>
          <w:sz w:val="24"/>
          <w:szCs w:val="24"/>
          <w:lang w:val="en-US" w:eastAsia="zh-CN"/>
        </w:rPr>
        <w:t>6</w:t>
      </w:r>
      <w:r>
        <w:rPr>
          <w:rFonts w:hint="default" w:ascii="Times New Roman" w:hAnsi="Times New Roman" w:cs="Times New Roman"/>
          <w:b/>
          <w:bCs/>
          <w:color w:val="auto"/>
          <w:sz w:val="24"/>
          <w:szCs w:val="24"/>
        </w:rPr>
        <w:t>.1.3</w:t>
      </w:r>
      <w:r>
        <w:rPr>
          <w:rFonts w:ascii="Times New Roman" w:hAnsi="Times New Roman" w:cs="Times New Roman"/>
          <w:b/>
          <w:bCs/>
          <w:color w:val="auto"/>
          <w:sz w:val="24"/>
          <w:szCs w:val="24"/>
        </w:rPr>
        <w:t>工艺流程简述</w:t>
      </w:r>
    </w:p>
    <w:p>
      <w:pPr>
        <w:pStyle w:val="17"/>
        <w:adjustRightInd w:val="0"/>
        <w:snapToGrid w:val="0"/>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DMP-30促进剂整个生产流程的生产时间每批次8小时。具体生产工艺流程简述如下：</w:t>
      </w:r>
    </w:p>
    <w:p>
      <w:pPr>
        <w:pStyle w:val="17"/>
        <w:adjustRightInd w:val="0"/>
        <w:snapToGrid w:val="0"/>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a、投料：甲醛、苯酚和二甲胺从储罐中泵送至R2102反应釜中。</w:t>
      </w:r>
    </w:p>
    <w:p>
      <w:pPr>
        <w:pStyle w:val="17"/>
        <w:adjustRightInd w:val="0"/>
        <w:snapToGrid w:val="0"/>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b、反应+静置+过滤+上层液产品包装：反应釜内温度54℃~58℃，保压0.4MPa，反应时间为2h。反应完全后恒温70℃(反应过程为放热反应，采用循环水保温)，持续1小时后静置分层。反应和静置分层均在反应釜中发生。釜顶放空口连接冷凝器，逸散物料同步冷凝回收入釜</w:t>
      </w:r>
      <w:r>
        <w:rPr>
          <w:rFonts w:hint="default" w:ascii="Times New Roman" w:hAnsi="Times New Roman" w:cs="Times New Roman"/>
          <w:color w:val="auto"/>
          <w:sz w:val="24"/>
        </w:rPr>
        <w:t>（回收的物料全为反应釜中投加的物料，可采用单独的冷凝器回收至反应釜，冷凝温度为20</w:t>
      </w:r>
      <w:r>
        <w:rPr>
          <w:rFonts w:ascii="Times New Roman" w:hAnsi="Times New Roman" w:cs="Times New Roman"/>
          <w:color w:val="auto"/>
          <w:sz w:val="24"/>
        </w:rPr>
        <w:t>℃</w:t>
      </w:r>
      <w:r>
        <w:rPr>
          <w:rFonts w:hint="default" w:ascii="Times New Roman" w:hAnsi="Times New Roman" w:cs="Times New Roman"/>
          <w:color w:val="auto"/>
          <w:sz w:val="24"/>
        </w:rPr>
        <w:t>）</w:t>
      </w:r>
      <w:r>
        <w:rPr>
          <w:rFonts w:ascii="Times New Roman" w:hAnsi="Times New Roman" w:cs="Times New Roman"/>
          <w:color w:val="auto"/>
          <w:sz w:val="24"/>
        </w:rPr>
        <w:t>。分层后，下层液进入</w:t>
      </w:r>
      <w:r>
        <w:rPr>
          <w:rFonts w:hint="eastAsia" w:ascii="Times New Roman" w:hAnsi="Times New Roman" w:cs="Times New Roman"/>
          <w:color w:val="auto"/>
          <w:sz w:val="24"/>
          <w:lang w:val="en-US" w:eastAsia="zh-CN"/>
        </w:rPr>
        <w:t>蒸发釜</w:t>
      </w:r>
      <w:r>
        <w:rPr>
          <w:rFonts w:ascii="Times New Roman" w:hAnsi="Times New Roman" w:cs="Times New Roman"/>
          <w:color w:val="auto"/>
          <w:sz w:val="24"/>
        </w:rPr>
        <w:t>进一步反应。上层液经蒸汽间接加热脱水后产品从釜底过滤器过滤后</w:t>
      </w:r>
      <w:r>
        <w:rPr>
          <w:rFonts w:ascii="Times New Roman" w:hAnsi="Times New Roman" w:cs="Times New Roman"/>
          <w:bCs/>
          <w:color w:val="auto"/>
          <w:sz w:val="24"/>
        </w:rPr>
        <w:t>泵入自动包装机包装入库</w:t>
      </w:r>
      <w:r>
        <w:rPr>
          <w:rFonts w:ascii="Times New Roman" w:hAnsi="Times New Roman" w:cs="Times New Roman"/>
          <w:color w:val="auto"/>
          <w:sz w:val="24"/>
        </w:rPr>
        <w:t>。蒸汽加热后的真空脱除水</w:t>
      </w:r>
      <w:r>
        <w:rPr>
          <w:rFonts w:hint="default" w:ascii="Times New Roman" w:hAnsi="Times New Roman" w:cs="Times New Roman"/>
          <w:color w:val="auto"/>
          <w:sz w:val="24"/>
        </w:rPr>
        <w:t>（真空泵因抽真空产生的废气经密闭管道送至废气收集设施进一步处理）</w:t>
      </w:r>
      <w:r>
        <w:rPr>
          <w:rFonts w:ascii="Times New Roman" w:hAnsi="Times New Roman" w:cs="Times New Roman"/>
          <w:color w:val="auto"/>
          <w:sz w:val="24"/>
        </w:rPr>
        <w:t>经冷凝器冷凝后进入废水收集罐。</w:t>
      </w:r>
    </w:p>
    <w:p>
      <w:pPr>
        <w:pStyle w:val="17"/>
        <w:adjustRightInd w:val="0"/>
        <w:snapToGrid w:val="0"/>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c、回收+过滤+脱水+产品包装：进入</w:t>
      </w:r>
      <w:r>
        <w:rPr>
          <w:rFonts w:hint="eastAsia" w:ascii="Times New Roman" w:hAnsi="Times New Roman" w:cs="Times New Roman"/>
          <w:color w:val="auto"/>
          <w:sz w:val="24"/>
          <w:lang w:val="en-US" w:eastAsia="zh-CN"/>
        </w:rPr>
        <w:t>蒸发</w:t>
      </w:r>
      <w:r>
        <w:rPr>
          <w:rFonts w:ascii="Times New Roman" w:hAnsi="Times New Roman" w:cs="Times New Roman"/>
          <w:color w:val="auto"/>
          <w:sz w:val="24"/>
        </w:rPr>
        <w:t>釜的物料充分搅拌后并进一步反应。蒸汽间接加热脱水后产品从</w:t>
      </w:r>
      <w:r>
        <w:rPr>
          <w:rFonts w:hint="eastAsia" w:ascii="Times New Roman" w:hAnsi="Times New Roman" w:cs="Times New Roman"/>
          <w:color w:val="auto"/>
          <w:sz w:val="24"/>
          <w:lang w:val="en-US" w:eastAsia="zh-CN"/>
        </w:rPr>
        <w:t>蒸发</w:t>
      </w:r>
      <w:r>
        <w:rPr>
          <w:rFonts w:ascii="Times New Roman" w:hAnsi="Times New Roman" w:cs="Times New Roman"/>
          <w:color w:val="auto"/>
          <w:sz w:val="24"/>
        </w:rPr>
        <w:t>釜底过滤器过滤后</w:t>
      </w:r>
      <w:r>
        <w:rPr>
          <w:rFonts w:ascii="Times New Roman" w:hAnsi="Times New Roman" w:cs="Times New Roman"/>
          <w:bCs/>
          <w:color w:val="auto"/>
          <w:sz w:val="24"/>
        </w:rPr>
        <w:t>泵入自动包装机包装入库</w:t>
      </w:r>
      <w:r>
        <w:rPr>
          <w:rFonts w:ascii="Times New Roman" w:hAnsi="Times New Roman" w:cs="Times New Roman"/>
          <w:color w:val="auto"/>
          <w:sz w:val="24"/>
        </w:rPr>
        <w:t>。蒸汽加热后的真空脱除水经冷凝器冷凝后进入废水收集罐。</w:t>
      </w:r>
    </w:p>
    <w:p>
      <w:pPr>
        <w:pStyle w:val="17"/>
        <w:adjustRightInd w:val="0"/>
        <w:snapToGrid w:val="0"/>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d、精馏回收二甲胺+物料冷凝：未反应完全的二甲胺进入精馏塔精馏后经冷凝分相进入二甲胺回收罐</w:t>
      </w:r>
      <w:r>
        <w:rPr>
          <w:rFonts w:hint="default" w:ascii="Times New Roman" w:hAnsi="Times New Roman" w:cs="Times New Roman"/>
          <w:color w:val="auto"/>
          <w:sz w:val="24"/>
        </w:rPr>
        <w:t>（二甲胺易溶于水，未反应完全的二甲胺与精馏塔中水蒸气结合，经冷凝形成二甲胺溶液）</w:t>
      </w:r>
      <w:r>
        <w:rPr>
          <w:rFonts w:ascii="Times New Roman" w:hAnsi="Times New Roman" w:cs="Times New Roman"/>
          <w:color w:val="auto"/>
          <w:sz w:val="24"/>
        </w:rPr>
        <w:t>，回收二甲胺的纯度为30%，回收的二甲胺投加至R2102反应釜作为原料使用。液态物料经冷凝器冷凝回收至回收釜</w:t>
      </w:r>
      <w:r>
        <w:rPr>
          <w:rFonts w:hint="default" w:ascii="Times New Roman" w:hAnsi="Times New Roman" w:cs="Times New Roman"/>
          <w:color w:val="auto"/>
          <w:sz w:val="24"/>
        </w:rPr>
        <w:t>（回收的物料全为反应釜中投加的物料，可采用单独的冷凝器回收至反应釜，冷凝温度为28</w:t>
      </w:r>
      <w:r>
        <w:rPr>
          <w:rFonts w:ascii="Times New Roman" w:hAnsi="Times New Roman" w:cs="Times New Roman"/>
          <w:color w:val="auto"/>
          <w:sz w:val="24"/>
        </w:rPr>
        <w:t>℃</w:t>
      </w:r>
      <w:r>
        <w:rPr>
          <w:rFonts w:hint="default" w:ascii="Times New Roman" w:hAnsi="Times New Roman" w:cs="Times New Roman"/>
          <w:color w:val="auto"/>
          <w:sz w:val="24"/>
        </w:rPr>
        <w:t>）</w:t>
      </w:r>
      <w:r>
        <w:rPr>
          <w:rFonts w:ascii="Times New Roman" w:hAnsi="Times New Roman" w:cs="Times New Roman"/>
          <w:color w:val="auto"/>
          <w:sz w:val="24"/>
        </w:rPr>
        <w:t>。</w:t>
      </w:r>
    </w:p>
    <w:p>
      <w:pPr>
        <w:adjustRightInd w:val="0"/>
        <w:spacing w:before="78" w:beforeLines="25" w:after="78" w:afterLines="25" w:line="360" w:lineRule="auto"/>
        <w:outlineLvl w:val="3"/>
        <w:rPr>
          <w:rFonts w:ascii="Times New Roman" w:hAnsi="Times New Roman" w:cs="Times New Roman"/>
          <w:b/>
          <w:bCs/>
          <w:color w:val="auto"/>
        </w:rPr>
      </w:pPr>
      <w:r>
        <w:rPr>
          <w:rFonts w:hint="default" w:ascii="Times New Roman" w:hAnsi="Times New Roman" w:cs="Times New Roman"/>
          <w:b/>
          <w:bCs/>
          <w:color w:val="auto"/>
        </w:rPr>
        <w:t>3.</w:t>
      </w:r>
      <w:r>
        <w:rPr>
          <w:rFonts w:hint="eastAsia" w:ascii="Times New Roman" w:hAnsi="Times New Roman" w:cs="Times New Roman"/>
          <w:b/>
          <w:bCs/>
          <w:color w:val="auto"/>
          <w:lang w:val="en-US" w:eastAsia="zh-CN"/>
        </w:rPr>
        <w:t>6</w:t>
      </w:r>
      <w:r>
        <w:rPr>
          <w:rFonts w:hint="default" w:ascii="Times New Roman" w:hAnsi="Times New Roman" w:cs="Times New Roman"/>
          <w:b/>
          <w:bCs/>
          <w:color w:val="auto"/>
        </w:rPr>
        <w:t>.1.4</w:t>
      </w:r>
      <w:r>
        <w:rPr>
          <w:rFonts w:ascii="Times New Roman" w:hAnsi="Times New Roman" w:cs="Times New Roman"/>
          <w:b/>
          <w:bCs/>
          <w:color w:val="auto"/>
        </w:rPr>
        <w:t>产排污节点</w:t>
      </w:r>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DMP30生产过程中废气产生环节主要为物料冷凝过程的不凝气（含真空尾气）、二甲胺回收过程产生的不凝气（</w:t>
      </w:r>
      <w:r>
        <w:rPr>
          <w:rFonts w:hint="default" w:ascii="Times New Roman" w:hAnsi="Times New Roman" w:cs="Times New Roman"/>
          <w:color w:val="auto"/>
          <w:sz w:val="24"/>
          <w:szCs w:val="24"/>
        </w:rPr>
        <w:t>因</w:t>
      </w:r>
      <w:r>
        <w:rPr>
          <w:rFonts w:ascii="Times New Roman" w:hAnsi="Times New Roman" w:cs="Times New Roman"/>
          <w:color w:val="auto"/>
          <w:sz w:val="24"/>
          <w:szCs w:val="24"/>
          <w:u w:val="single"/>
        </w:rPr>
        <w:t>不</w:t>
      </w:r>
      <w:r>
        <w:rPr>
          <w:rFonts w:ascii="Times New Roman" w:hAnsi="Times New Roman" w:cs="Times New Roman"/>
          <w:color w:val="auto"/>
          <w:sz w:val="24"/>
          <w:szCs w:val="24"/>
        </w:rPr>
        <w:t>凝气中的废气主要成分为原料二甲胺中携带的氨气、苯酚、甲醛、其他VOCs等）、包装过程中从物料中挥发的氨气和VOCs（主要成份为二甲胺）；废水产生环节主要为真空脱除的物料中的水以及循环水泵内定期更换的废水（更换频次1天/次）；固废的产生环节为反应釜底过滤器的过滤残渣（非反应生产残渣，是原料中带入渣）及定期更换的滤网；噪声产生环节主要为反应釜搅拌过程、泵、风机等运行过程产生的噪声。主要产排污节点及特点等情况见表</w:t>
      </w:r>
      <w:r>
        <w:rPr>
          <w:rFonts w:hint="default" w:ascii="Times New Roman" w:hAnsi="Times New Roman" w:cs="Times New Roman"/>
          <w:color w:val="auto"/>
          <w:sz w:val="24"/>
          <w:szCs w:val="24"/>
        </w:rPr>
        <w:t>3.</w:t>
      </w:r>
      <w:r>
        <w:rPr>
          <w:rFonts w:hint="eastAsia" w:ascii="Times New Roman" w:hAnsi="Times New Roman" w:cs="Times New Roman"/>
          <w:color w:val="auto"/>
          <w:sz w:val="24"/>
          <w:szCs w:val="24"/>
          <w:lang w:eastAsia="zh-CN"/>
        </w:rPr>
        <w:t>6</w:t>
      </w:r>
      <w:r>
        <w:rPr>
          <w:rFonts w:ascii="Times New Roman" w:hAnsi="Times New Roman" w:cs="Times New Roman"/>
          <w:color w:val="auto"/>
          <w:sz w:val="24"/>
          <w:szCs w:val="24"/>
        </w:rPr>
        <w:t>-1。</w:t>
      </w:r>
    </w:p>
    <w:p>
      <w:pPr>
        <w:spacing w:line="360" w:lineRule="auto"/>
        <w:jc w:val="center"/>
        <w:rPr>
          <w:rFonts w:ascii="Times New Roman" w:hAnsi="Times New Roman" w:eastAsia="黑体" w:cs="Times New Roman"/>
          <w:color w:val="auto"/>
        </w:rPr>
      </w:pPr>
      <w:r>
        <w:rPr>
          <w:rFonts w:hint="default" w:ascii="Times New Roman" w:hAnsi="Times New Roman" w:eastAsia="黑体" w:cs="Times New Roman"/>
          <w:color w:val="auto"/>
        </w:rPr>
        <w:t>表3.</w:t>
      </w:r>
      <w:r>
        <w:rPr>
          <w:rFonts w:hint="eastAsia" w:ascii="Times New Roman" w:hAnsi="Times New Roman" w:eastAsia="黑体" w:cs="Times New Roman"/>
          <w:color w:val="auto"/>
          <w:lang w:eastAsia="zh-CN"/>
        </w:rPr>
        <w:t>6</w:t>
      </w:r>
      <w:r>
        <w:rPr>
          <w:rFonts w:hint="default" w:ascii="Times New Roman" w:hAnsi="Times New Roman" w:eastAsia="黑体" w:cs="Times New Roman"/>
          <w:color w:val="auto"/>
        </w:rPr>
        <w:t xml:space="preserve">-1 </w:t>
      </w:r>
      <w:r>
        <w:rPr>
          <w:rFonts w:ascii="Times New Roman" w:hAnsi="Times New Roman" w:eastAsia="黑体" w:cs="Times New Roman"/>
          <w:color w:val="auto"/>
        </w:rPr>
        <w:t xml:space="preserve"> DMP30产排污节点表</w:t>
      </w:r>
    </w:p>
    <w:tbl>
      <w:tblPr>
        <w:tblStyle w:val="28"/>
        <w:tblW w:w="8876" w:type="dxa"/>
        <w:tblInd w:w="93"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41"/>
        <w:gridCol w:w="996"/>
        <w:gridCol w:w="1531"/>
        <w:gridCol w:w="1329"/>
        <w:gridCol w:w="1165"/>
        <w:gridCol w:w="281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blHeader/>
        </w:trPr>
        <w:tc>
          <w:tcPr>
            <w:tcW w:w="1041" w:type="dxa"/>
            <w:tcBorders>
              <w:tl2br w:val="nil"/>
              <w:tr2bl w:val="nil"/>
            </w:tcBorders>
            <w:vAlign w:val="center"/>
          </w:tcPr>
          <w:p>
            <w:pPr>
              <w:jc w:val="center"/>
              <w:rPr>
                <w:rFonts w:ascii="Times New Roman" w:hAnsi="Times New Roman" w:cs="Times New Roman"/>
                <w:b/>
                <w:bCs/>
                <w:color w:val="auto"/>
                <w:szCs w:val="21"/>
              </w:rPr>
            </w:pPr>
            <w:r>
              <w:rPr>
                <w:rFonts w:ascii="Times New Roman" w:hAnsi="Times New Roman" w:cs="Times New Roman"/>
                <w:b/>
                <w:bCs/>
                <w:color w:val="auto"/>
                <w:szCs w:val="21"/>
              </w:rPr>
              <w:t>污染物类别</w:t>
            </w:r>
          </w:p>
        </w:tc>
        <w:tc>
          <w:tcPr>
            <w:tcW w:w="996" w:type="dxa"/>
            <w:tcBorders>
              <w:tl2br w:val="nil"/>
              <w:tr2bl w:val="nil"/>
            </w:tcBorders>
            <w:vAlign w:val="center"/>
          </w:tcPr>
          <w:p>
            <w:pPr>
              <w:jc w:val="center"/>
              <w:rPr>
                <w:rFonts w:ascii="Times New Roman" w:hAnsi="Times New Roman" w:cs="Times New Roman"/>
                <w:b/>
                <w:bCs/>
                <w:color w:val="auto"/>
                <w:szCs w:val="21"/>
              </w:rPr>
            </w:pPr>
            <w:r>
              <w:rPr>
                <w:rFonts w:ascii="Times New Roman" w:hAnsi="Times New Roman" w:cs="Times New Roman"/>
                <w:b/>
                <w:bCs/>
                <w:color w:val="auto"/>
                <w:szCs w:val="21"/>
              </w:rPr>
              <w:t>序号</w:t>
            </w:r>
          </w:p>
        </w:tc>
        <w:tc>
          <w:tcPr>
            <w:tcW w:w="1531" w:type="dxa"/>
            <w:tcBorders>
              <w:tl2br w:val="nil"/>
              <w:tr2bl w:val="nil"/>
            </w:tcBorders>
            <w:vAlign w:val="center"/>
          </w:tcPr>
          <w:p>
            <w:pPr>
              <w:jc w:val="center"/>
              <w:rPr>
                <w:rFonts w:ascii="Times New Roman" w:hAnsi="Times New Roman" w:cs="Times New Roman"/>
                <w:b/>
                <w:bCs/>
                <w:color w:val="auto"/>
                <w:szCs w:val="21"/>
              </w:rPr>
            </w:pPr>
            <w:r>
              <w:rPr>
                <w:rFonts w:ascii="Times New Roman" w:hAnsi="Times New Roman" w:cs="Times New Roman"/>
                <w:b/>
                <w:bCs/>
                <w:color w:val="auto"/>
                <w:szCs w:val="21"/>
              </w:rPr>
              <w:t>产排污环节</w:t>
            </w:r>
          </w:p>
        </w:tc>
        <w:tc>
          <w:tcPr>
            <w:tcW w:w="1329" w:type="dxa"/>
            <w:tcBorders>
              <w:tl2br w:val="nil"/>
              <w:tr2bl w:val="nil"/>
            </w:tcBorders>
            <w:vAlign w:val="center"/>
          </w:tcPr>
          <w:p>
            <w:pPr>
              <w:ind w:left="-105" w:leftChars="-50" w:right="-105" w:rightChars="-50"/>
              <w:jc w:val="center"/>
              <w:rPr>
                <w:rFonts w:ascii="Times New Roman" w:hAnsi="Times New Roman" w:cs="Times New Roman"/>
                <w:b/>
                <w:bCs/>
                <w:color w:val="auto"/>
                <w:szCs w:val="21"/>
              </w:rPr>
            </w:pPr>
            <w:r>
              <w:rPr>
                <w:rFonts w:ascii="Times New Roman" w:hAnsi="Times New Roman" w:cs="Times New Roman"/>
                <w:b/>
                <w:bCs/>
                <w:color w:val="auto"/>
                <w:szCs w:val="21"/>
              </w:rPr>
              <w:t>主要污染物</w:t>
            </w:r>
          </w:p>
        </w:tc>
        <w:tc>
          <w:tcPr>
            <w:tcW w:w="1165" w:type="dxa"/>
            <w:tcBorders>
              <w:tl2br w:val="nil"/>
              <w:tr2bl w:val="nil"/>
            </w:tcBorders>
            <w:vAlign w:val="center"/>
          </w:tcPr>
          <w:p>
            <w:pPr>
              <w:jc w:val="center"/>
              <w:rPr>
                <w:rFonts w:ascii="Times New Roman" w:hAnsi="Times New Roman" w:cs="Times New Roman"/>
                <w:b/>
                <w:bCs/>
                <w:color w:val="auto"/>
                <w:szCs w:val="21"/>
              </w:rPr>
            </w:pPr>
            <w:r>
              <w:rPr>
                <w:rFonts w:ascii="Times New Roman" w:hAnsi="Times New Roman" w:cs="Times New Roman"/>
                <w:b/>
                <w:bCs/>
                <w:color w:val="auto"/>
                <w:szCs w:val="21"/>
              </w:rPr>
              <w:t>产生特点</w:t>
            </w:r>
          </w:p>
        </w:tc>
        <w:tc>
          <w:tcPr>
            <w:tcW w:w="2814" w:type="dxa"/>
            <w:tcBorders>
              <w:tl2br w:val="nil"/>
              <w:tr2bl w:val="nil"/>
            </w:tcBorders>
            <w:vAlign w:val="center"/>
          </w:tcPr>
          <w:p>
            <w:pPr>
              <w:jc w:val="center"/>
              <w:rPr>
                <w:rFonts w:ascii="Times New Roman" w:hAnsi="Times New Roman" w:cs="Times New Roman"/>
                <w:b/>
                <w:bCs/>
                <w:color w:val="auto"/>
                <w:szCs w:val="21"/>
              </w:rPr>
            </w:pPr>
            <w:r>
              <w:rPr>
                <w:rFonts w:ascii="Times New Roman" w:hAnsi="Times New Roman" w:cs="Times New Roman"/>
                <w:b/>
                <w:bCs/>
                <w:color w:val="auto"/>
                <w:szCs w:val="21"/>
              </w:rPr>
              <w:t>排放方式或处理方式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041" w:type="dxa"/>
            <w:vMerge w:val="restar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废气</w:t>
            </w:r>
          </w:p>
        </w:tc>
        <w:tc>
          <w:tcPr>
            <w:tcW w:w="996"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G1-1</w:t>
            </w:r>
          </w:p>
        </w:tc>
        <w:tc>
          <w:tcPr>
            <w:tcW w:w="1531" w:type="dxa"/>
            <w:vMerge w:val="restar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反应过程物料冷凝不凝气（含真空尾气）</w:t>
            </w:r>
          </w:p>
        </w:tc>
        <w:tc>
          <w:tcPr>
            <w:tcW w:w="1329" w:type="dxa"/>
            <w:vMerge w:val="restar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氨气、苯酚、甲醛、VOCs（二甲胺）</w:t>
            </w:r>
          </w:p>
        </w:tc>
        <w:tc>
          <w:tcPr>
            <w:tcW w:w="1165" w:type="dxa"/>
            <w:vMerge w:val="restart"/>
            <w:tcBorders>
              <w:tl2br w:val="nil"/>
              <w:tr2bl w:val="nil"/>
            </w:tcBorders>
            <w:vAlign w:val="center"/>
          </w:tcPr>
          <w:p>
            <w:pPr>
              <w:ind w:left="-105" w:leftChars="-50" w:right="-105" w:rightChars="-50"/>
              <w:jc w:val="center"/>
              <w:rPr>
                <w:rFonts w:ascii="Times New Roman" w:hAnsi="Times New Roman" w:cs="Times New Roman"/>
                <w:color w:val="auto"/>
                <w:szCs w:val="21"/>
              </w:rPr>
            </w:pPr>
            <w:r>
              <w:rPr>
                <w:rFonts w:ascii="Times New Roman" w:hAnsi="Times New Roman" w:cs="Times New Roman"/>
                <w:color w:val="auto"/>
                <w:szCs w:val="21"/>
              </w:rPr>
              <w:t>生产时间连续</w:t>
            </w:r>
          </w:p>
        </w:tc>
        <w:tc>
          <w:tcPr>
            <w:tcW w:w="2814" w:type="dxa"/>
            <w:vMerge w:val="restar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强制冷凝+水吸收+酸吸收+</w:t>
            </w:r>
            <w:r>
              <w:rPr>
                <w:rFonts w:hint="eastAsia" w:ascii="Times New Roman" w:hAnsi="Times New Roman" w:cs="Times New Roman"/>
                <w:color w:val="auto"/>
                <w:szCs w:val="21"/>
                <w:lang w:val="en-US" w:eastAsia="zh-CN"/>
              </w:rPr>
              <w:t>酸</w:t>
            </w:r>
            <w:r>
              <w:rPr>
                <w:rFonts w:ascii="Times New Roman" w:hAnsi="Times New Roman" w:cs="Times New Roman"/>
                <w:color w:val="auto"/>
                <w:szCs w:val="21"/>
              </w:rPr>
              <w:t>吸收+除雾板+</w:t>
            </w:r>
            <w:r>
              <w:rPr>
                <w:rFonts w:hint="eastAsia" w:ascii="Times New Roman" w:hAnsi="Times New Roman" w:cs="Times New Roman"/>
                <w:color w:val="auto"/>
                <w:szCs w:val="21"/>
                <w:lang w:val="en-US" w:eastAsia="zh-CN"/>
              </w:rPr>
              <w:t>酸吸收+活性炭吸附+</w:t>
            </w:r>
            <w:r>
              <w:rPr>
                <w:rFonts w:ascii="Times New Roman" w:hAnsi="Times New Roman" w:cs="Times New Roman"/>
                <w:color w:val="auto"/>
                <w:szCs w:val="21"/>
              </w:rPr>
              <w:t>30m排气筒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041" w:type="dxa"/>
            <w:vMerge w:val="continue"/>
            <w:tcBorders>
              <w:tl2br w:val="nil"/>
              <w:tr2bl w:val="nil"/>
            </w:tcBorders>
            <w:vAlign w:val="center"/>
          </w:tcPr>
          <w:p>
            <w:pPr>
              <w:jc w:val="center"/>
              <w:rPr>
                <w:rFonts w:ascii="Times New Roman" w:hAnsi="Times New Roman" w:cs="Times New Roman"/>
                <w:color w:val="auto"/>
                <w:szCs w:val="21"/>
              </w:rPr>
            </w:pPr>
          </w:p>
        </w:tc>
        <w:tc>
          <w:tcPr>
            <w:tcW w:w="996"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G1-3</w:t>
            </w:r>
          </w:p>
        </w:tc>
        <w:tc>
          <w:tcPr>
            <w:tcW w:w="1531" w:type="dxa"/>
            <w:vMerge w:val="continue"/>
            <w:tcBorders>
              <w:tl2br w:val="nil"/>
              <w:tr2bl w:val="nil"/>
            </w:tcBorders>
            <w:vAlign w:val="center"/>
          </w:tcPr>
          <w:p>
            <w:pPr>
              <w:jc w:val="center"/>
              <w:rPr>
                <w:rFonts w:ascii="Times New Roman" w:hAnsi="Times New Roman" w:cs="Times New Roman"/>
                <w:color w:val="auto"/>
                <w:szCs w:val="21"/>
              </w:rPr>
            </w:pPr>
          </w:p>
        </w:tc>
        <w:tc>
          <w:tcPr>
            <w:tcW w:w="1329" w:type="dxa"/>
            <w:vMerge w:val="continue"/>
            <w:tcBorders>
              <w:tl2br w:val="nil"/>
              <w:tr2bl w:val="nil"/>
            </w:tcBorders>
            <w:vAlign w:val="center"/>
          </w:tcPr>
          <w:p>
            <w:pPr>
              <w:jc w:val="center"/>
              <w:rPr>
                <w:rFonts w:ascii="Times New Roman" w:hAnsi="Times New Roman" w:cs="Times New Roman"/>
                <w:color w:val="auto"/>
                <w:szCs w:val="21"/>
              </w:rPr>
            </w:pPr>
          </w:p>
        </w:tc>
        <w:tc>
          <w:tcPr>
            <w:tcW w:w="1165" w:type="dxa"/>
            <w:vMerge w:val="continue"/>
            <w:tcBorders>
              <w:tl2br w:val="nil"/>
              <w:tr2bl w:val="nil"/>
            </w:tcBorders>
            <w:vAlign w:val="center"/>
          </w:tcPr>
          <w:p>
            <w:pPr>
              <w:ind w:left="-105" w:leftChars="-50" w:right="-105" w:rightChars="-50"/>
              <w:jc w:val="center"/>
              <w:rPr>
                <w:rFonts w:ascii="Times New Roman" w:hAnsi="Times New Roman" w:cs="Times New Roman"/>
                <w:color w:val="auto"/>
                <w:szCs w:val="21"/>
              </w:rPr>
            </w:pPr>
          </w:p>
        </w:tc>
        <w:tc>
          <w:tcPr>
            <w:tcW w:w="2814" w:type="dxa"/>
            <w:vMerge w:val="continue"/>
            <w:tcBorders>
              <w:tl2br w:val="nil"/>
              <w:tr2bl w:val="nil"/>
            </w:tcBorders>
            <w:vAlign w:val="center"/>
          </w:tcPr>
          <w:p>
            <w:pPr>
              <w:jc w:val="center"/>
              <w:rPr>
                <w:rFonts w:ascii="Times New Roman" w:hAnsi="Times New Roman"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041" w:type="dxa"/>
            <w:vMerge w:val="continue"/>
            <w:tcBorders>
              <w:tl2br w:val="nil"/>
              <w:tr2bl w:val="nil"/>
            </w:tcBorders>
            <w:vAlign w:val="center"/>
          </w:tcPr>
          <w:p>
            <w:pPr>
              <w:jc w:val="center"/>
              <w:rPr>
                <w:rFonts w:ascii="Times New Roman" w:hAnsi="Times New Roman" w:cs="Times New Roman"/>
                <w:color w:val="auto"/>
                <w:szCs w:val="21"/>
              </w:rPr>
            </w:pPr>
          </w:p>
        </w:tc>
        <w:tc>
          <w:tcPr>
            <w:tcW w:w="996"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G1-</w:t>
            </w:r>
            <w:r>
              <w:rPr>
                <w:rFonts w:hint="default" w:ascii="Times New Roman" w:hAnsi="Times New Roman" w:cs="Times New Roman"/>
                <w:color w:val="auto"/>
                <w:szCs w:val="21"/>
              </w:rPr>
              <w:t>4</w:t>
            </w:r>
          </w:p>
        </w:tc>
        <w:tc>
          <w:tcPr>
            <w:tcW w:w="1531"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回收二甲胺不凝气</w:t>
            </w:r>
          </w:p>
        </w:tc>
        <w:tc>
          <w:tcPr>
            <w:tcW w:w="1329" w:type="dxa"/>
            <w:vMerge w:val="continue"/>
            <w:tcBorders>
              <w:tl2br w:val="nil"/>
              <w:tr2bl w:val="nil"/>
            </w:tcBorders>
            <w:vAlign w:val="center"/>
          </w:tcPr>
          <w:p>
            <w:pPr>
              <w:jc w:val="center"/>
              <w:rPr>
                <w:rFonts w:ascii="Times New Roman" w:hAnsi="Times New Roman" w:cs="Times New Roman"/>
                <w:color w:val="auto"/>
                <w:szCs w:val="21"/>
              </w:rPr>
            </w:pPr>
          </w:p>
        </w:tc>
        <w:tc>
          <w:tcPr>
            <w:tcW w:w="1165" w:type="dxa"/>
            <w:vMerge w:val="continue"/>
            <w:tcBorders>
              <w:tl2br w:val="nil"/>
              <w:tr2bl w:val="nil"/>
            </w:tcBorders>
            <w:vAlign w:val="center"/>
          </w:tcPr>
          <w:p>
            <w:pPr>
              <w:ind w:left="-105" w:leftChars="-50" w:right="-105" w:rightChars="-50"/>
              <w:jc w:val="center"/>
              <w:rPr>
                <w:rFonts w:ascii="Times New Roman" w:hAnsi="Times New Roman" w:cs="Times New Roman"/>
                <w:color w:val="auto"/>
                <w:szCs w:val="21"/>
              </w:rPr>
            </w:pPr>
          </w:p>
        </w:tc>
        <w:tc>
          <w:tcPr>
            <w:tcW w:w="2814" w:type="dxa"/>
            <w:vMerge w:val="continue"/>
            <w:tcBorders>
              <w:tl2br w:val="nil"/>
              <w:tr2bl w:val="nil"/>
            </w:tcBorders>
            <w:vAlign w:val="center"/>
          </w:tcPr>
          <w:p>
            <w:pPr>
              <w:jc w:val="center"/>
              <w:rPr>
                <w:rFonts w:ascii="Times New Roman" w:hAnsi="Times New Roman"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041" w:type="dxa"/>
            <w:vMerge w:val="continue"/>
            <w:tcBorders>
              <w:tl2br w:val="nil"/>
              <w:tr2bl w:val="nil"/>
            </w:tcBorders>
            <w:vAlign w:val="center"/>
          </w:tcPr>
          <w:p>
            <w:pPr>
              <w:jc w:val="center"/>
              <w:rPr>
                <w:rFonts w:ascii="Times New Roman" w:hAnsi="Times New Roman" w:cs="Times New Roman"/>
                <w:color w:val="auto"/>
                <w:szCs w:val="21"/>
              </w:rPr>
            </w:pPr>
          </w:p>
        </w:tc>
        <w:tc>
          <w:tcPr>
            <w:tcW w:w="996"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G1-2</w:t>
            </w:r>
          </w:p>
        </w:tc>
        <w:tc>
          <w:tcPr>
            <w:tcW w:w="1531"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自动包装机</w:t>
            </w:r>
          </w:p>
        </w:tc>
        <w:tc>
          <w:tcPr>
            <w:tcW w:w="1329"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氨气、VOCs（二甲胺）</w:t>
            </w:r>
          </w:p>
        </w:tc>
        <w:tc>
          <w:tcPr>
            <w:tcW w:w="1165" w:type="dxa"/>
            <w:tcBorders>
              <w:tl2br w:val="nil"/>
              <w:tr2bl w:val="nil"/>
            </w:tcBorders>
            <w:vAlign w:val="center"/>
          </w:tcPr>
          <w:p>
            <w:pPr>
              <w:ind w:left="-105" w:leftChars="-50" w:right="-105" w:rightChars="-50"/>
              <w:jc w:val="center"/>
              <w:rPr>
                <w:rFonts w:ascii="Times New Roman" w:hAnsi="Times New Roman" w:cs="Times New Roman"/>
                <w:color w:val="auto"/>
                <w:szCs w:val="21"/>
              </w:rPr>
            </w:pPr>
            <w:r>
              <w:rPr>
                <w:rFonts w:ascii="Times New Roman" w:hAnsi="Times New Roman" w:cs="Times New Roman"/>
                <w:color w:val="auto"/>
                <w:szCs w:val="21"/>
              </w:rPr>
              <w:t>生产时间连续</w:t>
            </w:r>
          </w:p>
        </w:tc>
        <w:tc>
          <w:tcPr>
            <w:tcW w:w="2814" w:type="dxa"/>
            <w:vMerge w:val="continue"/>
            <w:tcBorders>
              <w:tl2br w:val="nil"/>
              <w:tr2bl w:val="nil"/>
            </w:tcBorders>
            <w:vAlign w:val="center"/>
          </w:tcPr>
          <w:p>
            <w:pPr>
              <w:jc w:val="center"/>
              <w:rPr>
                <w:rFonts w:ascii="Times New Roman" w:hAnsi="Times New Roman"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041"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废水</w:t>
            </w:r>
          </w:p>
        </w:tc>
        <w:tc>
          <w:tcPr>
            <w:tcW w:w="996"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W1-1</w:t>
            </w:r>
          </w:p>
        </w:tc>
        <w:tc>
          <w:tcPr>
            <w:tcW w:w="1531"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rPr>
              <w:t>真空脱水</w:t>
            </w:r>
          </w:p>
        </w:tc>
        <w:tc>
          <w:tcPr>
            <w:tcW w:w="1329"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COD、氨氮</w:t>
            </w:r>
          </w:p>
        </w:tc>
        <w:tc>
          <w:tcPr>
            <w:tcW w:w="1165" w:type="dxa"/>
            <w:tcBorders>
              <w:tl2br w:val="nil"/>
              <w:tr2bl w:val="nil"/>
            </w:tcBorders>
            <w:vAlign w:val="center"/>
          </w:tcPr>
          <w:p>
            <w:pPr>
              <w:ind w:left="-105" w:leftChars="-50" w:right="-105" w:rightChars="-50"/>
              <w:jc w:val="center"/>
              <w:rPr>
                <w:rFonts w:ascii="Times New Roman" w:hAnsi="Times New Roman" w:cs="Times New Roman"/>
                <w:color w:val="auto"/>
                <w:szCs w:val="21"/>
              </w:rPr>
            </w:pPr>
            <w:r>
              <w:rPr>
                <w:rFonts w:ascii="Times New Roman" w:hAnsi="Times New Roman" w:cs="Times New Roman"/>
                <w:color w:val="auto"/>
                <w:szCs w:val="21"/>
              </w:rPr>
              <w:t>间歇</w:t>
            </w:r>
          </w:p>
        </w:tc>
        <w:tc>
          <w:tcPr>
            <w:tcW w:w="2814"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进入废水接收罐后经厂内调节池+</w:t>
            </w:r>
            <w:r>
              <w:rPr>
                <w:rFonts w:hint="eastAsia" w:ascii="Times New Roman" w:hAnsi="Times New Roman" w:cs="Times New Roman"/>
                <w:color w:val="auto"/>
                <w:szCs w:val="21"/>
                <w:lang w:val="en-US" w:eastAsia="zh-CN"/>
              </w:rPr>
              <w:t>水解酸化+</w:t>
            </w:r>
            <w:r>
              <w:rPr>
                <w:rFonts w:ascii="Times New Roman" w:hAnsi="Times New Roman" w:cs="Times New Roman"/>
                <w:color w:val="auto"/>
                <w:szCs w:val="21"/>
              </w:rPr>
              <w:t>AO</w:t>
            </w:r>
            <w:r>
              <w:rPr>
                <w:rFonts w:hint="eastAsia" w:ascii="Times New Roman" w:hAnsi="Times New Roman" w:cs="Times New Roman"/>
                <w:color w:val="auto"/>
                <w:szCs w:val="21"/>
                <w:lang w:val="en-US" w:eastAsia="zh-CN"/>
              </w:rPr>
              <w:t>+沉淀</w:t>
            </w:r>
            <w:r>
              <w:rPr>
                <w:rFonts w:ascii="Times New Roman" w:hAnsi="Times New Roman" w:cs="Times New Roman"/>
                <w:color w:val="auto"/>
                <w:szCs w:val="21"/>
              </w:rPr>
              <w:t>处理后进入园区污水厂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041" w:type="dxa"/>
            <w:vMerge w:val="restar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固废</w:t>
            </w:r>
          </w:p>
        </w:tc>
        <w:tc>
          <w:tcPr>
            <w:tcW w:w="996"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S1-1</w:t>
            </w:r>
          </w:p>
        </w:tc>
        <w:tc>
          <w:tcPr>
            <w:tcW w:w="1531" w:type="dxa"/>
            <w:vMerge w:val="restar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釜底过滤器</w:t>
            </w:r>
          </w:p>
        </w:tc>
        <w:tc>
          <w:tcPr>
            <w:tcW w:w="1329" w:type="dxa"/>
            <w:vMerge w:val="restar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废过滤渣和滤网</w:t>
            </w:r>
          </w:p>
        </w:tc>
        <w:tc>
          <w:tcPr>
            <w:tcW w:w="1165" w:type="dxa"/>
            <w:vMerge w:val="restar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间歇，定期处置</w:t>
            </w:r>
          </w:p>
        </w:tc>
        <w:tc>
          <w:tcPr>
            <w:tcW w:w="2814" w:type="dxa"/>
            <w:vMerge w:val="restar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送有资质单位处置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041" w:type="dxa"/>
            <w:vMerge w:val="continue"/>
            <w:tcBorders>
              <w:tl2br w:val="nil"/>
              <w:tr2bl w:val="nil"/>
            </w:tcBorders>
            <w:vAlign w:val="center"/>
          </w:tcPr>
          <w:p>
            <w:pPr>
              <w:jc w:val="center"/>
              <w:rPr>
                <w:rFonts w:ascii="Times New Roman" w:hAnsi="Times New Roman" w:cs="Times New Roman"/>
                <w:color w:val="auto"/>
                <w:szCs w:val="21"/>
              </w:rPr>
            </w:pPr>
          </w:p>
        </w:tc>
        <w:tc>
          <w:tcPr>
            <w:tcW w:w="996"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S1-2</w:t>
            </w:r>
          </w:p>
        </w:tc>
        <w:tc>
          <w:tcPr>
            <w:tcW w:w="1531" w:type="dxa"/>
            <w:vMerge w:val="continue"/>
            <w:tcBorders>
              <w:tl2br w:val="nil"/>
              <w:tr2bl w:val="nil"/>
            </w:tcBorders>
            <w:vAlign w:val="center"/>
          </w:tcPr>
          <w:p>
            <w:pPr>
              <w:jc w:val="center"/>
              <w:rPr>
                <w:rFonts w:ascii="Times New Roman" w:hAnsi="Times New Roman" w:cs="Times New Roman"/>
                <w:color w:val="auto"/>
                <w:szCs w:val="21"/>
              </w:rPr>
            </w:pPr>
          </w:p>
        </w:tc>
        <w:tc>
          <w:tcPr>
            <w:tcW w:w="1329" w:type="dxa"/>
            <w:vMerge w:val="continue"/>
            <w:tcBorders>
              <w:tl2br w:val="nil"/>
              <w:tr2bl w:val="nil"/>
            </w:tcBorders>
            <w:vAlign w:val="center"/>
          </w:tcPr>
          <w:p>
            <w:pPr>
              <w:jc w:val="center"/>
              <w:rPr>
                <w:rFonts w:ascii="Times New Roman" w:hAnsi="Times New Roman" w:cs="Times New Roman"/>
                <w:color w:val="auto"/>
                <w:szCs w:val="21"/>
              </w:rPr>
            </w:pPr>
          </w:p>
        </w:tc>
        <w:tc>
          <w:tcPr>
            <w:tcW w:w="1165" w:type="dxa"/>
            <w:vMerge w:val="continue"/>
            <w:tcBorders>
              <w:tl2br w:val="nil"/>
              <w:tr2bl w:val="nil"/>
            </w:tcBorders>
            <w:vAlign w:val="center"/>
          </w:tcPr>
          <w:p>
            <w:pPr>
              <w:jc w:val="center"/>
              <w:rPr>
                <w:rFonts w:ascii="Times New Roman" w:hAnsi="Times New Roman" w:cs="Times New Roman"/>
                <w:color w:val="auto"/>
                <w:szCs w:val="21"/>
              </w:rPr>
            </w:pPr>
          </w:p>
        </w:tc>
        <w:tc>
          <w:tcPr>
            <w:tcW w:w="2814" w:type="dxa"/>
            <w:vMerge w:val="continue"/>
            <w:tcBorders>
              <w:tl2br w:val="nil"/>
              <w:tr2bl w:val="nil"/>
            </w:tcBorders>
            <w:vAlign w:val="center"/>
          </w:tcPr>
          <w:p>
            <w:pPr>
              <w:jc w:val="center"/>
              <w:rPr>
                <w:rFonts w:ascii="Times New Roman" w:hAnsi="Times New Roman"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041"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噪声</w:t>
            </w:r>
          </w:p>
        </w:tc>
        <w:tc>
          <w:tcPr>
            <w:tcW w:w="996"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N</w:t>
            </w:r>
          </w:p>
        </w:tc>
        <w:tc>
          <w:tcPr>
            <w:tcW w:w="1531"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设备运行</w:t>
            </w:r>
          </w:p>
        </w:tc>
        <w:tc>
          <w:tcPr>
            <w:tcW w:w="1329"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噪声</w:t>
            </w:r>
          </w:p>
        </w:tc>
        <w:tc>
          <w:tcPr>
            <w:tcW w:w="1165"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生产时间连续</w:t>
            </w:r>
          </w:p>
        </w:tc>
        <w:tc>
          <w:tcPr>
            <w:tcW w:w="2814"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基础减振，厂房隔声等</w:t>
            </w:r>
          </w:p>
        </w:tc>
      </w:tr>
    </w:tbl>
    <w:p>
      <w:pPr>
        <w:adjustRightInd w:val="0"/>
        <w:spacing w:before="156" w:beforeLines="50" w:after="78" w:afterLines="25" w:line="360" w:lineRule="auto"/>
        <w:outlineLvl w:val="2"/>
        <w:rPr>
          <w:rFonts w:ascii="Times New Roman" w:hAnsi="Times New Roman" w:cs="Times New Roman"/>
          <w:b/>
          <w:color w:val="auto"/>
          <w:sz w:val="28"/>
          <w:szCs w:val="28"/>
        </w:rPr>
      </w:pPr>
      <w:bookmarkStart w:id="28" w:name="_Toc10287"/>
      <w:r>
        <w:rPr>
          <w:rFonts w:hint="default" w:ascii="Times New Roman" w:hAnsi="Times New Roman" w:cs="Times New Roman"/>
          <w:b/>
          <w:color w:val="auto"/>
          <w:sz w:val="28"/>
          <w:szCs w:val="28"/>
        </w:rPr>
        <w:t>3.</w:t>
      </w:r>
      <w:r>
        <w:rPr>
          <w:rFonts w:hint="eastAsia" w:ascii="Times New Roman" w:hAnsi="Times New Roman" w:cs="Times New Roman"/>
          <w:b/>
          <w:color w:val="auto"/>
          <w:sz w:val="28"/>
          <w:szCs w:val="28"/>
          <w:lang w:eastAsia="zh-CN"/>
        </w:rPr>
        <w:t>6</w:t>
      </w:r>
      <w:r>
        <w:rPr>
          <w:rFonts w:hint="default" w:ascii="Times New Roman" w:hAnsi="Times New Roman" w:cs="Times New Roman"/>
          <w:b/>
          <w:color w:val="auto"/>
          <w:sz w:val="28"/>
          <w:szCs w:val="28"/>
        </w:rPr>
        <w:t>.2</w:t>
      </w:r>
      <w:r>
        <w:rPr>
          <w:rFonts w:hint="eastAsia" w:ascii="Times New Roman" w:hAnsi="Times New Roman" w:cs="Times New Roman"/>
          <w:b/>
          <w:color w:val="auto"/>
          <w:sz w:val="28"/>
          <w:szCs w:val="28"/>
          <w:lang w:val="en-US" w:eastAsia="zh-CN"/>
        </w:rPr>
        <w:t xml:space="preserve"> </w:t>
      </w:r>
      <w:r>
        <w:rPr>
          <w:rFonts w:ascii="Times New Roman" w:hAnsi="Times New Roman" w:cs="Times New Roman"/>
          <w:b/>
          <w:color w:val="auto"/>
          <w:sz w:val="28"/>
          <w:szCs w:val="28"/>
        </w:rPr>
        <w:t>PPA生产工艺及产污环节</w:t>
      </w:r>
      <w:bookmarkEnd w:id="28"/>
    </w:p>
    <w:p>
      <w:pPr>
        <w:adjustRightInd w:val="0"/>
        <w:spacing w:before="78" w:beforeLines="25" w:after="78" w:afterLines="25" w:line="360" w:lineRule="auto"/>
        <w:outlineLvl w:val="3"/>
        <w:rPr>
          <w:rFonts w:ascii="Times New Roman" w:hAnsi="Times New Roman" w:cs="Times New Roman"/>
          <w:b/>
          <w:bCs/>
          <w:color w:val="auto"/>
          <w:sz w:val="24"/>
          <w:szCs w:val="24"/>
        </w:rPr>
      </w:pPr>
      <w:r>
        <w:rPr>
          <w:rFonts w:hint="default" w:ascii="Times New Roman" w:hAnsi="Times New Roman" w:cs="Times New Roman"/>
          <w:b/>
          <w:bCs/>
          <w:color w:val="auto"/>
          <w:sz w:val="24"/>
          <w:szCs w:val="24"/>
        </w:rPr>
        <w:t>3.</w:t>
      </w:r>
      <w:r>
        <w:rPr>
          <w:rFonts w:hint="eastAsia" w:ascii="Times New Roman" w:hAnsi="Times New Roman" w:cs="Times New Roman"/>
          <w:b/>
          <w:bCs/>
          <w:color w:val="auto"/>
          <w:sz w:val="24"/>
          <w:szCs w:val="24"/>
          <w:lang w:eastAsia="zh-CN"/>
        </w:rPr>
        <w:t>6</w:t>
      </w:r>
      <w:r>
        <w:rPr>
          <w:rFonts w:hint="default" w:ascii="Times New Roman" w:hAnsi="Times New Roman" w:cs="Times New Roman"/>
          <w:b/>
          <w:bCs/>
          <w:color w:val="auto"/>
          <w:sz w:val="24"/>
          <w:szCs w:val="24"/>
        </w:rPr>
        <w:t>.2.1</w:t>
      </w:r>
      <w:r>
        <w:rPr>
          <w:rFonts w:ascii="Times New Roman" w:hAnsi="Times New Roman" w:cs="Times New Roman"/>
          <w:b/>
          <w:bCs/>
          <w:color w:val="auto"/>
          <w:sz w:val="24"/>
          <w:szCs w:val="24"/>
        </w:rPr>
        <w:t>反应原理</w:t>
      </w:r>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PPA-1固化剂是苯酚与乙二胺混合加入多聚甲醛缩合的形成的混合物(多聚甲醛在发生化学反应时解聚并以甲醛的形式参与反应)。反应机理如下：</w:t>
      </w:r>
    </w:p>
    <w:p>
      <w:pPr>
        <w:pStyle w:val="27"/>
        <w:ind w:firstLine="240"/>
        <w:rPr>
          <w:rFonts w:ascii="Times New Roman" w:hAnsi="Times New Roman" w:cs="Times New Roman"/>
          <w:color w:val="auto"/>
          <w:sz w:val="24"/>
          <w:szCs w:val="24"/>
        </w:rPr>
      </w:pPr>
      <w:r>
        <w:rPr>
          <w:rFonts w:ascii="Times New Roman" w:hAnsi="Times New Roman" w:cs="Times New Roman"/>
          <w:color w:val="auto"/>
          <w:sz w:val="24"/>
          <w:szCs w:val="24"/>
        </w:rPr>
        <w:drawing>
          <wp:inline distT="0" distB="0" distL="114300" distR="114300">
            <wp:extent cx="4457700" cy="657225"/>
            <wp:effectExtent l="0" t="0" r="0" b="0"/>
            <wp:docPr id="8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4"/>
                    <pic:cNvPicPr>
                      <a:picLocks noChangeAspect="1"/>
                    </pic:cNvPicPr>
                  </pic:nvPicPr>
                  <pic:blipFill>
                    <a:blip r:embed="rId11"/>
                    <a:stretch>
                      <a:fillRect/>
                    </a:stretch>
                  </pic:blipFill>
                  <pic:spPr>
                    <a:xfrm>
                      <a:off x="0" y="0"/>
                      <a:ext cx="4457700" cy="657225"/>
                    </a:xfrm>
                    <a:prstGeom prst="rect">
                      <a:avLst/>
                    </a:prstGeom>
                    <a:noFill/>
                    <a:ln>
                      <a:noFill/>
                    </a:ln>
                  </pic:spPr>
                </pic:pic>
              </a:graphicData>
            </a:graphic>
          </wp:inline>
        </w:drawing>
      </w:r>
      <w:r>
        <w:rPr>
          <w:rFonts w:ascii="Times New Roman" w:hAnsi="Times New Roman" w:cs="Times New Roman"/>
          <w:color w:val="auto"/>
          <w:sz w:val="24"/>
          <w:szCs w:val="24"/>
        </w:rPr>
        <w:t xml:space="preserve">            </w:t>
      </w:r>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PPA-2固化剂是由酚类与胺类混合加入多聚甲醛缩合反应（曼尼希反应）并脱水而形成的混合物。反应机理如下：</w:t>
      </w:r>
    </w:p>
    <w:p>
      <w:pPr>
        <w:adjustRightInd w:val="0"/>
        <w:spacing w:before="78" w:beforeLines="25" w:after="78" w:afterLines="25" w:line="360" w:lineRule="auto"/>
        <w:rPr>
          <w:rFonts w:ascii="Times New Roman" w:hAnsi="Times New Roman" w:cs="Times New Roman"/>
          <w:color w:val="auto"/>
        </w:rPr>
      </w:pPr>
      <w:r>
        <w:rPr>
          <w:rFonts w:ascii="Times New Roman" w:hAnsi="Times New Roman" w:cs="Times New Roman"/>
          <w:color w:val="auto"/>
        </w:rPr>
        <w:drawing>
          <wp:inline distT="0" distB="0" distL="114300" distR="114300">
            <wp:extent cx="5125720" cy="949325"/>
            <wp:effectExtent l="0" t="0" r="8255" b="3175"/>
            <wp:docPr id="87" name="图片 15" descr="C:\Users\Administrator\Desktop\PPA方程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5" descr="C:\Users\Administrator\Desktop\PPA方程式.jpg"/>
                    <pic:cNvPicPr>
                      <a:picLocks noChangeAspect="1"/>
                    </pic:cNvPicPr>
                  </pic:nvPicPr>
                  <pic:blipFill>
                    <a:blip r:embed="rId12"/>
                    <a:srcRect l="1025" t="39516" r="1802" b="37955"/>
                    <a:stretch>
                      <a:fillRect/>
                    </a:stretch>
                  </pic:blipFill>
                  <pic:spPr>
                    <a:xfrm>
                      <a:off x="0" y="0"/>
                      <a:ext cx="5125720" cy="949325"/>
                    </a:xfrm>
                    <a:prstGeom prst="rect">
                      <a:avLst/>
                    </a:prstGeom>
                    <a:noFill/>
                    <a:ln>
                      <a:noFill/>
                    </a:ln>
                  </pic:spPr>
                </pic:pic>
              </a:graphicData>
            </a:graphic>
          </wp:inline>
        </w:drawing>
      </w:r>
    </w:p>
    <w:p>
      <w:pPr>
        <w:pStyle w:val="9"/>
        <w:rPr>
          <w:rFonts w:ascii="Times New Roman" w:hAnsi="Times New Roman" w:cs="Times New Roman" w:eastAsiaTheme="minorEastAsia"/>
          <w:color w:val="auto"/>
          <w:sz w:val="24"/>
          <w:szCs w:val="24"/>
        </w:rPr>
      </w:pPr>
      <w:r>
        <w:rPr>
          <w:rFonts w:ascii="Times New Roman" w:hAnsi="Times New Roman" w:cs="Times New Roman" w:eastAsiaTheme="minorEastAsia"/>
          <w:color w:val="auto"/>
          <w:sz w:val="24"/>
          <w:szCs w:val="24"/>
        </w:rPr>
        <w:t>因项目产品为混合物，产品质量指标关键指标为胺值，考虑指向性和转化率无意义。因此，仅考虑收率。根据设计单位提供资料可知，PPA-1和PPA-2的产品收率分别可达99.91%以上和99.28%以上。</w:t>
      </w:r>
    </w:p>
    <w:p>
      <w:pPr>
        <w:adjustRightInd w:val="0"/>
        <w:spacing w:before="78" w:beforeLines="25" w:after="78" w:afterLines="25" w:line="360" w:lineRule="auto"/>
        <w:outlineLvl w:val="3"/>
        <w:rPr>
          <w:rFonts w:ascii="Times New Roman" w:hAnsi="Times New Roman" w:cs="Times New Roman"/>
          <w:b/>
          <w:bCs/>
          <w:color w:val="auto"/>
          <w:sz w:val="24"/>
          <w:szCs w:val="24"/>
        </w:rPr>
      </w:pPr>
      <w:r>
        <w:rPr>
          <w:rFonts w:hint="default" w:ascii="Times New Roman" w:hAnsi="Times New Roman" w:cs="Times New Roman"/>
          <w:b/>
          <w:bCs/>
          <w:color w:val="auto"/>
          <w:sz w:val="24"/>
          <w:szCs w:val="24"/>
        </w:rPr>
        <w:t>3.</w:t>
      </w:r>
      <w:r>
        <w:rPr>
          <w:rFonts w:hint="eastAsia" w:ascii="Times New Roman" w:hAnsi="Times New Roman" w:cs="Times New Roman"/>
          <w:b/>
          <w:bCs/>
          <w:color w:val="auto"/>
          <w:sz w:val="24"/>
          <w:szCs w:val="24"/>
          <w:lang w:eastAsia="zh-CN"/>
        </w:rPr>
        <w:t>6</w:t>
      </w:r>
      <w:r>
        <w:rPr>
          <w:rFonts w:hint="default" w:ascii="Times New Roman" w:hAnsi="Times New Roman" w:cs="Times New Roman"/>
          <w:b/>
          <w:bCs/>
          <w:color w:val="auto"/>
          <w:sz w:val="24"/>
          <w:szCs w:val="24"/>
        </w:rPr>
        <w:t>.2.2</w:t>
      </w:r>
      <w:r>
        <w:rPr>
          <w:rFonts w:ascii="Times New Roman" w:hAnsi="Times New Roman" w:cs="Times New Roman"/>
          <w:b/>
          <w:bCs/>
          <w:color w:val="auto"/>
          <w:sz w:val="24"/>
          <w:szCs w:val="24"/>
        </w:rPr>
        <w:t>工艺流程</w:t>
      </w:r>
    </w:p>
    <w:p>
      <w:pPr>
        <w:adjustRightInd w:val="0"/>
        <w:snapToGrid w:val="0"/>
        <w:spacing w:line="360" w:lineRule="auto"/>
        <w:jc w:val="center"/>
        <w:rPr>
          <w:rFonts w:ascii="Times New Roman" w:hAnsi="Times New Roman" w:cs="Times New Roman"/>
          <w:color w:val="auto"/>
        </w:rPr>
      </w:pPr>
      <w:r>
        <w:rPr>
          <w:rFonts w:ascii="Times New Roman" w:hAnsi="Times New Roman" w:cs="Times New Roman"/>
          <w:color w:val="auto"/>
        </w:rPr>
        <w:object>
          <v:shape id="_x0000_i1027" o:spt="75" type="#_x0000_t75" style="height:283pt;width:469.65pt;" o:ole="t" filled="f" o:preferrelative="t" stroked="f" coordsize="21600,21600">
            <v:path/>
            <v:fill on="f" focussize="0,0"/>
            <v:stroke on="f" joinstyle="miter"/>
            <v:imagedata r:id="rId14" o:title=""/>
            <o:lock v:ext="edit" aspectratio="t"/>
            <w10:wrap type="none"/>
            <w10:anchorlock/>
          </v:shape>
          <o:OLEObject Type="Embed" ProgID="Visio.Drawing.11" ShapeID="_x0000_i1027" DrawAspect="Content" ObjectID="_1468075727" r:id="rId13">
            <o:LockedField>false</o:LockedField>
          </o:OLEObject>
        </w:object>
      </w:r>
    </w:p>
    <w:p>
      <w:pPr>
        <w:spacing w:line="360" w:lineRule="auto"/>
        <w:jc w:val="center"/>
        <w:rPr>
          <w:rFonts w:ascii="Times New Roman" w:hAnsi="Times New Roman" w:cs="Times New Roman"/>
          <w:color w:val="auto"/>
        </w:rPr>
      </w:pPr>
      <w:r>
        <w:rPr>
          <w:rFonts w:hint="default" w:ascii="Times New Roman" w:hAnsi="Times New Roman" w:eastAsia="黑体" w:cs="Times New Roman"/>
          <w:color w:val="auto"/>
        </w:rPr>
        <w:t>图3.</w:t>
      </w:r>
      <w:r>
        <w:rPr>
          <w:rFonts w:hint="eastAsia" w:ascii="Times New Roman" w:hAnsi="Times New Roman" w:eastAsia="黑体" w:cs="Times New Roman"/>
          <w:color w:val="auto"/>
          <w:lang w:eastAsia="zh-CN"/>
        </w:rPr>
        <w:t>6</w:t>
      </w:r>
      <w:r>
        <w:rPr>
          <w:rFonts w:hint="default" w:ascii="Times New Roman" w:hAnsi="Times New Roman" w:eastAsia="黑体" w:cs="Times New Roman"/>
          <w:color w:val="auto"/>
        </w:rPr>
        <w:t xml:space="preserve">-2  </w:t>
      </w:r>
      <w:r>
        <w:rPr>
          <w:rFonts w:ascii="Times New Roman" w:hAnsi="Times New Roman" w:eastAsia="黑体" w:cs="Times New Roman"/>
          <w:color w:val="auto"/>
        </w:rPr>
        <w:t>PPA-1生产工艺及产污节点图</w:t>
      </w:r>
      <w:r>
        <w:rPr>
          <w:rFonts w:ascii="Times New Roman" w:hAnsi="Times New Roman" w:cs="Times New Roman"/>
          <w:color w:val="auto"/>
        </w:rPr>
        <w:object>
          <v:shape id="_x0000_i1028" o:spt="75" type="#_x0000_t75" style="height:277.1pt;width:475.55pt;" o:ole="t" filled="f" o:preferrelative="t" stroked="f" coordsize="21600,21600">
            <v:path/>
            <v:fill on="f" focussize="0,0"/>
            <v:stroke on="f" joinstyle="miter"/>
            <v:imagedata r:id="rId16" o:title=""/>
            <o:lock v:ext="edit" aspectratio="t"/>
            <w10:wrap type="none"/>
            <w10:anchorlock/>
          </v:shape>
          <o:OLEObject Type="Embed" ProgID="Visio.Drawing.11" ShapeID="_x0000_i1028" DrawAspect="Content" ObjectID="_1468075728" r:id="rId15">
            <o:LockedField>false</o:LockedField>
          </o:OLEObject>
        </w:object>
      </w:r>
      <w:r>
        <w:rPr>
          <w:rFonts w:ascii="Times New Roman" w:hAnsi="Times New Roman" w:cs="Times New Roman"/>
          <w:color w:val="auto"/>
        </w:rPr>
        <w:object>
          <v:shape id="_x0000_i1029" o:spt="75" type="#_x0000_t75" style="height:277.1pt;width:475.55pt;" o:ole="t" filled="f" o:preferrelative="t" stroked="f" coordsize="21600,21600">
            <v:path/>
            <v:fill on="f" focussize="0,0"/>
            <v:stroke on="f" joinstyle="miter"/>
            <v:imagedata r:id="rId16" o:title=""/>
            <o:lock v:ext="edit" aspectratio="t"/>
            <w10:wrap type="none"/>
            <w10:anchorlock/>
          </v:shape>
          <o:OLEObject Type="Embed" ProgID="Visio.Drawing.11" ShapeID="_x0000_i1029" DrawAspect="Content" ObjectID="_1468075729" r:id="rId17">
            <o:LockedField>false</o:LockedField>
          </o:OLEObject>
        </w:object>
      </w:r>
    </w:p>
    <w:p>
      <w:pPr>
        <w:spacing w:line="360" w:lineRule="auto"/>
        <w:jc w:val="center"/>
        <w:rPr>
          <w:rFonts w:ascii="Times New Roman" w:hAnsi="Times New Roman" w:eastAsia="黑体" w:cs="Times New Roman"/>
          <w:color w:val="auto"/>
        </w:rPr>
      </w:pPr>
      <w:r>
        <w:rPr>
          <w:rFonts w:hint="default" w:ascii="Times New Roman" w:hAnsi="Times New Roman" w:eastAsia="黑体" w:cs="Times New Roman"/>
          <w:color w:val="auto"/>
        </w:rPr>
        <w:t>图3.</w:t>
      </w:r>
      <w:r>
        <w:rPr>
          <w:rFonts w:hint="eastAsia" w:ascii="Times New Roman" w:hAnsi="Times New Roman" w:eastAsia="黑体" w:cs="Times New Roman"/>
          <w:color w:val="auto"/>
          <w:lang w:eastAsia="zh-CN"/>
        </w:rPr>
        <w:t>6</w:t>
      </w:r>
      <w:r>
        <w:rPr>
          <w:rFonts w:hint="default" w:ascii="Times New Roman" w:hAnsi="Times New Roman" w:eastAsia="黑体" w:cs="Times New Roman"/>
          <w:color w:val="auto"/>
        </w:rPr>
        <w:t xml:space="preserve">-3  </w:t>
      </w:r>
      <w:r>
        <w:rPr>
          <w:rFonts w:ascii="Times New Roman" w:hAnsi="Times New Roman" w:eastAsia="黑体" w:cs="Times New Roman"/>
          <w:color w:val="auto"/>
        </w:rPr>
        <w:t>PPA-2生产工艺及产污节点图</w:t>
      </w:r>
    </w:p>
    <w:p>
      <w:pPr>
        <w:adjustRightInd w:val="0"/>
        <w:snapToGrid w:val="0"/>
        <w:spacing w:line="360" w:lineRule="auto"/>
        <w:jc w:val="center"/>
        <w:rPr>
          <w:rFonts w:ascii="Times New Roman" w:hAnsi="Times New Roman" w:cs="Times New Roman"/>
          <w:color w:val="auto"/>
        </w:rPr>
      </w:pPr>
      <w:r>
        <w:rPr>
          <w:rFonts w:ascii="Times New Roman" w:hAnsi="Times New Roman" w:cs="Times New Roman"/>
          <w:color w:val="auto"/>
        </w:rPr>
        <mc:AlternateContent>
          <mc:Choice Requires="wps">
            <w:drawing>
              <wp:anchor distT="0" distB="0" distL="114300" distR="114300" simplePos="0" relativeHeight="251695104" behindDoc="0" locked="0" layoutInCell="1" allowOverlap="1">
                <wp:simplePos x="0" y="0"/>
                <wp:positionH relativeFrom="column">
                  <wp:posOffset>7994650</wp:posOffset>
                </wp:positionH>
                <wp:positionV relativeFrom="paragraph">
                  <wp:posOffset>4585970</wp:posOffset>
                </wp:positionV>
                <wp:extent cx="774700" cy="0"/>
                <wp:effectExtent l="0" t="9525" r="6350" b="9525"/>
                <wp:wrapNone/>
                <wp:docPr id="85" name="直接连接符 85"/>
                <wp:cNvGraphicFramePr/>
                <a:graphic xmlns:a="http://schemas.openxmlformats.org/drawingml/2006/main">
                  <a:graphicData uri="http://schemas.microsoft.com/office/word/2010/wordprocessingShape">
                    <wps:wsp>
                      <wps:cNvCnPr/>
                      <wps:spPr>
                        <a:xfrm>
                          <a:off x="0" y="0"/>
                          <a:ext cx="774700" cy="0"/>
                        </a:xfrm>
                        <a:prstGeom prst="line">
                          <a:avLst/>
                        </a:prstGeom>
                        <a:ln w="19050" cap="flat" cmpd="sng">
                          <a:solidFill>
                            <a:srgbClr val="000000"/>
                          </a:solidFill>
                          <a:prstDash val="solid"/>
                          <a:headEnd type="none" w="med" len="med"/>
                          <a:tailEnd type="none" w="med" len="med"/>
                        </a:ln>
                      </wps:spPr>
                      <wps:bodyPr/>
                    </wps:wsp>
                  </a:graphicData>
                </a:graphic>
              </wp:anchor>
            </w:drawing>
          </mc:Choice>
          <mc:Fallback>
            <w:pict>
              <v:line id="_x0000_s1026" o:spid="_x0000_s1026" o:spt="20" style="position:absolute;left:0pt;margin-left:629.5pt;margin-top:361.1pt;height:0pt;width:61pt;z-index:251695104;mso-width-relative:page;mso-height-relative:page;" filled="f" stroked="t" coordsize="21600,21600" o:gfxdata="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7d/Dl9cAAAANAQAADwAAAAAAAAABACAAAAAiAAAAZHJzL2Rvd25yZXYueG1sUEsBAhQAFAAAAAgA&#10;h07iQP0aObbtAQAA2gMAAA4AAAAAAAAAAQAgAAAAJgEAAGRycy9lMm9Eb2MueG1sUEsFBgAAAAAG&#10;AAYAWQEAAIUFAAAAAA==&#10;">
                <v:fill on="f" focussize="0,0"/>
                <v:stroke weight="1.5pt" color="#000000" joinstyle="round"/>
                <v:imagedata o:title=""/>
                <o:lock v:ext="edit" aspectratio="f"/>
              </v:line>
            </w:pict>
          </mc:Fallback>
        </mc:AlternateContent>
      </w:r>
      <w:r>
        <w:rPr>
          <w:rFonts w:ascii="Times New Roman" w:hAnsi="Times New Roman" w:cs="Times New Roman"/>
          <w:color w:val="auto"/>
        </w:rPr>
        <mc:AlternateContent>
          <mc:Choice Requires="wps">
            <w:drawing>
              <wp:anchor distT="0" distB="0" distL="114300" distR="114300" simplePos="0" relativeHeight="251694080" behindDoc="0" locked="0" layoutInCell="1" allowOverlap="1">
                <wp:simplePos x="0" y="0"/>
                <wp:positionH relativeFrom="column">
                  <wp:posOffset>6823075</wp:posOffset>
                </wp:positionH>
                <wp:positionV relativeFrom="paragraph">
                  <wp:posOffset>4605020</wp:posOffset>
                </wp:positionV>
                <wp:extent cx="774700" cy="0"/>
                <wp:effectExtent l="0" t="9525" r="6350" b="9525"/>
                <wp:wrapNone/>
                <wp:docPr id="84" name="直接连接符 84"/>
                <wp:cNvGraphicFramePr/>
                <a:graphic xmlns:a="http://schemas.openxmlformats.org/drawingml/2006/main">
                  <a:graphicData uri="http://schemas.microsoft.com/office/word/2010/wordprocessingShape">
                    <wps:wsp>
                      <wps:cNvCnPr/>
                      <wps:spPr>
                        <a:xfrm>
                          <a:off x="0" y="0"/>
                          <a:ext cx="774700" cy="0"/>
                        </a:xfrm>
                        <a:prstGeom prst="line">
                          <a:avLst/>
                        </a:prstGeom>
                        <a:ln w="19050" cap="flat" cmpd="sng">
                          <a:solidFill>
                            <a:srgbClr val="000000"/>
                          </a:solidFill>
                          <a:prstDash val="solid"/>
                          <a:headEnd type="none" w="med" len="med"/>
                          <a:tailEnd type="none" w="med" len="med"/>
                        </a:ln>
                      </wps:spPr>
                      <wps:bodyPr/>
                    </wps:wsp>
                  </a:graphicData>
                </a:graphic>
              </wp:anchor>
            </w:drawing>
          </mc:Choice>
          <mc:Fallback>
            <w:pict>
              <v:line id="_x0000_s1026" o:spid="_x0000_s1026" o:spt="20" style="position:absolute;left:0pt;margin-left:537.25pt;margin-top:362.6pt;height:0pt;width:61pt;z-index:251694080;mso-width-relative:page;mso-height-relative:page;" filled="f" stroked="t" coordsize="21600,21600" o:gfxdata="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GcNVGzYAAAADQEAAA8AAAAAAAAAAQAgAAAAIgAAAGRycy9kb3ducmV2LnhtbFBLAQIUABQAAAAI&#10;AIdO4kDQeDuz7QEAANoDAAAOAAAAAAAAAAEAIAAAACcBAABkcnMvZTJvRG9jLnhtbFBLBQYAAAAA&#10;BgAGAFkBAACGBQAAAAA=&#10;">
                <v:fill on="f" focussize="0,0"/>
                <v:stroke weight="1.5pt" color="#000000" joinstyle="round"/>
                <v:imagedata o:title=""/>
                <o:lock v:ext="edit" aspectratio="f"/>
              </v:line>
            </w:pict>
          </mc:Fallback>
        </mc:AlternateContent>
      </w:r>
    </w:p>
    <w:p>
      <w:pPr>
        <w:rPr>
          <w:rFonts w:ascii="Times New Roman" w:hAnsi="Times New Roman" w:cs="Times New Roman"/>
          <w:color w:val="auto"/>
        </w:rPr>
      </w:pPr>
    </w:p>
    <w:p>
      <w:pPr>
        <w:adjustRightInd w:val="0"/>
        <w:spacing w:before="78" w:beforeLines="25" w:after="78" w:afterLines="25" w:line="360" w:lineRule="auto"/>
        <w:outlineLvl w:val="3"/>
        <w:rPr>
          <w:rFonts w:ascii="Times New Roman" w:hAnsi="Times New Roman" w:cs="Times New Roman"/>
          <w:b/>
          <w:bCs/>
          <w:color w:val="auto"/>
          <w:sz w:val="24"/>
          <w:szCs w:val="24"/>
        </w:rPr>
      </w:pPr>
      <w:r>
        <w:rPr>
          <w:rFonts w:hint="default" w:ascii="Times New Roman" w:hAnsi="Times New Roman" w:cs="Times New Roman"/>
          <w:b/>
          <w:bCs/>
          <w:color w:val="auto"/>
          <w:sz w:val="24"/>
          <w:szCs w:val="24"/>
        </w:rPr>
        <w:t>3.</w:t>
      </w:r>
      <w:r>
        <w:rPr>
          <w:rFonts w:hint="eastAsia" w:ascii="Times New Roman" w:hAnsi="Times New Roman" w:cs="Times New Roman"/>
          <w:b/>
          <w:bCs/>
          <w:color w:val="auto"/>
          <w:sz w:val="24"/>
          <w:szCs w:val="24"/>
          <w:lang w:eastAsia="zh-CN"/>
        </w:rPr>
        <w:t>6</w:t>
      </w:r>
      <w:r>
        <w:rPr>
          <w:rFonts w:hint="default" w:ascii="Times New Roman" w:hAnsi="Times New Roman" w:cs="Times New Roman"/>
          <w:b/>
          <w:bCs/>
          <w:color w:val="auto"/>
          <w:sz w:val="24"/>
          <w:szCs w:val="24"/>
        </w:rPr>
        <w:t>.2.3</w:t>
      </w:r>
      <w:r>
        <w:rPr>
          <w:rFonts w:ascii="Times New Roman" w:hAnsi="Times New Roman" w:cs="Times New Roman"/>
          <w:b/>
          <w:bCs/>
          <w:color w:val="auto"/>
          <w:sz w:val="24"/>
          <w:szCs w:val="24"/>
        </w:rPr>
        <w:t>工艺流程简述</w:t>
      </w:r>
    </w:p>
    <w:p>
      <w:pPr>
        <w:pStyle w:val="17"/>
        <w:adjustRightInd w:val="0"/>
        <w:snapToGrid w:val="0"/>
        <w:spacing w:line="360" w:lineRule="auto"/>
        <w:ind w:firstLine="480" w:firstLineChars="200"/>
        <w:rPr>
          <w:rFonts w:ascii="Times New Roman" w:hAnsi="Times New Roman" w:cs="Times New Roman"/>
          <w:bCs/>
          <w:color w:val="auto"/>
          <w:sz w:val="24"/>
          <w:szCs w:val="24"/>
        </w:rPr>
      </w:pPr>
      <w:r>
        <w:rPr>
          <w:rFonts w:ascii="Times New Roman" w:hAnsi="Times New Roman" w:cs="Times New Roman"/>
          <w:bCs/>
          <w:color w:val="auto"/>
          <w:sz w:val="24"/>
          <w:szCs w:val="24"/>
        </w:rPr>
        <w:t>(1)PPA-1固化剂工艺流程简述</w:t>
      </w:r>
    </w:p>
    <w:p>
      <w:pPr>
        <w:adjustRightInd w:val="0"/>
        <w:snapToGrid w:val="0"/>
        <w:spacing w:line="360" w:lineRule="auto"/>
        <w:rPr>
          <w:rFonts w:ascii="Times New Roman" w:hAnsi="Times New Roman" w:cs="Times New Roman"/>
          <w:color w:val="auto"/>
          <w:sz w:val="24"/>
          <w:szCs w:val="24"/>
        </w:rPr>
      </w:pPr>
      <w:r>
        <w:rPr>
          <w:rFonts w:ascii="Times New Roman" w:hAnsi="Times New Roman" w:cs="Times New Roman"/>
          <w:color w:val="auto"/>
          <w:sz w:val="24"/>
          <w:szCs w:val="24"/>
        </w:rPr>
        <w:t xml:space="preserve">   </w:t>
      </w:r>
      <w:r>
        <w:rPr>
          <w:rFonts w:ascii="Times New Roman" w:hAnsi="Times New Roman" w:cs="Times New Roman"/>
          <w:bCs/>
          <w:color w:val="auto"/>
          <w:sz w:val="24"/>
          <w:szCs w:val="24"/>
        </w:rPr>
        <w:t>a、投料工序：</w:t>
      </w:r>
      <w:r>
        <w:rPr>
          <w:rFonts w:ascii="Times New Roman" w:hAnsi="Times New Roman" w:cs="Times New Roman"/>
          <w:color w:val="auto"/>
          <w:sz w:val="24"/>
          <w:szCs w:val="24"/>
        </w:rPr>
        <w:t>将多聚甲醛通过提升机提升至加料平台内密闭的高位料斗投料，高位料斗同步采用微负压，即避免投料粉尘的产生，还能避免反应釜中物料的反冲。乙二胺泵送至高位槽进料。苯酚从苯酚储罐泵送进料。</w:t>
      </w:r>
    </w:p>
    <w:p>
      <w:pPr>
        <w:pStyle w:val="17"/>
        <w:adjustRightInd w:val="0"/>
        <w:snapToGrid w:val="0"/>
        <w:spacing w:line="360" w:lineRule="auto"/>
        <w:ind w:firstLine="480" w:firstLineChars="200"/>
        <w:rPr>
          <w:rFonts w:ascii="Times New Roman" w:hAnsi="Times New Roman" w:cs="Times New Roman"/>
          <w:bCs/>
          <w:color w:val="auto"/>
          <w:sz w:val="24"/>
          <w:szCs w:val="24"/>
        </w:rPr>
      </w:pPr>
      <w:r>
        <w:rPr>
          <w:rFonts w:ascii="Times New Roman" w:hAnsi="Times New Roman" w:cs="Times New Roman"/>
          <w:bCs/>
          <w:color w:val="auto"/>
          <w:sz w:val="24"/>
          <w:szCs w:val="24"/>
        </w:rPr>
        <w:t>b、反应+混合+过滤工序：投加的苯酚、乙二胺与多聚甲醛共同作用，在70～80℃发生化学反应</w:t>
      </w:r>
      <w:r>
        <w:rPr>
          <w:rFonts w:ascii="Times New Roman" w:hAnsi="Times New Roman" w:cs="Times New Roman"/>
          <w:color w:val="auto"/>
          <w:sz w:val="24"/>
          <w:szCs w:val="24"/>
        </w:rPr>
        <w:t>(反应过程为放热反应，采用循环水保温)</w:t>
      </w:r>
      <w:r>
        <w:rPr>
          <w:rFonts w:ascii="Times New Roman" w:hAnsi="Times New Roman" w:cs="Times New Roman"/>
          <w:bCs/>
          <w:color w:val="auto"/>
          <w:sz w:val="24"/>
          <w:szCs w:val="24"/>
        </w:rPr>
        <w:t>。</w:t>
      </w:r>
      <w:r>
        <w:rPr>
          <w:rFonts w:hint="default" w:ascii="Times New Roman" w:hAnsi="Times New Roman" w:cs="Times New Roman"/>
          <w:bCs/>
          <w:color w:val="auto"/>
          <w:sz w:val="24"/>
          <w:szCs w:val="24"/>
        </w:rPr>
        <w:t>釜顶的物料通过冷凝器冷凝后回收至反应釜中</w:t>
      </w:r>
      <w:r>
        <w:rPr>
          <w:rFonts w:hint="default" w:ascii="Times New Roman" w:hAnsi="Times New Roman" w:cs="Times New Roman"/>
          <w:color w:val="auto"/>
          <w:sz w:val="24"/>
          <w:szCs w:val="24"/>
        </w:rPr>
        <w:t>（回收的物料全为反应釜中投加的物料，可采用单独的冷凝器回收至反应釜，冷凝温度为28</w:t>
      </w:r>
      <w:r>
        <w:rPr>
          <w:rFonts w:ascii="Times New Roman" w:hAnsi="Times New Roman" w:cs="Times New Roman"/>
          <w:color w:val="auto"/>
          <w:sz w:val="24"/>
          <w:szCs w:val="24"/>
        </w:rPr>
        <w:t>℃</w:t>
      </w:r>
      <w:r>
        <w:rPr>
          <w:rFonts w:hint="default" w:ascii="Times New Roman" w:hAnsi="Times New Roman" w:cs="Times New Roman"/>
          <w:color w:val="auto"/>
          <w:sz w:val="24"/>
          <w:szCs w:val="24"/>
        </w:rPr>
        <w:t>）</w:t>
      </w:r>
      <w:r>
        <w:rPr>
          <w:rFonts w:hint="default" w:ascii="Times New Roman" w:hAnsi="Times New Roman" w:cs="Times New Roman"/>
          <w:bCs/>
          <w:color w:val="auto"/>
          <w:sz w:val="24"/>
          <w:szCs w:val="24"/>
        </w:rPr>
        <w:t>。</w:t>
      </w:r>
      <w:r>
        <w:rPr>
          <w:rFonts w:ascii="Times New Roman" w:hAnsi="Times New Roman" w:cs="Times New Roman"/>
          <w:bCs/>
          <w:color w:val="auto"/>
          <w:sz w:val="24"/>
          <w:szCs w:val="24"/>
        </w:rPr>
        <w:t>反应完毕后，在PPA-1反应釜R2501内加入二丁酯和甲醇混合；混合后的半成品通过釜底过滤装置过滤（过滤网更换频次半年/次）后进入检测包装工序。</w:t>
      </w:r>
    </w:p>
    <w:p>
      <w:pPr>
        <w:pStyle w:val="17"/>
        <w:adjustRightInd w:val="0"/>
        <w:snapToGrid w:val="0"/>
        <w:spacing w:line="360" w:lineRule="auto"/>
        <w:ind w:firstLine="480" w:firstLineChars="200"/>
        <w:rPr>
          <w:rFonts w:ascii="Times New Roman" w:hAnsi="Times New Roman" w:cs="Times New Roman"/>
          <w:bCs/>
          <w:color w:val="auto"/>
          <w:sz w:val="24"/>
          <w:szCs w:val="24"/>
        </w:rPr>
      </w:pPr>
      <w:r>
        <w:rPr>
          <w:rFonts w:ascii="Times New Roman" w:hAnsi="Times New Roman" w:cs="Times New Roman"/>
          <w:bCs/>
          <w:color w:val="auto"/>
          <w:sz w:val="24"/>
          <w:szCs w:val="24"/>
        </w:rPr>
        <w:t>c、检测包装：检测胺值和粘度。经检测合格，将成品泵入自动包装机包装入库。</w:t>
      </w:r>
    </w:p>
    <w:p>
      <w:pPr>
        <w:pStyle w:val="17"/>
        <w:adjustRightInd w:val="0"/>
        <w:snapToGrid w:val="0"/>
        <w:spacing w:line="360" w:lineRule="auto"/>
        <w:ind w:firstLine="480" w:firstLineChars="200"/>
        <w:rPr>
          <w:rFonts w:ascii="Times New Roman" w:hAnsi="Times New Roman" w:cs="Times New Roman"/>
          <w:bCs/>
          <w:color w:val="auto"/>
          <w:sz w:val="24"/>
          <w:szCs w:val="24"/>
        </w:rPr>
      </w:pPr>
      <w:r>
        <w:rPr>
          <w:rFonts w:ascii="Times New Roman" w:hAnsi="Times New Roman" w:cs="Times New Roman"/>
          <w:bCs/>
          <w:color w:val="auto"/>
          <w:sz w:val="24"/>
          <w:szCs w:val="24"/>
        </w:rPr>
        <w:t>(2)PPA-2固化剂工艺流程简述</w:t>
      </w:r>
    </w:p>
    <w:p>
      <w:pPr>
        <w:adjustRightInd w:val="0"/>
        <w:snapToGrid w:val="0"/>
        <w:spacing w:line="360" w:lineRule="auto"/>
        <w:rPr>
          <w:rFonts w:ascii="Times New Roman" w:hAnsi="Times New Roman" w:cs="Times New Roman"/>
          <w:color w:val="auto"/>
          <w:sz w:val="24"/>
          <w:szCs w:val="24"/>
        </w:rPr>
      </w:pPr>
      <w:r>
        <w:rPr>
          <w:rFonts w:ascii="Times New Roman" w:hAnsi="Times New Roman" w:cs="Times New Roman"/>
          <w:color w:val="auto"/>
          <w:sz w:val="24"/>
          <w:szCs w:val="24"/>
        </w:rPr>
        <w:t xml:space="preserve">   </w:t>
      </w:r>
      <w:r>
        <w:rPr>
          <w:rFonts w:ascii="Times New Roman" w:hAnsi="Times New Roman" w:cs="Times New Roman"/>
          <w:bCs/>
          <w:color w:val="auto"/>
          <w:sz w:val="24"/>
          <w:szCs w:val="24"/>
        </w:rPr>
        <w:t>a、投料工序：</w:t>
      </w:r>
      <w:r>
        <w:rPr>
          <w:rFonts w:ascii="Times New Roman" w:hAnsi="Times New Roman" w:cs="Times New Roman"/>
          <w:color w:val="auto"/>
          <w:sz w:val="24"/>
          <w:szCs w:val="24"/>
        </w:rPr>
        <w:t>将多聚甲醛通过提升机提升至加料平台内密闭的高位料斗投料，高位料斗同步采用微负压，即避免投料粉尘的产生，还能避免反应釜中物料的反冲。乙二胺泵送至高位槽进料。苯酚从苯酚储罐泵送进料。己二胺和多乙烯多胺从桶中泵送进料。</w:t>
      </w:r>
    </w:p>
    <w:p>
      <w:pPr>
        <w:pStyle w:val="17"/>
        <w:adjustRightInd w:val="0"/>
        <w:snapToGrid w:val="0"/>
        <w:spacing w:line="360" w:lineRule="auto"/>
        <w:ind w:firstLine="480" w:firstLineChars="200"/>
        <w:rPr>
          <w:rFonts w:ascii="Times New Roman" w:hAnsi="Times New Roman" w:cs="Times New Roman"/>
          <w:bCs/>
          <w:color w:val="auto"/>
          <w:sz w:val="24"/>
          <w:szCs w:val="24"/>
        </w:rPr>
      </w:pPr>
      <w:r>
        <w:rPr>
          <w:rFonts w:ascii="Times New Roman" w:hAnsi="Times New Roman" w:cs="Times New Roman"/>
          <w:bCs/>
          <w:color w:val="auto"/>
          <w:sz w:val="24"/>
          <w:szCs w:val="24"/>
        </w:rPr>
        <w:t>b、反应+混合+过滤工序：投加的苯酚、乙二胺、己二胺、多乙烯多胺与多聚甲醛共同作用，在70～80℃发生化学反应</w:t>
      </w:r>
      <w:r>
        <w:rPr>
          <w:rFonts w:ascii="Times New Roman" w:hAnsi="Times New Roman" w:cs="Times New Roman"/>
          <w:color w:val="auto"/>
          <w:sz w:val="24"/>
          <w:szCs w:val="24"/>
        </w:rPr>
        <w:t>(反应过程为放热反应，采用循环水保温)</w:t>
      </w:r>
      <w:r>
        <w:rPr>
          <w:rFonts w:ascii="Times New Roman" w:hAnsi="Times New Roman" w:cs="Times New Roman"/>
          <w:bCs/>
          <w:color w:val="auto"/>
          <w:sz w:val="24"/>
          <w:szCs w:val="24"/>
        </w:rPr>
        <w:t>。反应过程中逸散气相物质采用循环水冷却（冷凝器分相）回流至反应釜</w:t>
      </w:r>
      <w:r>
        <w:rPr>
          <w:rFonts w:hint="default" w:ascii="Times New Roman" w:hAnsi="Times New Roman" w:cs="Times New Roman"/>
          <w:color w:val="auto"/>
          <w:sz w:val="24"/>
          <w:szCs w:val="24"/>
        </w:rPr>
        <w:t>（回收的物料全为反应釜中投加的物料，可采用单独的冷凝器回收至反应釜，冷凝温度为28</w:t>
      </w:r>
      <w:r>
        <w:rPr>
          <w:rFonts w:ascii="Times New Roman" w:hAnsi="Times New Roman" w:cs="Times New Roman"/>
          <w:color w:val="auto"/>
          <w:sz w:val="24"/>
          <w:szCs w:val="24"/>
        </w:rPr>
        <w:t>℃</w:t>
      </w:r>
      <w:r>
        <w:rPr>
          <w:rFonts w:hint="default" w:ascii="Times New Roman" w:hAnsi="Times New Roman" w:cs="Times New Roman"/>
          <w:color w:val="auto"/>
          <w:sz w:val="24"/>
          <w:szCs w:val="24"/>
        </w:rPr>
        <w:t>）</w:t>
      </w:r>
      <w:r>
        <w:rPr>
          <w:rFonts w:ascii="Times New Roman" w:hAnsi="Times New Roman" w:cs="Times New Roman"/>
          <w:bCs/>
          <w:color w:val="auto"/>
          <w:sz w:val="24"/>
          <w:szCs w:val="24"/>
        </w:rPr>
        <w:t>。反应完毕后采用蒸汽间接加热并真空脱水，真空脱除水经冷凝后进入废水回收罐。脱水后在反应釜R2401内加入腰果酚和乙醇混合；混合后的半成品通过釜底过滤装置过滤（过滤网更换频次半年/次）后进入检测包装工序。</w:t>
      </w:r>
    </w:p>
    <w:p>
      <w:pPr>
        <w:pStyle w:val="17"/>
        <w:adjustRightInd w:val="0"/>
        <w:snapToGrid w:val="0"/>
        <w:spacing w:line="360" w:lineRule="auto"/>
        <w:ind w:firstLine="480" w:firstLineChars="200"/>
        <w:rPr>
          <w:rFonts w:ascii="Times New Roman" w:hAnsi="Times New Roman" w:cs="Times New Roman"/>
          <w:bCs/>
          <w:color w:val="auto"/>
          <w:sz w:val="24"/>
          <w:szCs w:val="24"/>
        </w:rPr>
      </w:pPr>
      <w:r>
        <w:rPr>
          <w:rFonts w:ascii="Times New Roman" w:hAnsi="Times New Roman" w:cs="Times New Roman"/>
          <w:bCs/>
          <w:color w:val="auto"/>
          <w:sz w:val="24"/>
          <w:szCs w:val="24"/>
        </w:rPr>
        <w:t>c、检测包装：检测胺值和粘度。经检测合格，将成品泵入自动包装机包装入库。</w:t>
      </w:r>
    </w:p>
    <w:p>
      <w:pPr>
        <w:adjustRightInd w:val="0"/>
        <w:spacing w:before="78" w:beforeLines="25" w:after="78" w:afterLines="25" w:line="360" w:lineRule="auto"/>
        <w:outlineLvl w:val="3"/>
        <w:rPr>
          <w:rFonts w:ascii="Times New Roman" w:hAnsi="Times New Roman" w:cs="Times New Roman"/>
          <w:b/>
          <w:bCs/>
          <w:color w:val="auto"/>
          <w:sz w:val="24"/>
          <w:szCs w:val="24"/>
        </w:rPr>
      </w:pPr>
      <w:r>
        <w:rPr>
          <w:rFonts w:hint="default" w:ascii="Times New Roman" w:hAnsi="Times New Roman" w:cs="Times New Roman"/>
          <w:b/>
          <w:bCs/>
          <w:color w:val="auto"/>
          <w:sz w:val="24"/>
          <w:szCs w:val="24"/>
        </w:rPr>
        <w:t>3.</w:t>
      </w:r>
      <w:r>
        <w:rPr>
          <w:rFonts w:hint="eastAsia" w:ascii="Times New Roman" w:hAnsi="Times New Roman" w:cs="Times New Roman"/>
          <w:b/>
          <w:bCs/>
          <w:color w:val="auto"/>
          <w:sz w:val="24"/>
          <w:szCs w:val="24"/>
          <w:lang w:eastAsia="zh-CN"/>
        </w:rPr>
        <w:t>6</w:t>
      </w:r>
      <w:r>
        <w:rPr>
          <w:rFonts w:hint="default" w:ascii="Times New Roman" w:hAnsi="Times New Roman" w:cs="Times New Roman"/>
          <w:b/>
          <w:bCs/>
          <w:color w:val="auto"/>
          <w:sz w:val="24"/>
          <w:szCs w:val="24"/>
        </w:rPr>
        <w:t>.2.4</w:t>
      </w:r>
      <w:r>
        <w:rPr>
          <w:rFonts w:ascii="Times New Roman" w:hAnsi="Times New Roman" w:cs="Times New Roman"/>
          <w:b/>
          <w:bCs/>
          <w:color w:val="auto"/>
          <w:sz w:val="24"/>
          <w:szCs w:val="24"/>
        </w:rPr>
        <w:t>产排污节点</w:t>
      </w:r>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本项目PPA固化剂废气产污环节主要为多聚甲醛投料粉尘、反应冷凝过程的不凝气（含真空尾气）、自动包装机包装废气以及乙二胺高位槽投料废气；废水产生环节主要为PPA-2反应脱水及循环泵内定期更换水（更换频次1天/次）；固废的产生环节为反应釜底过滤器的过滤残渣（非反应生产残渣，是原料中带入渣）及定期更换的滤网；噪声产生环节主要为反应釜搅拌过程、泵、风机等运行过程产生的噪声。</w:t>
      </w:r>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固化剂生产过程中主要产排污节点见下表。</w:t>
      </w:r>
    </w:p>
    <w:p>
      <w:pPr>
        <w:spacing w:line="360" w:lineRule="auto"/>
        <w:jc w:val="center"/>
        <w:rPr>
          <w:rFonts w:ascii="Times New Roman" w:hAnsi="Times New Roman" w:eastAsia="黑体" w:cs="Times New Roman"/>
          <w:color w:val="auto"/>
        </w:rPr>
      </w:pPr>
      <w:r>
        <w:rPr>
          <w:rFonts w:hint="default" w:ascii="Times New Roman" w:hAnsi="Times New Roman" w:eastAsia="黑体" w:cs="Times New Roman"/>
          <w:color w:val="auto"/>
        </w:rPr>
        <w:t>表3.</w:t>
      </w:r>
      <w:r>
        <w:rPr>
          <w:rFonts w:hint="eastAsia" w:ascii="Times New Roman" w:hAnsi="Times New Roman" w:eastAsia="黑体" w:cs="Times New Roman"/>
          <w:color w:val="auto"/>
          <w:lang w:eastAsia="zh-CN"/>
        </w:rPr>
        <w:t>6</w:t>
      </w:r>
      <w:r>
        <w:rPr>
          <w:rFonts w:hint="default" w:ascii="Times New Roman" w:hAnsi="Times New Roman" w:eastAsia="黑体" w:cs="Times New Roman"/>
          <w:color w:val="auto"/>
        </w:rPr>
        <w:t xml:space="preserve">-2 </w:t>
      </w:r>
      <w:r>
        <w:rPr>
          <w:rFonts w:ascii="Times New Roman" w:hAnsi="Times New Roman" w:eastAsia="黑体" w:cs="Times New Roman"/>
          <w:color w:val="auto"/>
        </w:rPr>
        <w:t xml:space="preserve"> PPA固化剂生产排污节点表</w:t>
      </w:r>
    </w:p>
    <w:tbl>
      <w:tblPr>
        <w:tblStyle w:val="28"/>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93"/>
        <w:gridCol w:w="893"/>
        <w:gridCol w:w="854"/>
        <w:gridCol w:w="1315"/>
        <w:gridCol w:w="1255"/>
        <w:gridCol w:w="1264"/>
        <w:gridCol w:w="204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6" w:hRule="atLeast"/>
          <w:tblHeader/>
        </w:trPr>
        <w:tc>
          <w:tcPr>
            <w:tcW w:w="524" w:type="pct"/>
            <w:tcBorders>
              <w:tl2br w:val="nil"/>
              <w:tr2bl w:val="nil"/>
            </w:tcBorders>
            <w:vAlign w:val="center"/>
          </w:tcPr>
          <w:p>
            <w:pPr>
              <w:jc w:val="center"/>
              <w:rPr>
                <w:rFonts w:ascii="Times New Roman" w:hAnsi="Times New Roman" w:cs="Times New Roman"/>
                <w:b/>
                <w:bCs/>
                <w:color w:val="auto"/>
                <w:szCs w:val="21"/>
              </w:rPr>
            </w:pPr>
            <w:r>
              <w:rPr>
                <w:rFonts w:ascii="Times New Roman" w:hAnsi="Times New Roman" w:cs="Times New Roman"/>
                <w:b/>
                <w:bCs/>
                <w:color w:val="auto"/>
                <w:szCs w:val="21"/>
              </w:rPr>
              <w:t>名称</w:t>
            </w:r>
          </w:p>
        </w:tc>
        <w:tc>
          <w:tcPr>
            <w:tcW w:w="524" w:type="pct"/>
            <w:tcBorders>
              <w:tl2br w:val="nil"/>
              <w:tr2bl w:val="nil"/>
            </w:tcBorders>
            <w:vAlign w:val="center"/>
          </w:tcPr>
          <w:p>
            <w:pPr>
              <w:jc w:val="center"/>
              <w:rPr>
                <w:rFonts w:ascii="Times New Roman" w:hAnsi="Times New Roman" w:cs="Times New Roman"/>
                <w:b/>
                <w:bCs/>
                <w:color w:val="auto"/>
                <w:szCs w:val="21"/>
              </w:rPr>
            </w:pPr>
            <w:r>
              <w:rPr>
                <w:rFonts w:ascii="Times New Roman" w:hAnsi="Times New Roman" w:cs="Times New Roman"/>
                <w:b/>
                <w:bCs/>
                <w:color w:val="auto"/>
                <w:szCs w:val="21"/>
              </w:rPr>
              <w:t>污染物类别</w:t>
            </w:r>
          </w:p>
        </w:tc>
        <w:tc>
          <w:tcPr>
            <w:tcW w:w="501" w:type="pct"/>
            <w:tcBorders>
              <w:tl2br w:val="nil"/>
              <w:tr2bl w:val="nil"/>
            </w:tcBorders>
            <w:vAlign w:val="center"/>
          </w:tcPr>
          <w:p>
            <w:pPr>
              <w:jc w:val="center"/>
              <w:rPr>
                <w:rFonts w:ascii="Times New Roman" w:hAnsi="Times New Roman" w:cs="Times New Roman"/>
                <w:b/>
                <w:bCs/>
                <w:color w:val="auto"/>
                <w:szCs w:val="21"/>
              </w:rPr>
            </w:pPr>
            <w:r>
              <w:rPr>
                <w:rFonts w:ascii="Times New Roman" w:hAnsi="Times New Roman" w:cs="Times New Roman"/>
                <w:b/>
                <w:bCs/>
                <w:color w:val="auto"/>
                <w:szCs w:val="21"/>
              </w:rPr>
              <w:t>序号</w:t>
            </w:r>
          </w:p>
        </w:tc>
        <w:tc>
          <w:tcPr>
            <w:tcW w:w="771" w:type="pct"/>
            <w:tcBorders>
              <w:tl2br w:val="nil"/>
              <w:tr2bl w:val="nil"/>
            </w:tcBorders>
            <w:vAlign w:val="center"/>
          </w:tcPr>
          <w:p>
            <w:pPr>
              <w:jc w:val="center"/>
              <w:rPr>
                <w:rFonts w:ascii="Times New Roman" w:hAnsi="Times New Roman" w:cs="Times New Roman"/>
                <w:b/>
                <w:bCs/>
                <w:color w:val="auto"/>
                <w:szCs w:val="21"/>
              </w:rPr>
            </w:pPr>
            <w:r>
              <w:rPr>
                <w:rFonts w:ascii="Times New Roman" w:hAnsi="Times New Roman" w:cs="Times New Roman"/>
                <w:b/>
                <w:bCs/>
                <w:color w:val="auto"/>
                <w:szCs w:val="21"/>
              </w:rPr>
              <w:t>产排污环节</w:t>
            </w:r>
          </w:p>
        </w:tc>
        <w:tc>
          <w:tcPr>
            <w:tcW w:w="736" w:type="pct"/>
            <w:tcBorders>
              <w:tl2br w:val="nil"/>
              <w:tr2bl w:val="nil"/>
            </w:tcBorders>
            <w:vAlign w:val="center"/>
          </w:tcPr>
          <w:p>
            <w:pPr>
              <w:ind w:left="-105" w:leftChars="-50" w:right="-105" w:rightChars="-50"/>
              <w:jc w:val="center"/>
              <w:rPr>
                <w:rFonts w:ascii="Times New Roman" w:hAnsi="Times New Roman" w:cs="Times New Roman"/>
                <w:b/>
                <w:bCs/>
                <w:color w:val="auto"/>
                <w:szCs w:val="21"/>
              </w:rPr>
            </w:pPr>
            <w:r>
              <w:rPr>
                <w:rFonts w:ascii="Times New Roman" w:hAnsi="Times New Roman" w:cs="Times New Roman"/>
                <w:b/>
                <w:bCs/>
                <w:color w:val="auto"/>
                <w:szCs w:val="21"/>
              </w:rPr>
              <w:t>主要污染物</w:t>
            </w:r>
          </w:p>
        </w:tc>
        <w:tc>
          <w:tcPr>
            <w:tcW w:w="741" w:type="pct"/>
            <w:tcBorders>
              <w:tl2br w:val="nil"/>
              <w:tr2bl w:val="nil"/>
            </w:tcBorders>
            <w:vAlign w:val="center"/>
          </w:tcPr>
          <w:p>
            <w:pPr>
              <w:jc w:val="center"/>
              <w:rPr>
                <w:rFonts w:ascii="Times New Roman" w:hAnsi="Times New Roman" w:cs="Times New Roman"/>
                <w:b/>
                <w:bCs/>
                <w:color w:val="auto"/>
                <w:szCs w:val="21"/>
              </w:rPr>
            </w:pPr>
            <w:r>
              <w:rPr>
                <w:rFonts w:ascii="Times New Roman" w:hAnsi="Times New Roman" w:cs="Times New Roman"/>
                <w:b/>
                <w:bCs/>
                <w:color w:val="auto"/>
                <w:szCs w:val="21"/>
              </w:rPr>
              <w:t>产生特点</w:t>
            </w:r>
          </w:p>
        </w:tc>
        <w:tc>
          <w:tcPr>
            <w:tcW w:w="1199" w:type="pct"/>
            <w:tcBorders>
              <w:tl2br w:val="nil"/>
              <w:tr2bl w:val="nil"/>
            </w:tcBorders>
            <w:vAlign w:val="center"/>
          </w:tcPr>
          <w:p>
            <w:pPr>
              <w:jc w:val="center"/>
              <w:rPr>
                <w:rFonts w:ascii="Times New Roman" w:hAnsi="Times New Roman" w:cs="Times New Roman"/>
                <w:b/>
                <w:bCs/>
                <w:color w:val="auto"/>
                <w:szCs w:val="21"/>
              </w:rPr>
            </w:pPr>
            <w:r>
              <w:rPr>
                <w:rFonts w:ascii="Times New Roman" w:hAnsi="Times New Roman" w:cs="Times New Roman"/>
                <w:b/>
                <w:bCs/>
                <w:color w:val="auto"/>
                <w:szCs w:val="21"/>
              </w:rPr>
              <w:t>排放方式或处理方式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524" w:type="pct"/>
            <w:vMerge w:val="restar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PPA-1</w:t>
            </w:r>
          </w:p>
          <w:p>
            <w:pPr>
              <w:jc w:val="center"/>
              <w:rPr>
                <w:rFonts w:ascii="Times New Roman" w:hAnsi="Times New Roman" w:cs="Times New Roman"/>
                <w:color w:val="auto"/>
                <w:szCs w:val="21"/>
              </w:rPr>
            </w:pPr>
          </w:p>
        </w:tc>
        <w:tc>
          <w:tcPr>
            <w:tcW w:w="524" w:type="pct"/>
            <w:vMerge w:val="restar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废气</w:t>
            </w:r>
          </w:p>
        </w:tc>
        <w:tc>
          <w:tcPr>
            <w:tcW w:w="50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G2-1</w:t>
            </w:r>
          </w:p>
        </w:tc>
        <w:tc>
          <w:tcPr>
            <w:tcW w:w="77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反应后冷凝器不凝气（含真空尾气）</w:t>
            </w:r>
          </w:p>
        </w:tc>
        <w:tc>
          <w:tcPr>
            <w:tcW w:w="736"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甲醛、苯酚、甲醇VOCs（乙二胺）、氨气</w:t>
            </w:r>
          </w:p>
        </w:tc>
        <w:tc>
          <w:tcPr>
            <w:tcW w:w="741" w:type="pct"/>
            <w:tcBorders>
              <w:tl2br w:val="nil"/>
              <w:tr2bl w:val="nil"/>
            </w:tcBorders>
            <w:vAlign w:val="center"/>
          </w:tcPr>
          <w:p>
            <w:pPr>
              <w:ind w:left="-105" w:leftChars="-50" w:right="-105" w:rightChars="-50"/>
              <w:jc w:val="center"/>
              <w:rPr>
                <w:rFonts w:ascii="Times New Roman" w:hAnsi="Times New Roman" w:cs="Times New Roman"/>
                <w:color w:val="auto"/>
                <w:szCs w:val="21"/>
              </w:rPr>
            </w:pPr>
            <w:r>
              <w:rPr>
                <w:rFonts w:ascii="Times New Roman" w:hAnsi="Times New Roman" w:cs="Times New Roman"/>
                <w:color w:val="auto"/>
                <w:szCs w:val="21"/>
              </w:rPr>
              <w:t>生产时间连续</w:t>
            </w:r>
          </w:p>
        </w:tc>
        <w:tc>
          <w:tcPr>
            <w:tcW w:w="1199" w:type="pct"/>
            <w:vMerge w:val="restar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强制冷凝+水吸收+酸吸收+</w:t>
            </w:r>
            <w:r>
              <w:rPr>
                <w:rFonts w:hint="eastAsia" w:ascii="Times New Roman" w:hAnsi="Times New Roman" w:cs="Times New Roman"/>
                <w:color w:val="auto"/>
                <w:szCs w:val="21"/>
                <w:lang w:val="en-US" w:eastAsia="zh-CN"/>
              </w:rPr>
              <w:t>酸</w:t>
            </w:r>
            <w:r>
              <w:rPr>
                <w:rFonts w:ascii="Times New Roman" w:hAnsi="Times New Roman" w:cs="Times New Roman"/>
                <w:color w:val="auto"/>
                <w:szCs w:val="21"/>
              </w:rPr>
              <w:t>吸收+除雾板+</w:t>
            </w:r>
            <w:r>
              <w:rPr>
                <w:rFonts w:hint="eastAsia" w:ascii="Times New Roman" w:hAnsi="Times New Roman" w:cs="Times New Roman"/>
                <w:color w:val="auto"/>
                <w:szCs w:val="21"/>
                <w:lang w:val="en-US" w:eastAsia="zh-CN"/>
              </w:rPr>
              <w:t>酸吸收+活性炭吸附+</w:t>
            </w:r>
            <w:r>
              <w:rPr>
                <w:rFonts w:ascii="Times New Roman" w:hAnsi="Times New Roman" w:cs="Times New Roman"/>
                <w:color w:val="auto"/>
                <w:szCs w:val="21"/>
              </w:rPr>
              <w:t>30m排气筒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524" w:type="pct"/>
            <w:vMerge w:val="continue"/>
            <w:tcBorders>
              <w:tl2br w:val="nil"/>
              <w:tr2bl w:val="nil"/>
            </w:tcBorders>
            <w:vAlign w:val="center"/>
          </w:tcPr>
          <w:p>
            <w:pPr>
              <w:rPr>
                <w:rFonts w:ascii="Times New Roman" w:hAnsi="Times New Roman" w:cs="Times New Roman"/>
                <w:color w:val="auto"/>
                <w:szCs w:val="21"/>
              </w:rPr>
            </w:pPr>
          </w:p>
        </w:tc>
        <w:tc>
          <w:tcPr>
            <w:tcW w:w="524" w:type="pct"/>
            <w:vMerge w:val="continue"/>
            <w:tcBorders>
              <w:tl2br w:val="nil"/>
              <w:tr2bl w:val="nil"/>
            </w:tcBorders>
            <w:vAlign w:val="center"/>
          </w:tcPr>
          <w:p>
            <w:pPr>
              <w:jc w:val="center"/>
              <w:rPr>
                <w:rFonts w:ascii="Times New Roman" w:hAnsi="Times New Roman" w:cs="Times New Roman"/>
                <w:color w:val="auto"/>
                <w:szCs w:val="21"/>
              </w:rPr>
            </w:pPr>
          </w:p>
        </w:tc>
        <w:tc>
          <w:tcPr>
            <w:tcW w:w="50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G2-2</w:t>
            </w:r>
          </w:p>
        </w:tc>
        <w:tc>
          <w:tcPr>
            <w:tcW w:w="77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自动包装机</w:t>
            </w:r>
          </w:p>
        </w:tc>
        <w:tc>
          <w:tcPr>
            <w:tcW w:w="736"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氨气、VOCs（乙醇）</w:t>
            </w:r>
          </w:p>
        </w:tc>
        <w:tc>
          <w:tcPr>
            <w:tcW w:w="741" w:type="pct"/>
            <w:tcBorders>
              <w:tl2br w:val="nil"/>
              <w:tr2bl w:val="nil"/>
            </w:tcBorders>
            <w:vAlign w:val="center"/>
          </w:tcPr>
          <w:p>
            <w:pPr>
              <w:ind w:left="-105" w:leftChars="-50" w:right="-105" w:rightChars="-50"/>
              <w:jc w:val="center"/>
              <w:rPr>
                <w:rFonts w:ascii="Times New Roman" w:hAnsi="Times New Roman" w:cs="Times New Roman"/>
                <w:color w:val="auto"/>
                <w:szCs w:val="21"/>
              </w:rPr>
            </w:pPr>
            <w:r>
              <w:rPr>
                <w:rFonts w:ascii="Times New Roman" w:hAnsi="Times New Roman" w:cs="Times New Roman"/>
                <w:color w:val="auto"/>
                <w:szCs w:val="21"/>
              </w:rPr>
              <w:t>生产时间连续</w:t>
            </w:r>
          </w:p>
        </w:tc>
        <w:tc>
          <w:tcPr>
            <w:tcW w:w="1199" w:type="pct"/>
            <w:vMerge w:val="continue"/>
            <w:tcBorders>
              <w:tl2br w:val="nil"/>
              <w:tr2bl w:val="nil"/>
            </w:tcBorders>
            <w:vAlign w:val="center"/>
          </w:tcPr>
          <w:p>
            <w:pPr>
              <w:jc w:val="center"/>
              <w:rPr>
                <w:rFonts w:ascii="Times New Roman" w:hAnsi="Times New Roman"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524" w:type="pct"/>
            <w:vMerge w:val="continue"/>
            <w:tcBorders>
              <w:tl2br w:val="nil"/>
              <w:tr2bl w:val="nil"/>
            </w:tcBorders>
            <w:vAlign w:val="center"/>
          </w:tcPr>
          <w:p>
            <w:pPr>
              <w:rPr>
                <w:rFonts w:ascii="Times New Roman" w:hAnsi="Times New Roman" w:cs="Times New Roman"/>
                <w:color w:val="auto"/>
                <w:szCs w:val="21"/>
              </w:rPr>
            </w:pPr>
          </w:p>
        </w:tc>
        <w:tc>
          <w:tcPr>
            <w:tcW w:w="524" w:type="pct"/>
            <w:vMerge w:val="continue"/>
            <w:tcBorders>
              <w:tl2br w:val="nil"/>
              <w:tr2bl w:val="nil"/>
            </w:tcBorders>
            <w:vAlign w:val="center"/>
          </w:tcPr>
          <w:p>
            <w:pPr>
              <w:jc w:val="center"/>
              <w:rPr>
                <w:rFonts w:ascii="Times New Roman" w:hAnsi="Times New Roman" w:cs="Times New Roman"/>
                <w:color w:val="auto"/>
                <w:szCs w:val="21"/>
              </w:rPr>
            </w:pPr>
          </w:p>
        </w:tc>
        <w:tc>
          <w:tcPr>
            <w:tcW w:w="50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G2-3</w:t>
            </w:r>
          </w:p>
        </w:tc>
        <w:tc>
          <w:tcPr>
            <w:tcW w:w="77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乙二胺高位槽</w:t>
            </w:r>
          </w:p>
        </w:tc>
        <w:tc>
          <w:tcPr>
            <w:tcW w:w="736"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VOCs（乙二胺）、氨气</w:t>
            </w:r>
          </w:p>
        </w:tc>
        <w:tc>
          <w:tcPr>
            <w:tcW w:w="741" w:type="pct"/>
            <w:tcBorders>
              <w:tl2br w:val="nil"/>
              <w:tr2bl w:val="nil"/>
            </w:tcBorders>
            <w:vAlign w:val="center"/>
          </w:tcPr>
          <w:p>
            <w:pPr>
              <w:ind w:left="-105" w:leftChars="-50" w:right="-105" w:rightChars="-50"/>
              <w:jc w:val="center"/>
              <w:rPr>
                <w:rFonts w:ascii="Times New Roman" w:hAnsi="Times New Roman" w:cs="Times New Roman"/>
                <w:color w:val="auto"/>
                <w:szCs w:val="21"/>
              </w:rPr>
            </w:pPr>
            <w:r>
              <w:rPr>
                <w:rFonts w:ascii="Times New Roman" w:hAnsi="Times New Roman" w:cs="Times New Roman"/>
                <w:color w:val="auto"/>
                <w:szCs w:val="21"/>
              </w:rPr>
              <w:t>生产时间连续</w:t>
            </w:r>
          </w:p>
        </w:tc>
        <w:tc>
          <w:tcPr>
            <w:tcW w:w="1199" w:type="pct"/>
            <w:vMerge w:val="continue"/>
            <w:tcBorders>
              <w:tl2br w:val="nil"/>
              <w:tr2bl w:val="nil"/>
            </w:tcBorders>
            <w:vAlign w:val="center"/>
          </w:tcPr>
          <w:p>
            <w:pPr>
              <w:jc w:val="center"/>
              <w:rPr>
                <w:rFonts w:ascii="Times New Roman" w:hAnsi="Times New Roman"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524" w:type="pct"/>
            <w:vMerge w:val="continue"/>
            <w:tcBorders>
              <w:tl2br w:val="nil"/>
              <w:tr2bl w:val="nil"/>
            </w:tcBorders>
            <w:vAlign w:val="center"/>
          </w:tcPr>
          <w:p>
            <w:pPr>
              <w:jc w:val="center"/>
              <w:rPr>
                <w:rFonts w:ascii="Times New Roman" w:hAnsi="Times New Roman" w:cs="Times New Roman"/>
                <w:color w:val="auto"/>
                <w:szCs w:val="21"/>
              </w:rPr>
            </w:pPr>
          </w:p>
        </w:tc>
        <w:tc>
          <w:tcPr>
            <w:tcW w:w="524" w:type="pct"/>
            <w:vMerge w:val="restar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固废</w:t>
            </w:r>
          </w:p>
        </w:tc>
        <w:tc>
          <w:tcPr>
            <w:tcW w:w="50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S2-1</w:t>
            </w:r>
          </w:p>
        </w:tc>
        <w:tc>
          <w:tcPr>
            <w:tcW w:w="77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多聚甲醛投料过程</w:t>
            </w:r>
          </w:p>
        </w:tc>
        <w:tc>
          <w:tcPr>
            <w:tcW w:w="736"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废包装</w:t>
            </w:r>
          </w:p>
        </w:tc>
        <w:tc>
          <w:tcPr>
            <w:tcW w:w="74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连续生产，定期处置</w:t>
            </w:r>
          </w:p>
        </w:tc>
        <w:tc>
          <w:tcPr>
            <w:tcW w:w="1199" w:type="pct"/>
            <w:vMerge w:val="restar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送有资质单位处置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524" w:type="pct"/>
            <w:vMerge w:val="continue"/>
            <w:tcBorders>
              <w:tl2br w:val="nil"/>
              <w:tr2bl w:val="nil"/>
            </w:tcBorders>
            <w:vAlign w:val="center"/>
          </w:tcPr>
          <w:p>
            <w:pPr>
              <w:jc w:val="center"/>
              <w:rPr>
                <w:rFonts w:ascii="Times New Roman" w:hAnsi="Times New Roman" w:cs="Times New Roman"/>
                <w:color w:val="auto"/>
                <w:szCs w:val="21"/>
              </w:rPr>
            </w:pPr>
          </w:p>
        </w:tc>
        <w:tc>
          <w:tcPr>
            <w:tcW w:w="524" w:type="pct"/>
            <w:vMerge w:val="continue"/>
            <w:tcBorders>
              <w:tl2br w:val="nil"/>
              <w:tr2bl w:val="nil"/>
            </w:tcBorders>
            <w:vAlign w:val="center"/>
          </w:tcPr>
          <w:p>
            <w:pPr>
              <w:jc w:val="center"/>
              <w:rPr>
                <w:rFonts w:ascii="Times New Roman" w:hAnsi="Times New Roman" w:cs="Times New Roman"/>
                <w:color w:val="auto"/>
                <w:szCs w:val="21"/>
              </w:rPr>
            </w:pPr>
          </w:p>
        </w:tc>
        <w:tc>
          <w:tcPr>
            <w:tcW w:w="50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S2-2</w:t>
            </w:r>
          </w:p>
        </w:tc>
        <w:tc>
          <w:tcPr>
            <w:tcW w:w="77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过滤装置</w:t>
            </w:r>
          </w:p>
        </w:tc>
        <w:tc>
          <w:tcPr>
            <w:tcW w:w="736"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废过滤渣及过滤网</w:t>
            </w:r>
          </w:p>
        </w:tc>
        <w:tc>
          <w:tcPr>
            <w:tcW w:w="74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半年清理1次并更换过滤网</w:t>
            </w:r>
          </w:p>
        </w:tc>
        <w:tc>
          <w:tcPr>
            <w:tcW w:w="1199" w:type="pct"/>
            <w:vMerge w:val="continue"/>
            <w:tcBorders>
              <w:tl2br w:val="nil"/>
              <w:tr2bl w:val="nil"/>
            </w:tcBorders>
            <w:vAlign w:val="center"/>
          </w:tcPr>
          <w:p>
            <w:pPr>
              <w:jc w:val="center"/>
              <w:rPr>
                <w:rFonts w:ascii="Times New Roman" w:hAnsi="Times New Roman"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524" w:type="pct"/>
            <w:vMerge w:val="continue"/>
            <w:tcBorders>
              <w:tl2br w:val="nil"/>
              <w:tr2bl w:val="nil"/>
            </w:tcBorders>
            <w:vAlign w:val="center"/>
          </w:tcPr>
          <w:p>
            <w:pPr>
              <w:jc w:val="center"/>
              <w:rPr>
                <w:rFonts w:ascii="Times New Roman" w:hAnsi="Times New Roman" w:cs="Times New Roman"/>
                <w:color w:val="auto"/>
                <w:szCs w:val="21"/>
              </w:rPr>
            </w:pPr>
          </w:p>
        </w:tc>
        <w:tc>
          <w:tcPr>
            <w:tcW w:w="524" w:type="pct"/>
            <w:vMerge w:val="continue"/>
            <w:tcBorders>
              <w:tl2br w:val="nil"/>
              <w:tr2bl w:val="nil"/>
            </w:tcBorders>
            <w:vAlign w:val="center"/>
          </w:tcPr>
          <w:p>
            <w:pPr>
              <w:jc w:val="center"/>
              <w:rPr>
                <w:rFonts w:ascii="Times New Roman" w:hAnsi="Times New Roman" w:cs="Times New Roman"/>
                <w:color w:val="auto"/>
                <w:szCs w:val="21"/>
              </w:rPr>
            </w:pPr>
          </w:p>
        </w:tc>
        <w:tc>
          <w:tcPr>
            <w:tcW w:w="50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S2-3</w:t>
            </w:r>
          </w:p>
        </w:tc>
        <w:tc>
          <w:tcPr>
            <w:tcW w:w="77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投料过程</w:t>
            </w:r>
          </w:p>
        </w:tc>
        <w:tc>
          <w:tcPr>
            <w:tcW w:w="736"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废包装桶</w:t>
            </w:r>
          </w:p>
        </w:tc>
        <w:tc>
          <w:tcPr>
            <w:tcW w:w="74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连续生产，定期处置</w:t>
            </w:r>
          </w:p>
        </w:tc>
        <w:tc>
          <w:tcPr>
            <w:tcW w:w="1199" w:type="pct"/>
            <w:vMerge w:val="continue"/>
            <w:tcBorders>
              <w:tl2br w:val="nil"/>
              <w:tr2bl w:val="nil"/>
            </w:tcBorders>
            <w:vAlign w:val="center"/>
          </w:tcPr>
          <w:p>
            <w:pPr>
              <w:jc w:val="center"/>
              <w:rPr>
                <w:rFonts w:ascii="Times New Roman" w:hAnsi="Times New Roman"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524" w:type="pct"/>
            <w:vMerge w:val="continue"/>
            <w:tcBorders>
              <w:tl2br w:val="nil"/>
              <w:tr2bl w:val="nil"/>
            </w:tcBorders>
            <w:vAlign w:val="center"/>
          </w:tcPr>
          <w:p>
            <w:pPr>
              <w:jc w:val="center"/>
              <w:rPr>
                <w:rFonts w:ascii="Times New Roman" w:hAnsi="Times New Roman" w:cs="Times New Roman"/>
                <w:color w:val="auto"/>
                <w:szCs w:val="21"/>
              </w:rPr>
            </w:pPr>
          </w:p>
        </w:tc>
        <w:tc>
          <w:tcPr>
            <w:tcW w:w="524"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噪声</w:t>
            </w:r>
          </w:p>
        </w:tc>
        <w:tc>
          <w:tcPr>
            <w:tcW w:w="50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N</w:t>
            </w:r>
          </w:p>
        </w:tc>
        <w:tc>
          <w:tcPr>
            <w:tcW w:w="77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设备运行</w:t>
            </w:r>
          </w:p>
        </w:tc>
        <w:tc>
          <w:tcPr>
            <w:tcW w:w="736"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噪声</w:t>
            </w:r>
          </w:p>
        </w:tc>
        <w:tc>
          <w:tcPr>
            <w:tcW w:w="74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生产时间连续</w:t>
            </w:r>
          </w:p>
        </w:tc>
        <w:tc>
          <w:tcPr>
            <w:tcW w:w="1199"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基础减振，厂房隔声等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524" w:type="pct"/>
            <w:vMerge w:val="restart"/>
            <w:tcBorders>
              <w:tl2br w:val="nil"/>
              <w:tr2bl w:val="nil"/>
            </w:tcBorders>
            <w:vAlign w:val="center"/>
          </w:tcPr>
          <w:p>
            <w:pPr>
              <w:rPr>
                <w:rFonts w:ascii="Times New Roman" w:hAnsi="Times New Roman" w:cs="Times New Roman"/>
                <w:color w:val="auto"/>
                <w:szCs w:val="21"/>
              </w:rPr>
            </w:pPr>
            <w:r>
              <w:rPr>
                <w:rFonts w:ascii="Times New Roman" w:hAnsi="Times New Roman" w:cs="Times New Roman"/>
                <w:color w:val="auto"/>
                <w:szCs w:val="21"/>
              </w:rPr>
              <w:t>PPA-2</w:t>
            </w:r>
          </w:p>
        </w:tc>
        <w:tc>
          <w:tcPr>
            <w:tcW w:w="524" w:type="pct"/>
            <w:vMerge w:val="restar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废气</w:t>
            </w:r>
          </w:p>
        </w:tc>
        <w:tc>
          <w:tcPr>
            <w:tcW w:w="50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G3-1</w:t>
            </w:r>
          </w:p>
        </w:tc>
        <w:tc>
          <w:tcPr>
            <w:tcW w:w="77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反应后冷凝器不凝气（含真空尾气）</w:t>
            </w:r>
          </w:p>
        </w:tc>
        <w:tc>
          <w:tcPr>
            <w:tcW w:w="736"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甲醛、苯酚VOCs（乙二胺、己二胺、乙醇等）、氨气</w:t>
            </w:r>
          </w:p>
        </w:tc>
        <w:tc>
          <w:tcPr>
            <w:tcW w:w="741" w:type="pct"/>
            <w:tcBorders>
              <w:tl2br w:val="nil"/>
              <w:tr2bl w:val="nil"/>
            </w:tcBorders>
            <w:vAlign w:val="center"/>
          </w:tcPr>
          <w:p>
            <w:pPr>
              <w:ind w:left="-105" w:leftChars="-50" w:right="-105" w:rightChars="-50"/>
              <w:jc w:val="center"/>
              <w:rPr>
                <w:rFonts w:ascii="Times New Roman" w:hAnsi="Times New Roman" w:cs="Times New Roman"/>
                <w:color w:val="auto"/>
                <w:szCs w:val="21"/>
              </w:rPr>
            </w:pPr>
            <w:r>
              <w:rPr>
                <w:rFonts w:ascii="Times New Roman" w:hAnsi="Times New Roman" w:cs="Times New Roman"/>
                <w:color w:val="auto"/>
                <w:szCs w:val="21"/>
              </w:rPr>
              <w:t>生产时间连续</w:t>
            </w:r>
          </w:p>
        </w:tc>
        <w:tc>
          <w:tcPr>
            <w:tcW w:w="1199" w:type="pct"/>
            <w:vMerge w:val="restar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强制冷凝+水吸收+酸吸收+</w:t>
            </w:r>
            <w:r>
              <w:rPr>
                <w:rFonts w:hint="eastAsia" w:ascii="Times New Roman" w:hAnsi="Times New Roman" w:cs="Times New Roman"/>
                <w:color w:val="auto"/>
                <w:szCs w:val="21"/>
                <w:lang w:val="en-US" w:eastAsia="zh-CN"/>
              </w:rPr>
              <w:t>酸</w:t>
            </w:r>
            <w:r>
              <w:rPr>
                <w:rFonts w:ascii="Times New Roman" w:hAnsi="Times New Roman" w:cs="Times New Roman"/>
                <w:color w:val="auto"/>
                <w:szCs w:val="21"/>
              </w:rPr>
              <w:t>吸收+除雾板+</w:t>
            </w:r>
            <w:r>
              <w:rPr>
                <w:rFonts w:hint="eastAsia" w:ascii="Times New Roman" w:hAnsi="Times New Roman" w:cs="Times New Roman"/>
                <w:color w:val="auto"/>
                <w:szCs w:val="21"/>
                <w:lang w:val="en-US" w:eastAsia="zh-CN"/>
              </w:rPr>
              <w:t>酸吸收+活性炭吸附+</w:t>
            </w:r>
            <w:r>
              <w:rPr>
                <w:rFonts w:ascii="Times New Roman" w:hAnsi="Times New Roman" w:cs="Times New Roman"/>
                <w:color w:val="auto"/>
                <w:szCs w:val="21"/>
              </w:rPr>
              <w:t>30m排气筒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524" w:type="pct"/>
            <w:vMerge w:val="continue"/>
            <w:tcBorders>
              <w:tl2br w:val="nil"/>
              <w:tr2bl w:val="nil"/>
            </w:tcBorders>
            <w:vAlign w:val="center"/>
          </w:tcPr>
          <w:p>
            <w:pPr>
              <w:jc w:val="center"/>
              <w:rPr>
                <w:rFonts w:ascii="Times New Roman" w:hAnsi="Times New Roman" w:cs="Times New Roman"/>
                <w:color w:val="auto"/>
                <w:szCs w:val="21"/>
              </w:rPr>
            </w:pPr>
          </w:p>
        </w:tc>
        <w:tc>
          <w:tcPr>
            <w:tcW w:w="524" w:type="pct"/>
            <w:vMerge w:val="continue"/>
            <w:tcBorders>
              <w:tl2br w:val="nil"/>
              <w:tr2bl w:val="nil"/>
            </w:tcBorders>
            <w:vAlign w:val="center"/>
          </w:tcPr>
          <w:p>
            <w:pPr>
              <w:jc w:val="center"/>
              <w:rPr>
                <w:rFonts w:ascii="Times New Roman" w:hAnsi="Times New Roman" w:cs="Times New Roman"/>
                <w:color w:val="auto"/>
                <w:szCs w:val="21"/>
              </w:rPr>
            </w:pPr>
          </w:p>
        </w:tc>
        <w:tc>
          <w:tcPr>
            <w:tcW w:w="50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G3-2</w:t>
            </w:r>
          </w:p>
        </w:tc>
        <w:tc>
          <w:tcPr>
            <w:tcW w:w="77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自动包装机</w:t>
            </w:r>
          </w:p>
        </w:tc>
        <w:tc>
          <w:tcPr>
            <w:tcW w:w="736"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氨气、甲醇</w:t>
            </w:r>
          </w:p>
        </w:tc>
        <w:tc>
          <w:tcPr>
            <w:tcW w:w="741" w:type="pct"/>
            <w:tcBorders>
              <w:tl2br w:val="nil"/>
              <w:tr2bl w:val="nil"/>
            </w:tcBorders>
            <w:vAlign w:val="center"/>
          </w:tcPr>
          <w:p>
            <w:pPr>
              <w:ind w:left="-105" w:leftChars="-50" w:right="-105" w:rightChars="-50"/>
              <w:jc w:val="center"/>
              <w:rPr>
                <w:rFonts w:ascii="Times New Roman" w:hAnsi="Times New Roman" w:cs="Times New Roman"/>
                <w:color w:val="auto"/>
                <w:szCs w:val="21"/>
              </w:rPr>
            </w:pPr>
            <w:r>
              <w:rPr>
                <w:rFonts w:ascii="Times New Roman" w:hAnsi="Times New Roman" w:cs="Times New Roman"/>
                <w:color w:val="auto"/>
                <w:szCs w:val="21"/>
              </w:rPr>
              <w:t>生产时间连续</w:t>
            </w:r>
          </w:p>
        </w:tc>
        <w:tc>
          <w:tcPr>
            <w:tcW w:w="1199" w:type="pct"/>
            <w:vMerge w:val="continue"/>
            <w:tcBorders>
              <w:tl2br w:val="nil"/>
              <w:tr2bl w:val="nil"/>
            </w:tcBorders>
            <w:vAlign w:val="center"/>
          </w:tcPr>
          <w:p>
            <w:pPr>
              <w:jc w:val="center"/>
              <w:rPr>
                <w:rFonts w:ascii="Times New Roman" w:hAnsi="Times New Roman"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524" w:type="pct"/>
            <w:vMerge w:val="continue"/>
            <w:tcBorders>
              <w:tl2br w:val="nil"/>
              <w:tr2bl w:val="nil"/>
            </w:tcBorders>
            <w:vAlign w:val="center"/>
          </w:tcPr>
          <w:p>
            <w:pPr>
              <w:jc w:val="center"/>
              <w:rPr>
                <w:rFonts w:ascii="Times New Roman" w:hAnsi="Times New Roman" w:cs="Times New Roman"/>
                <w:color w:val="auto"/>
                <w:szCs w:val="21"/>
              </w:rPr>
            </w:pPr>
          </w:p>
        </w:tc>
        <w:tc>
          <w:tcPr>
            <w:tcW w:w="524" w:type="pct"/>
            <w:vMerge w:val="continue"/>
            <w:tcBorders>
              <w:tl2br w:val="nil"/>
              <w:tr2bl w:val="nil"/>
            </w:tcBorders>
            <w:vAlign w:val="center"/>
          </w:tcPr>
          <w:p>
            <w:pPr>
              <w:jc w:val="center"/>
              <w:rPr>
                <w:rFonts w:ascii="Times New Roman" w:hAnsi="Times New Roman" w:cs="Times New Roman"/>
                <w:color w:val="auto"/>
                <w:szCs w:val="21"/>
              </w:rPr>
            </w:pPr>
          </w:p>
        </w:tc>
        <w:tc>
          <w:tcPr>
            <w:tcW w:w="50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G3-3</w:t>
            </w:r>
          </w:p>
        </w:tc>
        <w:tc>
          <w:tcPr>
            <w:tcW w:w="77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乙二胺高位槽</w:t>
            </w:r>
          </w:p>
        </w:tc>
        <w:tc>
          <w:tcPr>
            <w:tcW w:w="736"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VOCs（乙二胺）、氨气</w:t>
            </w:r>
          </w:p>
        </w:tc>
        <w:tc>
          <w:tcPr>
            <w:tcW w:w="741" w:type="pct"/>
            <w:tcBorders>
              <w:tl2br w:val="nil"/>
              <w:tr2bl w:val="nil"/>
            </w:tcBorders>
            <w:vAlign w:val="center"/>
          </w:tcPr>
          <w:p>
            <w:pPr>
              <w:ind w:left="-105" w:leftChars="-50" w:right="-105" w:rightChars="-50"/>
              <w:jc w:val="center"/>
              <w:rPr>
                <w:rFonts w:ascii="Times New Roman" w:hAnsi="Times New Roman" w:cs="Times New Roman"/>
                <w:color w:val="auto"/>
                <w:szCs w:val="21"/>
              </w:rPr>
            </w:pPr>
            <w:r>
              <w:rPr>
                <w:rFonts w:ascii="Times New Roman" w:hAnsi="Times New Roman" w:cs="Times New Roman"/>
                <w:color w:val="auto"/>
                <w:szCs w:val="21"/>
              </w:rPr>
              <w:t>生产时间连续</w:t>
            </w:r>
          </w:p>
        </w:tc>
        <w:tc>
          <w:tcPr>
            <w:tcW w:w="1199" w:type="pct"/>
            <w:vMerge w:val="continue"/>
            <w:tcBorders>
              <w:tl2br w:val="nil"/>
              <w:tr2bl w:val="nil"/>
            </w:tcBorders>
            <w:vAlign w:val="center"/>
          </w:tcPr>
          <w:p>
            <w:pPr>
              <w:jc w:val="center"/>
              <w:rPr>
                <w:rFonts w:ascii="Times New Roman" w:hAnsi="Times New Roman"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524" w:type="pct"/>
            <w:vMerge w:val="continue"/>
            <w:tcBorders>
              <w:tl2br w:val="nil"/>
              <w:tr2bl w:val="nil"/>
            </w:tcBorders>
            <w:vAlign w:val="center"/>
          </w:tcPr>
          <w:p>
            <w:pPr>
              <w:jc w:val="center"/>
              <w:rPr>
                <w:rFonts w:ascii="Times New Roman" w:hAnsi="Times New Roman" w:cs="Times New Roman"/>
                <w:color w:val="auto"/>
                <w:szCs w:val="21"/>
              </w:rPr>
            </w:pPr>
          </w:p>
        </w:tc>
        <w:tc>
          <w:tcPr>
            <w:tcW w:w="524"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废水</w:t>
            </w:r>
          </w:p>
        </w:tc>
        <w:tc>
          <w:tcPr>
            <w:tcW w:w="50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W3-1</w:t>
            </w:r>
          </w:p>
        </w:tc>
        <w:tc>
          <w:tcPr>
            <w:tcW w:w="77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rPr>
              <w:t>真空脱水</w:t>
            </w:r>
          </w:p>
        </w:tc>
        <w:tc>
          <w:tcPr>
            <w:tcW w:w="736"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COD、氨氮</w:t>
            </w:r>
          </w:p>
        </w:tc>
        <w:tc>
          <w:tcPr>
            <w:tcW w:w="741" w:type="pct"/>
            <w:tcBorders>
              <w:tl2br w:val="nil"/>
              <w:tr2bl w:val="nil"/>
            </w:tcBorders>
            <w:vAlign w:val="center"/>
          </w:tcPr>
          <w:p>
            <w:pPr>
              <w:ind w:left="-105" w:leftChars="-50" w:right="-105" w:rightChars="-50"/>
              <w:jc w:val="center"/>
              <w:rPr>
                <w:rFonts w:ascii="Times New Roman" w:hAnsi="Times New Roman" w:cs="Times New Roman"/>
                <w:color w:val="auto"/>
                <w:szCs w:val="21"/>
              </w:rPr>
            </w:pPr>
            <w:r>
              <w:rPr>
                <w:rFonts w:ascii="Times New Roman" w:hAnsi="Times New Roman" w:cs="Times New Roman"/>
                <w:color w:val="auto"/>
                <w:szCs w:val="21"/>
              </w:rPr>
              <w:t>间歇</w:t>
            </w:r>
          </w:p>
        </w:tc>
        <w:tc>
          <w:tcPr>
            <w:tcW w:w="1199"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进入废水接收罐后经厂内调节池+</w:t>
            </w:r>
            <w:r>
              <w:rPr>
                <w:rFonts w:hint="eastAsia" w:ascii="Times New Roman" w:hAnsi="Times New Roman" w:cs="Times New Roman"/>
                <w:color w:val="auto"/>
                <w:szCs w:val="21"/>
                <w:lang w:val="en-US" w:eastAsia="zh-CN"/>
              </w:rPr>
              <w:t>水解酸化+</w:t>
            </w:r>
            <w:r>
              <w:rPr>
                <w:rFonts w:ascii="Times New Roman" w:hAnsi="Times New Roman" w:cs="Times New Roman"/>
                <w:color w:val="auto"/>
                <w:szCs w:val="21"/>
              </w:rPr>
              <w:t>AO</w:t>
            </w:r>
            <w:r>
              <w:rPr>
                <w:rFonts w:hint="eastAsia" w:ascii="Times New Roman" w:hAnsi="Times New Roman" w:cs="Times New Roman"/>
                <w:color w:val="auto"/>
                <w:szCs w:val="21"/>
                <w:lang w:val="en-US" w:eastAsia="zh-CN"/>
              </w:rPr>
              <w:t>+沉淀</w:t>
            </w:r>
            <w:r>
              <w:rPr>
                <w:rFonts w:ascii="Times New Roman" w:hAnsi="Times New Roman" w:cs="Times New Roman"/>
                <w:color w:val="auto"/>
                <w:szCs w:val="21"/>
              </w:rPr>
              <w:t>处理后进入园区污水厂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524" w:type="pct"/>
            <w:vMerge w:val="continue"/>
            <w:tcBorders>
              <w:tl2br w:val="nil"/>
              <w:tr2bl w:val="nil"/>
            </w:tcBorders>
            <w:vAlign w:val="center"/>
          </w:tcPr>
          <w:p>
            <w:pPr>
              <w:jc w:val="center"/>
              <w:rPr>
                <w:rFonts w:ascii="Times New Roman" w:hAnsi="Times New Roman" w:cs="Times New Roman"/>
                <w:color w:val="auto"/>
                <w:szCs w:val="21"/>
              </w:rPr>
            </w:pPr>
          </w:p>
        </w:tc>
        <w:tc>
          <w:tcPr>
            <w:tcW w:w="524" w:type="pct"/>
            <w:vMerge w:val="restar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固废</w:t>
            </w:r>
          </w:p>
        </w:tc>
        <w:tc>
          <w:tcPr>
            <w:tcW w:w="50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S3-1</w:t>
            </w:r>
          </w:p>
        </w:tc>
        <w:tc>
          <w:tcPr>
            <w:tcW w:w="77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多聚甲醛投料过程</w:t>
            </w:r>
          </w:p>
        </w:tc>
        <w:tc>
          <w:tcPr>
            <w:tcW w:w="736"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废包装</w:t>
            </w:r>
          </w:p>
        </w:tc>
        <w:tc>
          <w:tcPr>
            <w:tcW w:w="74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连续生产，定期处置</w:t>
            </w:r>
          </w:p>
        </w:tc>
        <w:tc>
          <w:tcPr>
            <w:tcW w:w="1199" w:type="pct"/>
            <w:vMerge w:val="restart"/>
            <w:tcBorders>
              <w:tl2br w:val="nil"/>
              <w:tr2bl w:val="nil"/>
            </w:tcBorders>
            <w:vAlign w:val="center"/>
          </w:tcPr>
          <w:p>
            <w:pPr>
              <w:jc w:val="center"/>
              <w:rPr>
                <w:rFonts w:ascii="Times New Roman" w:hAnsi="Times New Roman" w:cs="Times New Roman"/>
                <w:color w:val="auto"/>
                <w:szCs w:val="21"/>
              </w:rPr>
            </w:pPr>
            <w:r>
              <w:rPr>
                <w:rFonts w:hint="eastAsia" w:ascii="Times New Roman" w:hAnsi="Times New Roman" w:cs="Times New Roman"/>
                <w:color w:val="auto"/>
                <w:szCs w:val="21"/>
                <w:lang w:val="en-US" w:eastAsia="zh-CN"/>
              </w:rPr>
              <w:t>交给临湘海创环保科技有限责任公司</w:t>
            </w:r>
            <w:r>
              <w:rPr>
                <w:rFonts w:ascii="Times New Roman" w:hAnsi="Times New Roman" w:cs="Times New Roman"/>
                <w:color w:val="auto"/>
                <w:szCs w:val="21"/>
              </w:rPr>
              <w:t>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524" w:type="pct"/>
            <w:vMerge w:val="continue"/>
            <w:tcBorders>
              <w:tl2br w:val="nil"/>
              <w:tr2bl w:val="nil"/>
            </w:tcBorders>
            <w:vAlign w:val="center"/>
          </w:tcPr>
          <w:p>
            <w:pPr>
              <w:jc w:val="center"/>
              <w:rPr>
                <w:rFonts w:ascii="Times New Roman" w:hAnsi="Times New Roman" w:cs="Times New Roman"/>
                <w:color w:val="auto"/>
                <w:szCs w:val="21"/>
              </w:rPr>
            </w:pPr>
          </w:p>
        </w:tc>
        <w:tc>
          <w:tcPr>
            <w:tcW w:w="524" w:type="pct"/>
            <w:vMerge w:val="continue"/>
            <w:tcBorders>
              <w:tl2br w:val="nil"/>
              <w:tr2bl w:val="nil"/>
            </w:tcBorders>
            <w:vAlign w:val="center"/>
          </w:tcPr>
          <w:p>
            <w:pPr>
              <w:jc w:val="center"/>
              <w:rPr>
                <w:rFonts w:ascii="Times New Roman" w:hAnsi="Times New Roman" w:cs="Times New Roman"/>
                <w:color w:val="auto"/>
                <w:szCs w:val="21"/>
              </w:rPr>
            </w:pPr>
          </w:p>
        </w:tc>
        <w:tc>
          <w:tcPr>
            <w:tcW w:w="50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S4-2</w:t>
            </w:r>
          </w:p>
        </w:tc>
        <w:tc>
          <w:tcPr>
            <w:tcW w:w="77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过滤装置</w:t>
            </w:r>
          </w:p>
        </w:tc>
        <w:tc>
          <w:tcPr>
            <w:tcW w:w="736"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废过滤渣及过滤网</w:t>
            </w:r>
          </w:p>
        </w:tc>
        <w:tc>
          <w:tcPr>
            <w:tcW w:w="74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半年清理1次并更换过滤网</w:t>
            </w:r>
          </w:p>
        </w:tc>
        <w:tc>
          <w:tcPr>
            <w:tcW w:w="1199" w:type="pct"/>
            <w:vMerge w:val="continue"/>
            <w:tcBorders>
              <w:tl2br w:val="nil"/>
              <w:tr2bl w:val="nil"/>
            </w:tcBorders>
            <w:vAlign w:val="center"/>
          </w:tcPr>
          <w:p>
            <w:pPr>
              <w:jc w:val="center"/>
              <w:rPr>
                <w:rFonts w:ascii="Times New Roman" w:hAnsi="Times New Roman"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524" w:type="pct"/>
            <w:vMerge w:val="continue"/>
            <w:tcBorders>
              <w:tl2br w:val="nil"/>
              <w:tr2bl w:val="nil"/>
            </w:tcBorders>
            <w:vAlign w:val="center"/>
          </w:tcPr>
          <w:p>
            <w:pPr>
              <w:jc w:val="center"/>
              <w:rPr>
                <w:rFonts w:ascii="Times New Roman" w:hAnsi="Times New Roman" w:cs="Times New Roman"/>
                <w:color w:val="auto"/>
                <w:szCs w:val="21"/>
              </w:rPr>
            </w:pPr>
          </w:p>
        </w:tc>
        <w:tc>
          <w:tcPr>
            <w:tcW w:w="524" w:type="pct"/>
            <w:vMerge w:val="continue"/>
            <w:tcBorders>
              <w:tl2br w:val="nil"/>
              <w:tr2bl w:val="nil"/>
            </w:tcBorders>
            <w:vAlign w:val="center"/>
          </w:tcPr>
          <w:p>
            <w:pPr>
              <w:jc w:val="center"/>
              <w:rPr>
                <w:rFonts w:ascii="Times New Roman" w:hAnsi="Times New Roman" w:cs="Times New Roman"/>
                <w:color w:val="auto"/>
                <w:szCs w:val="21"/>
              </w:rPr>
            </w:pPr>
          </w:p>
        </w:tc>
        <w:tc>
          <w:tcPr>
            <w:tcW w:w="50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S5-3</w:t>
            </w:r>
          </w:p>
        </w:tc>
        <w:tc>
          <w:tcPr>
            <w:tcW w:w="771" w:type="pct"/>
            <w:tcBorders>
              <w:tl2br w:val="nil"/>
              <w:tr2bl w:val="nil"/>
            </w:tcBorders>
            <w:vAlign w:val="center"/>
          </w:tcPr>
          <w:p>
            <w:pPr>
              <w:jc w:val="center"/>
              <w:rPr>
                <w:rFonts w:ascii="Times New Roman" w:hAnsi="Times New Roman" w:cs="Times New Roman"/>
                <w:color w:val="auto"/>
              </w:rPr>
            </w:pPr>
            <w:r>
              <w:rPr>
                <w:rFonts w:ascii="Times New Roman" w:hAnsi="Times New Roman" w:cs="Times New Roman"/>
                <w:color w:val="auto"/>
                <w:szCs w:val="21"/>
              </w:rPr>
              <w:t>投料过程</w:t>
            </w:r>
          </w:p>
        </w:tc>
        <w:tc>
          <w:tcPr>
            <w:tcW w:w="736" w:type="pct"/>
            <w:tcBorders>
              <w:tl2br w:val="nil"/>
              <w:tr2bl w:val="nil"/>
            </w:tcBorders>
            <w:vAlign w:val="center"/>
          </w:tcPr>
          <w:p>
            <w:pPr>
              <w:jc w:val="center"/>
              <w:rPr>
                <w:rFonts w:ascii="Times New Roman" w:hAnsi="Times New Roman" w:cs="Times New Roman"/>
                <w:color w:val="auto"/>
              </w:rPr>
            </w:pPr>
            <w:r>
              <w:rPr>
                <w:rFonts w:ascii="Times New Roman" w:hAnsi="Times New Roman" w:cs="Times New Roman"/>
                <w:color w:val="auto"/>
                <w:szCs w:val="21"/>
              </w:rPr>
              <w:t>废包装桶</w:t>
            </w:r>
          </w:p>
        </w:tc>
        <w:tc>
          <w:tcPr>
            <w:tcW w:w="74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连续生产，定期处置</w:t>
            </w:r>
          </w:p>
        </w:tc>
        <w:tc>
          <w:tcPr>
            <w:tcW w:w="1199" w:type="pct"/>
            <w:vMerge w:val="continue"/>
            <w:tcBorders>
              <w:tl2br w:val="nil"/>
              <w:tr2bl w:val="nil"/>
            </w:tcBorders>
            <w:vAlign w:val="center"/>
          </w:tcPr>
          <w:p>
            <w:pPr>
              <w:jc w:val="center"/>
              <w:rPr>
                <w:rFonts w:ascii="Times New Roman" w:hAnsi="Times New Roman"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524" w:type="pct"/>
            <w:vMerge w:val="continue"/>
            <w:tcBorders>
              <w:tl2br w:val="nil"/>
              <w:tr2bl w:val="nil"/>
            </w:tcBorders>
            <w:vAlign w:val="center"/>
          </w:tcPr>
          <w:p>
            <w:pPr>
              <w:jc w:val="center"/>
              <w:rPr>
                <w:rFonts w:ascii="Times New Roman" w:hAnsi="Times New Roman" w:cs="Times New Roman"/>
                <w:color w:val="auto"/>
                <w:szCs w:val="21"/>
              </w:rPr>
            </w:pPr>
          </w:p>
        </w:tc>
        <w:tc>
          <w:tcPr>
            <w:tcW w:w="524"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噪声</w:t>
            </w:r>
          </w:p>
        </w:tc>
        <w:tc>
          <w:tcPr>
            <w:tcW w:w="50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N</w:t>
            </w:r>
          </w:p>
        </w:tc>
        <w:tc>
          <w:tcPr>
            <w:tcW w:w="77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设备运行</w:t>
            </w:r>
          </w:p>
        </w:tc>
        <w:tc>
          <w:tcPr>
            <w:tcW w:w="736"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噪声</w:t>
            </w:r>
          </w:p>
        </w:tc>
        <w:tc>
          <w:tcPr>
            <w:tcW w:w="74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生产时间连续</w:t>
            </w:r>
          </w:p>
        </w:tc>
        <w:tc>
          <w:tcPr>
            <w:tcW w:w="1199"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基础减振，厂房隔声等</w:t>
            </w:r>
          </w:p>
        </w:tc>
      </w:tr>
    </w:tbl>
    <w:p>
      <w:pPr>
        <w:spacing w:line="240" w:lineRule="exact"/>
        <w:ind w:firstLine="602" w:firstLineChars="200"/>
        <w:rPr>
          <w:rFonts w:ascii="Times New Roman" w:hAnsi="Times New Roman" w:cs="Times New Roman"/>
          <w:b/>
          <w:color w:val="auto"/>
          <w:sz w:val="30"/>
          <w:szCs w:val="30"/>
        </w:rPr>
      </w:pPr>
    </w:p>
    <w:p>
      <w:pPr>
        <w:adjustRightInd w:val="0"/>
        <w:spacing w:before="78" w:beforeLines="25" w:after="78" w:afterLines="25" w:line="360" w:lineRule="auto"/>
        <w:outlineLvl w:val="2"/>
        <w:rPr>
          <w:rFonts w:ascii="Times New Roman" w:hAnsi="Times New Roman" w:cs="Times New Roman"/>
          <w:b/>
          <w:color w:val="auto"/>
          <w:sz w:val="28"/>
          <w:szCs w:val="28"/>
        </w:rPr>
      </w:pPr>
      <w:bookmarkStart w:id="29" w:name="_Toc11006"/>
      <w:r>
        <w:rPr>
          <w:rFonts w:hint="default" w:ascii="Times New Roman" w:hAnsi="Times New Roman" w:cs="Times New Roman"/>
          <w:b/>
          <w:color w:val="auto"/>
          <w:sz w:val="28"/>
          <w:szCs w:val="28"/>
        </w:rPr>
        <w:t>3.</w:t>
      </w:r>
      <w:r>
        <w:rPr>
          <w:rFonts w:hint="eastAsia" w:ascii="Times New Roman" w:hAnsi="Times New Roman" w:cs="Times New Roman"/>
          <w:b/>
          <w:color w:val="auto"/>
          <w:sz w:val="28"/>
          <w:szCs w:val="28"/>
          <w:lang w:eastAsia="zh-CN"/>
        </w:rPr>
        <w:t>6</w:t>
      </w:r>
      <w:r>
        <w:rPr>
          <w:rFonts w:hint="default" w:ascii="Times New Roman" w:hAnsi="Times New Roman" w:cs="Times New Roman"/>
          <w:b/>
          <w:color w:val="auto"/>
          <w:sz w:val="28"/>
          <w:szCs w:val="28"/>
        </w:rPr>
        <w:t>.3</w:t>
      </w:r>
      <w:r>
        <w:rPr>
          <w:rFonts w:ascii="Times New Roman" w:hAnsi="Times New Roman" w:cs="Times New Roman"/>
          <w:b/>
          <w:color w:val="auto"/>
          <w:sz w:val="28"/>
          <w:szCs w:val="28"/>
        </w:rPr>
        <w:t>改性胺固化剂生产工艺及产污环节</w:t>
      </w:r>
      <w:bookmarkEnd w:id="29"/>
    </w:p>
    <w:p>
      <w:pPr>
        <w:adjustRightInd w:val="0"/>
        <w:spacing w:before="78" w:beforeLines="25" w:after="78" w:afterLines="25" w:line="360" w:lineRule="auto"/>
        <w:outlineLvl w:val="3"/>
        <w:rPr>
          <w:rFonts w:ascii="Times New Roman" w:hAnsi="Times New Roman" w:cs="Times New Roman"/>
          <w:b/>
          <w:bCs/>
          <w:color w:val="auto"/>
          <w:sz w:val="24"/>
          <w:szCs w:val="24"/>
        </w:rPr>
      </w:pPr>
      <w:r>
        <w:rPr>
          <w:rFonts w:hint="default" w:ascii="Times New Roman" w:hAnsi="Times New Roman" w:cs="Times New Roman"/>
          <w:b/>
          <w:bCs/>
          <w:color w:val="auto"/>
          <w:sz w:val="24"/>
          <w:szCs w:val="24"/>
        </w:rPr>
        <w:t>3.</w:t>
      </w:r>
      <w:r>
        <w:rPr>
          <w:rFonts w:hint="eastAsia" w:ascii="Times New Roman" w:hAnsi="Times New Roman" w:cs="Times New Roman"/>
          <w:b/>
          <w:bCs/>
          <w:color w:val="auto"/>
          <w:sz w:val="24"/>
          <w:szCs w:val="24"/>
          <w:lang w:eastAsia="zh-CN"/>
        </w:rPr>
        <w:t>6</w:t>
      </w:r>
      <w:r>
        <w:rPr>
          <w:rFonts w:hint="default" w:ascii="Times New Roman" w:hAnsi="Times New Roman" w:cs="Times New Roman"/>
          <w:b/>
          <w:bCs/>
          <w:color w:val="auto"/>
          <w:sz w:val="24"/>
          <w:szCs w:val="24"/>
        </w:rPr>
        <w:t>.3.1</w:t>
      </w:r>
      <w:r>
        <w:rPr>
          <w:rFonts w:ascii="Times New Roman" w:hAnsi="Times New Roman" w:cs="Times New Roman"/>
          <w:b/>
          <w:bCs/>
          <w:color w:val="auto"/>
          <w:sz w:val="24"/>
          <w:szCs w:val="24"/>
        </w:rPr>
        <w:t>反应原理</w:t>
      </w:r>
    </w:p>
    <w:p>
      <w:pPr>
        <w:pStyle w:val="17"/>
        <w:adjustRightInd w:val="0"/>
        <w:snapToGrid w:val="0"/>
        <w:spacing w:line="360" w:lineRule="auto"/>
        <w:ind w:firstLine="480" w:firstLineChars="200"/>
        <w:rPr>
          <w:rFonts w:ascii="Times New Roman" w:hAnsi="Times New Roman" w:cs="Times New Roman"/>
          <w:bCs/>
          <w:color w:val="auto"/>
          <w:sz w:val="24"/>
        </w:rPr>
      </w:pPr>
      <w:r>
        <w:rPr>
          <w:rFonts w:ascii="Times New Roman" w:hAnsi="Times New Roman" w:cs="Times New Roman"/>
          <w:bCs/>
          <w:color w:val="auto"/>
          <w:sz w:val="24"/>
        </w:rPr>
        <w:t>改性胺主要分为两个系列的产品，分别为593和693系列。593和693系列改性胺类固化剂原理一致，仅物料投加有所差别。上述两个系列固化剂由胺类（二乙烯三胺、1，3-ABC、聚醚胺等伯胺基类物质）与环氧树脂（环氧基团）预反应产物与苯甲醇或壬基酚混合而生产成改性胺。反应机理如下：</w:t>
      </w:r>
    </w:p>
    <w:p>
      <w:pPr>
        <w:adjustRightInd w:val="0"/>
        <w:spacing w:before="78" w:beforeLines="25" w:after="78" w:afterLines="25" w:line="360" w:lineRule="auto"/>
        <w:jc w:val="center"/>
        <w:rPr>
          <w:rFonts w:ascii="Times New Roman" w:hAnsi="Times New Roman" w:cs="Times New Roman"/>
          <w:color w:val="auto"/>
        </w:rPr>
      </w:pPr>
      <w:r>
        <w:rPr>
          <w:rFonts w:ascii="Times New Roman" w:hAnsi="Times New Roman" w:cs="Times New Roman"/>
          <w:color w:val="auto"/>
        </w:rPr>
        <w:drawing>
          <wp:inline distT="0" distB="0" distL="114300" distR="114300">
            <wp:extent cx="4493895" cy="607695"/>
            <wp:effectExtent l="0" t="0" r="1905" b="1905"/>
            <wp:docPr id="88" name="图片 18" descr="C:\Users\Administrator\Desktop\改性胺方程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8" descr="C:\Users\Administrator\Desktop\改性胺方程式.jpg"/>
                    <pic:cNvPicPr>
                      <a:picLocks noChangeAspect="1"/>
                    </pic:cNvPicPr>
                  </pic:nvPicPr>
                  <pic:blipFill>
                    <a:blip r:embed="rId18"/>
                    <a:srcRect l="7906" t="41594" r="6931" b="41768"/>
                    <a:stretch>
                      <a:fillRect/>
                    </a:stretch>
                  </pic:blipFill>
                  <pic:spPr>
                    <a:xfrm>
                      <a:off x="0" y="0"/>
                      <a:ext cx="4493895" cy="607695"/>
                    </a:xfrm>
                    <a:prstGeom prst="rect">
                      <a:avLst/>
                    </a:prstGeom>
                    <a:noFill/>
                    <a:ln>
                      <a:noFill/>
                    </a:ln>
                  </pic:spPr>
                </pic:pic>
              </a:graphicData>
            </a:graphic>
          </wp:inline>
        </w:drawing>
      </w:r>
    </w:p>
    <w:p>
      <w:pPr>
        <w:adjustRightInd w:val="0"/>
        <w:spacing w:before="78" w:beforeLines="25" w:after="78" w:afterLines="25" w:line="360" w:lineRule="auto"/>
        <w:rPr>
          <w:rFonts w:ascii="Times New Roman" w:hAnsi="Times New Roman" w:cs="Times New Roman"/>
          <w:color w:val="auto"/>
        </w:rPr>
      </w:pPr>
      <w:r>
        <w:rPr>
          <w:rFonts w:ascii="Times New Roman" w:hAnsi="Times New Roman" w:cs="Times New Roman"/>
          <w:color w:val="auto"/>
        </w:rPr>
        <w:t xml:space="preserve">           </w:t>
      </w:r>
      <w:r>
        <w:rPr>
          <w:rFonts w:ascii="Times New Roman" w:hAnsi="Times New Roman" w:cs="Times New Roman"/>
          <w:color w:val="auto"/>
          <w:sz w:val="24"/>
          <w:szCs w:val="24"/>
        </w:rPr>
        <w:t>环氧基        伯胺基                改性胺</w:t>
      </w:r>
    </w:p>
    <w:p>
      <w:pPr>
        <w:adjustRightInd w:val="0"/>
        <w:spacing w:before="78" w:beforeLines="25" w:after="78" w:afterLines="25" w:line="360" w:lineRule="auto"/>
        <w:outlineLvl w:val="3"/>
        <w:rPr>
          <w:rFonts w:ascii="Times New Roman" w:hAnsi="Times New Roman" w:cs="Times New Roman"/>
          <w:b/>
          <w:bCs/>
          <w:color w:val="auto"/>
          <w:sz w:val="24"/>
          <w:szCs w:val="24"/>
        </w:rPr>
      </w:pPr>
      <w:r>
        <w:rPr>
          <w:rFonts w:hint="default" w:ascii="Times New Roman" w:hAnsi="Times New Roman" w:cs="Times New Roman"/>
          <w:b/>
          <w:bCs/>
          <w:color w:val="auto"/>
          <w:sz w:val="24"/>
          <w:szCs w:val="24"/>
        </w:rPr>
        <w:t>3.</w:t>
      </w:r>
      <w:r>
        <w:rPr>
          <w:rFonts w:hint="eastAsia" w:ascii="Times New Roman" w:hAnsi="Times New Roman" w:cs="Times New Roman"/>
          <w:b/>
          <w:bCs/>
          <w:color w:val="auto"/>
          <w:sz w:val="24"/>
          <w:szCs w:val="24"/>
          <w:lang w:eastAsia="zh-CN"/>
        </w:rPr>
        <w:t>6</w:t>
      </w:r>
      <w:r>
        <w:rPr>
          <w:rFonts w:hint="default" w:ascii="Times New Roman" w:hAnsi="Times New Roman" w:cs="Times New Roman"/>
          <w:b/>
          <w:bCs/>
          <w:color w:val="auto"/>
          <w:sz w:val="24"/>
          <w:szCs w:val="24"/>
        </w:rPr>
        <w:t>.3.2</w:t>
      </w:r>
      <w:r>
        <w:rPr>
          <w:rFonts w:ascii="Times New Roman" w:hAnsi="Times New Roman" w:cs="Times New Roman"/>
          <w:b/>
          <w:bCs/>
          <w:color w:val="auto"/>
          <w:sz w:val="24"/>
          <w:szCs w:val="24"/>
        </w:rPr>
        <w:t>工艺流程</w:t>
      </w:r>
    </w:p>
    <w:p>
      <w:pPr>
        <w:adjustRightInd w:val="0"/>
        <w:spacing w:before="78" w:beforeLines="25" w:after="78" w:afterLines="25" w:line="360" w:lineRule="auto"/>
        <w:rPr>
          <w:rFonts w:ascii="Times New Roman" w:hAnsi="Times New Roman" w:cs="Times New Roman"/>
          <w:b/>
          <w:bCs/>
          <w:color w:val="auto"/>
        </w:rPr>
      </w:pPr>
      <w:r>
        <w:rPr>
          <w:rFonts w:ascii="Times New Roman" w:hAnsi="Times New Roman" w:cs="Times New Roman"/>
          <w:color w:val="auto"/>
        </w:rPr>
        <w:object>
          <v:shape id="_x0000_i1030" o:spt="75" type="#_x0000_t75" style="height:246.15pt;width:406.9pt;" o:ole="t" filled="f" o:preferrelative="t" stroked="f" coordsize="21600,21600">
            <v:path/>
            <v:fill on="f" focussize="0,0"/>
            <v:stroke on="f" joinstyle="miter"/>
            <v:imagedata r:id="rId20" o:title=""/>
            <o:lock v:ext="edit" aspectratio="t"/>
            <w10:wrap type="none"/>
            <w10:anchorlock/>
          </v:shape>
          <o:OLEObject Type="Embed" ProgID="Visio.Drawing.11" ShapeID="_x0000_i1030" DrawAspect="Content" ObjectID="_1468075730" r:id="rId19">
            <o:LockedField>false</o:LockedField>
          </o:OLEObject>
        </w:object>
      </w:r>
    </w:p>
    <w:p>
      <w:pPr>
        <w:spacing w:line="360" w:lineRule="auto"/>
        <w:jc w:val="center"/>
        <w:rPr>
          <w:rFonts w:ascii="Times New Roman" w:hAnsi="Times New Roman" w:cs="Times New Roman"/>
          <w:color w:val="auto"/>
        </w:rPr>
      </w:pPr>
      <w:bookmarkStart w:id="30" w:name="OLE_LINK1"/>
      <w:r>
        <w:rPr>
          <w:rFonts w:hint="default" w:ascii="Times New Roman" w:hAnsi="Times New Roman" w:eastAsia="黑体" w:cs="Times New Roman"/>
          <w:color w:val="auto"/>
        </w:rPr>
        <w:t>图3.</w:t>
      </w:r>
      <w:r>
        <w:rPr>
          <w:rFonts w:hint="eastAsia" w:ascii="Times New Roman" w:hAnsi="Times New Roman" w:eastAsia="黑体" w:cs="Times New Roman"/>
          <w:color w:val="auto"/>
          <w:lang w:eastAsia="zh-CN"/>
        </w:rPr>
        <w:t>6</w:t>
      </w:r>
      <w:r>
        <w:rPr>
          <w:rFonts w:hint="default" w:ascii="Times New Roman" w:hAnsi="Times New Roman" w:eastAsia="黑体" w:cs="Times New Roman"/>
          <w:color w:val="auto"/>
        </w:rPr>
        <w:t xml:space="preserve">-4  </w:t>
      </w:r>
      <w:r>
        <w:rPr>
          <w:rFonts w:ascii="Times New Roman" w:hAnsi="Times New Roman" w:eastAsia="黑体" w:cs="Times New Roman"/>
          <w:color w:val="auto"/>
        </w:rPr>
        <w:t>改性胺生产工艺及产污节点图</w:t>
      </w:r>
    </w:p>
    <w:bookmarkEnd w:id="30"/>
    <w:p>
      <w:pPr>
        <w:adjustRightInd w:val="0"/>
        <w:snapToGrid w:val="0"/>
        <w:spacing w:line="360" w:lineRule="auto"/>
        <w:outlineLvl w:val="3"/>
        <w:rPr>
          <w:rFonts w:ascii="Times New Roman" w:hAnsi="Times New Roman" w:cs="Times New Roman"/>
          <w:b/>
          <w:bCs/>
          <w:color w:val="auto"/>
          <w:sz w:val="24"/>
          <w:szCs w:val="24"/>
        </w:rPr>
      </w:pPr>
      <w:r>
        <w:rPr>
          <w:rFonts w:hint="default" w:ascii="Times New Roman" w:hAnsi="Times New Roman" w:cs="Times New Roman"/>
          <w:b/>
          <w:bCs/>
          <w:color w:val="auto"/>
          <w:sz w:val="24"/>
          <w:szCs w:val="24"/>
        </w:rPr>
        <w:t>3.</w:t>
      </w:r>
      <w:r>
        <w:rPr>
          <w:rFonts w:hint="eastAsia" w:ascii="Times New Roman" w:hAnsi="Times New Roman" w:cs="Times New Roman"/>
          <w:b/>
          <w:bCs/>
          <w:color w:val="auto"/>
          <w:sz w:val="24"/>
          <w:szCs w:val="24"/>
          <w:lang w:eastAsia="zh-CN"/>
        </w:rPr>
        <w:t>6</w:t>
      </w:r>
      <w:r>
        <w:rPr>
          <w:rFonts w:hint="default" w:ascii="Times New Roman" w:hAnsi="Times New Roman" w:cs="Times New Roman"/>
          <w:b/>
          <w:bCs/>
          <w:color w:val="auto"/>
          <w:sz w:val="24"/>
          <w:szCs w:val="24"/>
        </w:rPr>
        <w:t>.3.3</w:t>
      </w:r>
      <w:r>
        <w:rPr>
          <w:rFonts w:ascii="Times New Roman" w:hAnsi="Times New Roman" w:cs="Times New Roman"/>
          <w:b/>
          <w:bCs/>
          <w:color w:val="auto"/>
          <w:sz w:val="24"/>
          <w:szCs w:val="24"/>
        </w:rPr>
        <w:t>工艺流程简述</w:t>
      </w:r>
    </w:p>
    <w:p>
      <w:pPr>
        <w:pStyle w:val="17"/>
        <w:adjustRightInd w:val="0"/>
        <w:snapToGrid w:val="0"/>
        <w:spacing w:line="360" w:lineRule="auto"/>
        <w:ind w:firstLine="480" w:firstLineChars="200"/>
        <w:rPr>
          <w:rFonts w:ascii="Times New Roman" w:hAnsi="Times New Roman" w:cs="Times New Roman"/>
          <w:bCs/>
          <w:color w:val="auto"/>
          <w:sz w:val="24"/>
          <w:szCs w:val="24"/>
        </w:rPr>
      </w:pPr>
      <w:r>
        <w:rPr>
          <w:rFonts w:ascii="Times New Roman" w:hAnsi="Times New Roman" w:cs="Times New Roman"/>
          <w:bCs/>
          <w:color w:val="auto"/>
          <w:sz w:val="24"/>
          <w:szCs w:val="24"/>
        </w:rPr>
        <w:t>改性胺固化剂593和693两个系列产品共用一个反应釜，产品更替直接投料，无需进行设备清洗。两种产品反应条件类似，仅物料投加有所差别。</w:t>
      </w:r>
    </w:p>
    <w:p>
      <w:pPr>
        <w:pStyle w:val="17"/>
        <w:numPr>
          <w:ilvl w:val="0"/>
          <w:numId w:val="2"/>
        </w:numPr>
        <w:adjustRightInd w:val="0"/>
        <w:snapToGrid w:val="0"/>
        <w:spacing w:line="360" w:lineRule="auto"/>
        <w:ind w:firstLine="480" w:firstLineChars="200"/>
        <w:rPr>
          <w:rFonts w:ascii="Times New Roman" w:hAnsi="Times New Roman" w:cs="Times New Roman"/>
          <w:bCs/>
          <w:color w:val="auto"/>
          <w:sz w:val="24"/>
          <w:szCs w:val="24"/>
        </w:rPr>
      </w:pPr>
      <w:r>
        <w:rPr>
          <w:rFonts w:ascii="Times New Roman" w:hAnsi="Times New Roman" w:cs="Times New Roman"/>
          <w:bCs/>
          <w:color w:val="auto"/>
          <w:sz w:val="24"/>
          <w:szCs w:val="24"/>
        </w:rPr>
        <w:t>投料工序：将苯甲醇和环氧树脂泵送至混合釜；593系列改性胺固化剂将二乙烯三胺泵送至高位槽后进入反应釜；693#系列改性将1，3-ABC、聚醚胺从原料桶中泵送至高位槽中后进入反应釜；壬基酚桶装泵送至反应釜</w:t>
      </w:r>
    </w:p>
    <w:p>
      <w:pPr>
        <w:pStyle w:val="17"/>
        <w:numPr>
          <w:ilvl w:val="0"/>
          <w:numId w:val="2"/>
        </w:numPr>
        <w:adjustRightInd w:val="0"/>
        <w:snapToGrid w:val="0"/>
        <w:spacing w:line="360" w:lineRule="auto"/>
        <w:ind w:firstLine="480" w:firstLineChars="200"/>
        <w:rPr>
          <w:rFonts w:ascii="Times New Roman" w:hAnsi="Times New Roman" w:cs="Times New Roman"/>
          <w:bCs/>
          <w:color w:val="auto"/>
          <w:sz w:val="24"/>
          <w:szCs w:val="24"/>
        </w:rPr>
      </w:pPr>
      <w:r>
        <w:rPr>
          <w:rFonts w:ascii="Times New Roman" w:hAnsi="Times New Roman" w:cs="Times New Roman"/>
          <w:bCs/>
          <w:color w:val="auto"/>
          <w:sz w:val="24"/>
          <w:szCs w:val="24"/>
        </w:rPr>
        <w:t>反应工序：将胺类物质与壬基酚根据需要的比例一次性用真空泵抽至R2301反应釜中后，将R2302釜中料缓慢滴加到R2301釜中。反应条件为常压，温度为50~60℃。放热反应，循环水冷却控制温度。反应过程中产生的气相物质采用循环水冷却回流至反应釜</w:t>
      </w:r>
      <w:r>
        <w:rPr>
          <w:rFonts w:hint="default" w:ascii="Times New Roman" w:hAnsi="Times New Roman" w:cs="Times New Roman"/>
          <w:color w:val="auto"/>
          <w:sz w:val="24"/>
        </w:rPr>
        <w:t>（回收的物料全为反应釜中投加的物料，可采用单独的冷凝器回收至反应釜，冷凝温度为28</w:t>
      </w:r>
      <w:r>
        <w:rPr>
          <w:rFonts w:ascii="Times New Roman" w:hAnsi="Times New Roman" w:cs="Times New Roman"/>
          <w:color w:val="auto"/>
          <w:sz w:val="24"/>
        </w:rPr>
        <w:t>℃</w:t>
      </w:r>
      <w:r>
        <w:rPr>
          <w:rFonts w:hint="default" w:ascii="Times New Roman" w:hAnsi="Times New Roman" w:cs="Times New Roman"/>
          <w:color w:val="auto"/>
          <w:sz w:val="24"/>
        </w:rPr>
        <w:t>）</w:t>
      </w:r>
      <w:r>
        <w:rPr>
          <w:rFonts w:ascii="Times New Roman" w:hAnsi="Times New Roman" w:cs="Times New Roman"/>
          <w:bCs/>
          <w:color w:val="auto"/>
          <w:sz w:val="24"/>
          <w:szCs w:val="24"/>
        </w:rPr>
        <w:t>。反应完全后的半成品通过釜底过滤装置过滤（过滤网更换频次半年/次）后进入检测包装工序。</w:t>
      </w:r>
    </w:p>
    <w:p>
      <w:pPr>
        <w:pStyle w:val="17"/>
        <w:adjustRightInd w:val="0"/>
        <w:snapToGrid w:val="0"/>
        <w:spacing w:line="360" w:lineRule="auto"/>
        <w:ind w:firstLine="480" w:firstLineChars="200"/>
        <w:rPr>
          <w:rFonts w:ascii="Times New Roman" w:hAnsi="Times New Roman" w:cs="Times New Roman"/>
          <w:bCs/>
          <w:color w:val="auto"/>
          <w:sz w:val="24"/>
          <w:szCs w:val="24"/>
        </w:rPr>
      </w:pPr>
      <w:r>
        <w:rPr>
          <w:rFonts w:ascii="Times New Roman" w:hAnsi="Times New Roman" w:cs="Times New Roman"/>
          <w:bCs/>
          <w:color w:val="auto"/>
          <w:sz w:val="24"/>
          <w:szCs w:val="24"/>
        </w:rPr>
        <w:t>c、检测包装：检测胺值和粘度。经检测合格，将成品泵入自动包装机包装入库。</w:t>
      </w:r>
    </w:p>
    <w:p>
      <w:pPr>
        <w:adjustRightInd w:val="0"/>
        <w:snapToGrid w:val="0"/>
        <w:spacing w:line="360" w:lineRule="auto"/>
        <w:outlineLvl w:val="3"/>
        <w:rPr>
          <w:rFonts w:ascii="Times New Roman" w:hAnsi="Times New Roman" w:cs="Times New Roman"/>
          <w:b/>
          <w:bCs/>
          <w:color w:val="auto"/>
          <w:sz w:val="24"/>
          <w:szCs w:val="24"/>
        </w:rPr>
      </w:pPr>
      <w:r>
        <w:rPr>
          <w:rFonts w:hint="default" w:ascii="Times New Roman" w:hAnsi="Times New Roman" w:cs="Times New Roman"/>
          <w:b/>
          <w:bCs/>
          <w:color w:val="auto"/>
          <w:sz w:val="24"/>
          <w:szCs w:val="24"/>
        </w:rPr>
        <w:t>3.</w:t>
      </w:r>
      <w:r>
        <w:rPr>
          <w:rFonts w:hint="eastAsia" w:ascii="Times New Roman" w:hAnsi="Times New Roman" w:cs="Times New Roman"/>
          <w:b/>
          <w:bCs/>
          <w:color w:val="auto"/>
          <w:sz w:val="24"/>
          <w:szCs w:val="24"/>
          <w:lang w:eastAsia="zh-CN"/>
        </w:rPr>
        <w:t>6</w:t>
      </w:r>
      <w:r>
        <w:rPr>
          <w:rFonts w:hint="default" w:ascii="Times New Roman" w:hAnsi="Times New Roman" w:cs="Times New Roman"/>
          <w:b/>
          <w:bCs/>
          <w:color w:val="auto"/>
          <w:sz w:val="24"/>
          <w:szCs w:val="24"/>
        </w:rPr>
        <w:t>.3.4</w:t>
      </w:r>
      <w:r>
        <w:rPr>
          <w:rFonts w:ascii="Times New Roman" w:hAnsi="Times New Roman" w:cs="Times New Roman"/>
          <w:b/>
          <w:bCs/>
          <w:color w:val="auto"/>
          <w:sz w:val="24"/>
          <w:szCs w:val="24"/>
        </w:rPr>
        <w:t>产排污节点</w:t>
      </w:r>
    </w:p>
    <w:p>
      <w:pPr>
        <w:adjustRightInd w:val="0"/>
        <w:snapToGrid w:val="0"/>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改性胺固化剂生产过程中无工艺废水产生。主要产排污节点见下表。</w:t>
      </w:r>
    </w:p>
    <w:p>
      <w:pPr>
        <w:adjustRightInd w:val="0"/>
        <w:snapToGrid w:val="0"/>
        <w:spacing w:line="271" w:lineRule="auto"/>
        <w:jc w:val="center"/>
        <w:rPr>
          <w:rFonts w:ascii="Times New Roman" w:hAnsi="Times New Roman" w:eastAsia="黑体" w:cs="Times New Roman"/>
          <w:color w:val="auto"/>
        </w:rPr>
      </w:pPr>
    </w:p>
    <w:p>
      <w:pPr>
        <w:adjustRightInd w:val="0"/>
        <w:snapToGrid w:val="0"/>
        <w:spacing w:line="271" w:lineRule="auto"/>
        <w:jc w:val="center"/>
        <w:rPr>
          <w:rFonts w:ascii="Times New Roman" w:hAnsi="Times New Roman" w:eastAsia="黑体" w:cs="Times New Roman"/>
          <w:color w:val="auto"/>
        </w:rPr>
      </w:pPr>
    </w:p>
    <w:p>
      <w:pPr>
        <w:adjustRightInd w:val="0"/>
        <w:snapToGrid w:val="0"/>
        <w:spacing w:line="271" w:lineRule="auto"/>
        <w:jc w:val="center"/>
        <w:rPr>
          <w:rFonts w:ascii="Times New Roman" w:hAnsi="Times New Roman" w:eastAsia="黑体" w:cs="Times New Roman"/>
          <w:color w:val="auto"/>
        </w:rPr>
      </w:pPr>
    </w:p>
    <w:p>
      <w:pPr>
        <w:adjustRightInd w:val="0"/>
        <w:snapToGrid w:val="0"/>
        <w:spacing w:line="240" w:lineRule="auto"/>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表3.</w:t>
      </w:r>
      <w:r>
        <w:rPr>
          <w:rFonts w:hint="default" w:ascii="Times New Roman" w:hAnsi="Times New Roman" w:eastAsia="宋体" w:cs="Times New Roman"/>
          <w:b/>
          <w:bCs/>
          <w:color w:val="auto"/>
          <w:lang w:eastAsia="zh-CN"/>
        </w:rPr>
        <w:t>6</w:t>
      </w:r>
      <w:r>
        <w:rPr>
          <w:rFonts w:hint="default" w:ascii="Times New Roman" w:hAnsi="Times New Roman" w:eastAsia="宋体" w:cs="Times New Roman"/>
          <w:b/>
          <w:bCs/>
          <w:color w:val="auto"/>
        </w:rPr>
        <w:t>-3  改性胺固化剂生产排污节点表</w:t>
      </w:r>
    </w:p>
    <w:tbl>
      <w:tblPr>
        <w:tblStyle w:val="28"/>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44"/>
        <w:gridCol w:w="902"/>
        <w:gridCol w:w="1380"/>
        <w:gridCol w:w="1414"/>
        <w:gridCol w:w="1543"/>
        <w:gridCol w:w="233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6" w:hRule="atLeast"/>
          <w:tblHeader/>
        </w:trPr>
        <w:tc>
          <w:tcPr>
            <w:tcW w:w="554" w:type="pct"/>
            <w:tcBorders>
              <w:tl2br w:val="nil"/>
              <w:tr2bl w:val="nil"/>
            </w:tcBorders>
            <w:vAlign w:val="center"/>
          </w:tcPr>
          <w:p>
            <w:pPr>
              <w:jc w:val="center"/>
              <w:rPr>
                <w:rFonts w:ascii="Times New Roman" w:hAnsi="Times New Roman" w:cs="Times New Roman"/>
                <w:b/>
                <w:bCs/>
                <w:color w:val="auto"/>
                <w:szCs w:val="21"/>
              </w:rPr>
            </w:pPr>
            <w:r>
              <w:rPr>
                <w:rFonts w:ascii="Times New Roman" w:hAnsi="Times New Roman" w:cs="Times New Roman"/>
                <w:b/>
                <w:bCs/>
                <w:color w:val="auto"/>
                <w:szCs w:val="21"/>
              </w:rPr>
              <w:t>污染物类别</w:t>
            </w:r>
          </w:p>
        </w:tc>
        <w:tc>
          <w:tcPr>
            <w:tcW w:w="529" w:type="pct"/>
            <w:tcBorders>
              <w:tl2br w:val="nil"/>
              <w:tr2bl w:val="nil"/>
            </w:tcBorders>
            <w:vAlign w:val="center"/>
          </w:tcPr>
          <w:p>
            <w:pPr>
              <w:jc w:val="center"/>
              <w:rPr>
                <w:rFonts w:ascii="Times New Roman" w:hAnsi="Times New Roman" w:cs="Times New Roman"/>
                <w:b/>
                <w:bCs/>
                <w:color w:val="auto"/>
                <w:szCs w:val="21"/>
              </w:rPr>
            </w:pPr>
            <w:r>
              <w:rPr>
                <w:rFonts w:ascii="Times New Roman" w:hAnsi="Times New Roman" w:cs="Times New Roman"/>
                <w:b/>
                <w:bCs/>
                <w:color w:val="auto"/>
                <w:szCs w:val="21"/>
              </w:rPr>
              <w:t>序号</w:t>
            </w:r>
          </w:p>
        </w:tc>
        <w:tc>
          <w:tcPr>
            <w:tcW w:w="809" w:type="pct"/>
            <w:tcBorders>
              <w:tl2br w:val="nil"/>
              <w:tr2bl w:val="nil"/>
            </w:tcBorders>
            <w:vAlign w:val="center"/>
          </w:tcPr>
          <w:p>
            <w:pPr>
              <w:jc w:val="center"/>
              <w:rPr>
                <w:rFonts w:ascii="Times New Roman" w:hAnsi="Times New Roman" w:cs="Times New Roman"/>
                <w:b/>
                <w:bCs/>
                <w:color w:val="auto"/>
                <w:szCs w:val="21"/>
              </w:rPr>
            </w:pPr>
            <w:r>
              <w:rPr>
                <w:rFonts w:ascii="Times New Roman" w:hAnsi="Times New Roman" w:cs="Times New Roman"/>
                <w:b/>
                <w:bCs/>
                <w:color w:val="auto"/>
                <w:szCs w:val="21"/>
              </w:rPr>
              <w:t>产排污环节</w:t>
            </w:r>
          </w:p>
        </w:tc>
        <w:tc>
          <w:tcPr>
            <w:tcW w:w="829" w:type="pct"/>
            <w:tcBorders>
              <w:tl2br w:val="nil"/>
              <w:tr2bl w:val="nil"/>
            </w:tcBorders>
            <w:vAlign w:val="center"/>
          </w:tcPr>
          <w:p>
            <w:pPr>
              <w:ind w:left="-105" w:leftChars="-50" w:right="-105" w:rightChars="-50"/>
              <w:jc w:val="center"/>
              <w:rPr>
                <w:rFonts w:ascii="Times New Roman" w:hAnsi="Times New Roman" w:cs="Times New Roman"/>
                <w:b/>
                <w:bCs/>
                <w:color w:val="auto"/>
                <w:szCs w:val="21"/>
              </w:rPr>
            </w:pPr>
            <w:r>
              <w:rPr>
                <w:rFonts w:ascii="Times New Roman" w:hAnsi="Times New Roman" w:cs="Times New Roman"/>
                <w:b/>
                <w:bCs/>
                <w:color w:val="auto"/>
                <w:szCs w:val="21"/>
              </w:rPr>
              <w:t>主要污染物</w:t>
            </w:r>
          </w:p>
        </w:tc>
        <w:tc>
          <w:tcPr>
            <w:tcW w:w="905" w:type="pct"/>
            <w:tcBorders>
              <w:tl2br w:val="nil"/>
              <w:tr2bl w:val="nil"/>
            </w:tcBorders>
            <w:vAlign w:val="center"/>
          </w:tcPr>
          <w:p>
            <w:pPr>
              <w:jc w:val="center"/>
              <w:rPr>
                <w:rFonts w:ascii="Times New Roman" w:hAnsi="Times New Roman" w:cs="Times New Roman"/>
                <w:b/>
                <w:bCs/>
                <w:color w:val="auto"/>
                <w:szCs w:val="21"/>
              </w:rPr>
            </w:pPr>
            <w:r>
              <w:rPr>
                <w:rFonts w:ascii="Times New Roman" w:hAnsi="Times New Roman" w:cs="Times New Roman"/>
                <w:b/>
                <w:bCs/>
                <w:color w:val="auto"/>
                <w:szCs w:val="21"/>
              </w:rPr>
              <w:t>产生特点</w:t>
            </w:r>
          </w:p>
        </w:tc>
        <w:tc>
          <w:tcPr>
            <w:tcW w:w="1370" w:type="pct"/>
            <w:tcBorders>
              <w:tl2br w:val="nil"/>
              <w:tr2bl w:val="nil"/>
            </w:tcBorders>
            <w:vAlign w:val="center"/>
          </w:tcPr>
          <w:p>
            <w:pPr>
              <w:jc w:val="center"/>
              <w:rPr>
                <w:rFonts w:ascii="Times New Roman" w:hAnsi="Times New Roman" w:cs="Times New Roman"/>
                <w:b/>
                <w:bCs/>
                <w:color w:val="auto"/>
                <w:szCs w:val="21"/>
              </w:rPr>
            </w:pPr>
            <w:r>
              <w:rPr>
                <w:rFonts w:ascii="Times New Roman" w:hAnsi="Times New Roman" w:cs="Times New Roman"/>
                <w:b/>
                <w:bCs/>
                <w:color w:val="auto"/>
                <w:szCs w:val="21"/>
              </w:rPr>
              <w:t>排放方式或处理方式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554" w:type="pct"/>
            <w:vMerge w:val="restar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废气</w:t>
            </w:r>
          </w:p>
        </w:tc>
        <w:tc>
          <w:tcPr>
            <w:tcW w:w="529"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G4-1</w:t>
            </w:r>
          </w:p>
        </w:tc>
        <w:tc>
          <w:tcPr>
            <w:tcW w:w="809"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混合釜（（含真空尾气））</w:t>
            </w:r>
          </w:p>
        </w:tc>
        <w:tc>
          <w:tcPr>
            <w:tcW w:w="829"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VOCs（苯甲醇）</w:t>
            </w:r>
          </w:p>
        </w:tc>
        <w:tc>
          <w:tcPr>
            <w:tcW w:w="905" w:type="pct"/>
            <w:tcBorders>
              <w:tl2br w:val="nil"/>
              <w:tr2bl w:val="nil"/>
            </w:tcBorders>
            <w:vAlign w:val="center"/>
          </w:tcPr>
          <w:p>
            <w:pPr>
              <w:ind w:left="-105" w:leftChars="-50" w:right="-105" w:rightChars="-50"/>
              <w:jc w:val="center"/>
              <w:rPr>
                <w:rFonts w:ascii="Times New Roman" w:hAnsi="Times New Roman" w:cs="Times New Roman"/>
                <w:color w:val="auto"/>
                <w:szCs w:val="21"/>
              </w:rPr>
            </w:pPr>
            <w:r>
              <w:rPr>
                <w:rFonts w:ascii="Times New Roman" w:hAnsi="Times New Roman" w:cs="Times New Roman"/>
                <w:color w:val="auto"/>
                <w:szCs w:val="21"/>
              </w:rPr>
              <w:t>生产时间连续</w:t>
            </w:r>
          </w:p>
        </w:tc>
        <w:tc>
          <w:tcPr>
            <w:tcW w:w="1370" w:type="pct"/>
            <w:vMerge w:val="restar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强制冷凝+水吸收+酸吸收+</w:t>
            </w:r>
            <w:r>
              <w:rPr>
                <w:rFonts w:hint="eastAsia" w:ascii="Times New Roman" w:hAnsi="Times New Roman" w:cs="Times New Roman"/>
                <w:color w:val="auto"/>
                <w:szCs w:val="21"/>
                <w:lang w:val="en-US" w:eastAsia="zh-CN"/>
              </w:rPr>
              <w:t>酸</w:t>
            </w:r>
            <w:r>
              <w:rPr>
                <w:rFonts w:ascii="Times New Roman" w:hAnsi="Times New Roman" w:cs="Times New Roman"/>
                <w:color w:val="auto"/>
                <w:szCs w:val="21"/>
              </w:rPr>
              <w:t>吸收+除雾板+</w:t>
            </w:r>
            <w:r>
              <w:rPr>
                <w:rFonts w:hint="eastAsia" w:ascii="Times New Roman" w:hAnsi="Times New Roman" w:cs="Times New Roman"/>
                <w:color w:val="auto"/>
                <w:szCs w:val="21"/>
                <w:lang w:val="en-US" w:eastAsia="zh-CN"/>
              </w:rPr>
              <w:t>酸吸收+活性炭吸附+</w:t>
            </w:r>
            <w:r>
              <w:rPr>
                <w:rFonts w:ascii="Times New Roman" w:hAnsi="Times New Roman" w:cs="Times New Roman"/>
                <w:color w:val="auto"/>
                <w:szCs w:val="21"/>
              </w:rPr>
              <w:t>30m排气筒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554" w:type="pct"/>
            <w:vMerge w:val="continue"/>
            <w:tcBorders>
              <w:tl2br w:val="nil"/>
              <w:tr2bl w:val="nil"/>
            </w:tcBorders>
            <w:vAlign w:val="center"/>
          </w:tcPr>
          <w:p>
            <w:pPr>
              <w:jc w:val="center"/>
              <w:rPr>
                <w:rFonts w:ascii="Times New Roman" w:hAnsi="Times New Roman" w:cs="Times New Roman"/>
                <w:color w:val="auto"/>
                <w:szCs w:val="21"/>
              </w:rPr>
            </w:pPr>
          </w:p>
        </w:tc>
        <w:tc>
          <w:tcPr>
            <w:tcW w:w="529"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G4-2</w:t>
            </w:r>
          </w:p>
        </w:tc>
        <w:tc>
          <w:tcPr>
            <w:tcW w:w="809"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二乙烯三胺高位槽</w:t>
            </w:r>
          </w:p>
        </w:tc>
        <w:tc>
          <w:tcPr>
            <w:tcW w:w="829"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氨气、VOCs（二乙烯三胺）</w:t>
            </w:r>
          </w:p>
        </w:tc>
        <w:tc>
          <w:tcPr>
            <w:tcW w:w="905" w:type="pct"/>
            <w:tcBorders>
              <w:tl2br w:val="nil"/>
              <w:tr2bl w:val="nil"/>
            </w:tcBorders>
            <w:vAlign w:val="center"/>
          </w:tcPr>
          <w:p>
            <w:pPr>
              <w:ind w:left="-105" w:leftChars="-50" w:right="-105" w:rightChars="-50"/>
              <w:jc w:val="center"/>
              <w:rPr>
                <w:rFonts w:ascii="Times New Roman" w:hAnsi="Times New Roman" w:cs="Times New Roman"/>
                <w:color w:val="auto"/>
                <w:szCs w:val="21"/>
              </w:rPr>
            </w:pPr>
            <w:r>
              <w:rPr>
                <w:rFonts w:ascii="Times New Roman" w:hAnsi="Times New Roman" w:cs="Times New Roman"/>
                <w:color w:val="auto"/>
                <w:szCs w:val="21"/>
              </w:rPr>
              <w:t>生产时间连续</w:t>
            </w:r>
          </w:p>
        </w:tc>
        <w:tc>
          <w:tcPr>
            <w:tcW w:w="1370" w:type="pct"/>
            <w:vMerge w:val="continue"/>
            <w:tcBorders>
              <w:tl2br w:val="nil"/>
              <w:tr2bl w:val="nil"/>
            </w:tcBorders>
            <w:vAlign w:val="center"/>
          </w:tcPr>
          <w:p>
            <w:pPr>
              <w:jc w:val="center"/>
              <w:rPr>
                <w:rFonts w:ascii="Times New Roman" w:hAnsi="Times New Roman"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554" w:type="pct"/>
            <w:vMerge w:val="continue"/>
            <w:tcBorders>
              <w:tl2br w:val="nil"/>
              <w:tr2bl w:val="nil"/>
            </w:tcBorders>
            <w:vAlign w:val="center"/>
          </w:tcPr>
          <w:p>
            <w:pPr>
              <w:jc w:val="center"/>
              <w:rPr>
                <w:rFonts w:ascii="Times New Roman" w:hAnsi="Times New Roman" w:cs="Times New Roman"/>
                <w:color w:val="auto"/>
                <w:szCs w:val="21"/>
              </w:rPr>
            </w:pPr>
          </w:p>
        </w:tc>
        <w:tc>
          <w:tcPr>
            <w:tcW w:w="529"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G4-3</w:t>
            </w:r>
          </w:p>
        </w:tc>
        <w:tc>
          <w:tcPr>
            <w:tcW w:w="809"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聚胺醚高位槽</w:t>
            </w:r>
          </w:p>
        </w:tc>
        <w:tc>
          <w:tcPr>
            <w:tcW w:w="829"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氨气</w:t>
            </w:r>
          </w:p>
        </w:tc>
        <w:tc>
          <w:tcPr>
            <w:tcW w:w="905" w:type="pct"/>
            <w:tcBorders>
              <w:tl2br w:val="nil"/>
              <w:tr2bl w:val="nil"/>
            </w:tcBorders>
            <w:vAlign w:val="center"/>
          </w:tcPr>
          <w:p>
            <w:pPr>
              <w:ind w:left="-105" w:leftChars="-50" w:right="-105" w:rightChars="-50"/>
              <w:jc w:val="center"/>
              <w:rPr>
                <w:rFonts w:ascii="Times New Roman" w:hAnsi="Times New Roman" w:cs="Times New Roman"/>
                <w:color w:val="auto"/>
                <w:szCs w:val="21"/>
              </w:rPr>
            </w:pPr>
            <w:r>
              <w:rPr>
                <w:rFonts w:ascii="Times New Roman" w:hAnsi="Times New Roman" w:cs="Times New Roman"/>
                <w:color w:val="auto"/>
                <w:szCs w:val="21"/>
              </w:rPr>
              <w:t>生产时间连续</w:t>
            </w:r>
          </w:p>
        </w:tc>
        <w:tc>
          <w:tcPr>
            <w:tcW w:w="1370" w:type="pct"/>
            <w:vMerge w:val="continue"/>
            <w:tcBorders>
              <w:tl2br w:val="nil"/>
              <w:tr2bl w:val="nil"/>
            </w:tcBorders>
            <w:vAlign w:val="center"/>
          </w:tcPr>
          <w:p>
            <w:pPr>
              <w:jc w:val="center"/>
              <w:rPr>
                <w:rFonts w:ascii="Times New Roman" w:hAnsi="Times New Roman"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554" w:type="pct"/>
            <w:vMerge w:val="continue"/>
            <w:tcBorders>
              <w:tl2br w:val="nil"/>
              <w:tr2bl w:val="nil"/>
            </w:tcBorders>
            <w:vAlign w:val="center"/>
          </w:tcPr>
          <w:p>
            <w:pPr>
              <w:jc w:val="center"/>
              <w:rPr>
                <w:rFonts w:ascii="Times New Roman" w:hAnsi="Times New Roman" w:cs="Times New Roman"/>
                <w:color w:val="auto"/>
                <w:szCs w:val="21"/>
              </w:rPr>
            </w:pPr>
          </w:p>
        </w:tc>
        <w:tc>
          <w:tcPr>
            <w:tcW w:w="529"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G4-4</w:t>
            </w:r>
          </w:p>
        </w:tc>
        <w:tc>
          <w:tcPr>
            <w:tcW w:w="809"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1，3-ABC高位槽</w:t>
            </w:r>
          </w:p>
        </w:tc>
        <w:tc>
          <w:tcPr>
            <w:tcW w:w="829"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氨气、VOCs（1，3-ABC）</w:t>
            </w:r>
          </w:p>
        </w:tc>
        <w:tc>
          <w:tcPr>
            <w:tcW w:w="905" w:type="pct"/>
            <w:tcBorders>
              <w:tl2br w:val="nil"/>
              <w:tr2bl w:val="nil"/>
            </w:tcBorders>
            <w:vAlign w:val="center"/>
          </w:tcPr>
          <w:p>
            <w:pPr>
              <w:ind w:left="-105" w:leftChars="-50" w:right="-105" w:rightChars="-50"/>
              <w:jc w:val="center"/>
              <w:rPr>
                <w:rFonts w:ascii="Times New Roman" w:hAnsi="Times New Roman" w:cs="Times New Roman"/>
                <w:color w:val="auto"/>
                <w:szCs w:val="21"/>
              </w:rPr>
            </w:pPr>
            <w:r>
              <w:rPr>
                <w:rFonts w:ascii="Times New Roman" w:hAnsi="Times New Roman" w:cs="Times New Roman"/>
                <w:color w:val="auto"/>
                <w:szCs w:val="21"/>
              </w:rPr>
              <w:t>生产时间连续</w:t>
            </w:r>
          </w:p>
        </w:tc>
        <w:tc>
          <w:tcPr>
            <w:tcW w:w="1370" w:type="pct"/>
            <w:vMerge w:val="continue"/>
            <w:tcBorders>
              <w:tl2br w:val="nil"/>
              <w:tr2bl w:val="nil"/>
            </w:tcBorders>
            <w:vAlign w:val="center"/>
          </w:tcPr>
          <w:p>
            <w:pPr>
              <w:jc w:val="center"/>
              <w:rPr>
                <w:rFonts w:ascii="Times New Roman" w:hAnsi="Times New Roman"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554" w:type="pct"/>
            <w:vMerge w:val="continue"/>
            <w:tcBorders>
              <w:tl2br w:val="nil"/>
              <w:tr2bl w:val="nil"/>
            </w:tcBorders>
            <w:vAlign w:val="center"/>
          </w:tcPr>
          <w:p>
            <w:pPr>
              <w:jc w:val="center"/>
              <w:rPr>
                <w:rFonts w:ascii="Times New Roman" w:hAnsi="Times New Roman" w:cs="Times New Roman"/>
                <w:color w:val="auto"/>
                <w:szCs w:val="21"/>
              </w:rPr>
            </w:pPr>
          </w:p>
        </w:tc>
        <w:tc>
          <w:tcPr>
            <w:tcW w:w="529"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G4-5</w:t>
            </w:r>
          </w:p>
        </w:tc>
        <w:tc>
          <w:tcPr>
            <w:tcW w:w="809"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冷凝器不凝气</w:t>
            </w:r>
          </w:p>
        </w:tc>
        <w:tc>
          <w:tcPr>
            <w:tcW w:w="829"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VOCs[氨气、VOCs（胺类、苯甲醇）]</w:t>
            </w:r>
          </w:p>
        </w:tc>
        <w:tc>
          <w:tcPr>
            <w:tcW w:w="905" w:type="pct"/>
            <w:tcBorders>
              <w:tl2br w:val="nil"/>
              <w:tr2bl w:val="nil"/>
            </w:tcBorders>
            <w:vAlign w:val="center"/>
          </w:tcPr>
          <w:p>
            <w:pPr>
              <w:ind w:left="-105" w:leftChars="-50" w:right="-105" w:rightChars="-50"/>
              <w:jc w:val="center"/>
              <w:rPr>
                <w:rFonts w:ascii="Times New Roman" w:hAnsi="Times New Roman" w:cs="Times New Roman"/>
                <w:color w:val="auto"/>
                <w:szCs w:val="21"/>
              </w:rPr>
            </w:pPr>
            <w:r>
              <w:rPr>
                <w:rFonts w:ascii="Times New Roman" w:hAnsi="Times New Roman" w:cs="Times New Roman"/>
                <w:color w:val="auto"/>
                <w:szCs w:val="21"/>
              </w:rPr>
              <w:t>生产时间连续</w:t>
            </w:r>
          </w:p>
        </w:tc>
        <w:tc>
          <w:tcPr>
            <w:tcW w:w="1370" w:type="pct"/>
            <w:vMerge w:val="continue"/>
            <w:tcBorders>
              <w:tl2br w:val="nil"/>
              <w:tr2bl w:val="nil"/>
            </w:tcBorders>
            <w:vAlign w:val="center"/>
          </w:tcPr>
          <w:p>
            <w:pPr>
              <w:jc w:val="center"/>
              <w:rPr>
                <w:rFonts w:ascii="Times New Roman" w:hAnsi="Times New Roman"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554" w:type="pct"/>
            <w:vMerge w:val="continue"/>
            <w:tcBorders>
              <w:tl2br w:val="nil"/>
              <w:tr2bl w:val="nil"/>
            </w:tcBorders>
            <w:vAlign w:val="center"/>
          </w:tcPr>
          <w:p>
            <w:pPr>
              <w:jc w:val="center"/>
              <w:rPr>
                <w:rFonts w:ascii="Times New Roman" w:hAnsi="Times New Roman" w:cs="Times New Roman"/>
                <w:color w:val="auto"/>
                <w:szCs w:val="21"/>
              </w:rPr>
            </w:pPr>
          </w:p>
        </w:tc>
        <w:tc>
          <w:tcPr>
            <w:tcW w:w="529"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G4-6</w:t>
            </w:r>
          </w:p>
        </w:tc>
        <w:tc>
          <w:tcPr>
            <w:tcW w:w="809"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自动包装机</w:t>
            </w:r>
          </w:p>
        </w:tc>
        <w:tc>
          <w:tcPr>
            <w:tcW w:w="829"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VOCs氨气、VOCs（苯甲醇）</w:t>
            </w:r>
          </w:p>
        </w:tc>
        <w:tc>
          <w:tcPr>
            <w:tcW w:w="905" w:type="pct"/>
            <w:tcBorders>
              <w:tl2br w:val="nil"/>
              <w:tr2bl w:val="nil"/>
            </w:tcBorders>
            <w:vAlign w:val="center"/>
          </w:tcPr>
          <w:p>
            <w:pPr>
              <w:ind w:left="-105" w:leftChars="-50" w:right="-105" w:rightChars="-50"/>
              <w:jc w:val="center"/>
              <w:rPr>
                <w:rFonts w:ascii="Times New Roman" w:hAnsi="Times New Roman" w:cs="Times New Roman"/>
                <w:color w:val="auto"/>
                <w:szCs w:val="21"/>
              </w:rPr>
            </w:pPr>
            <w:r>
              <w:rPr>
                <w:rFonts w:ascii="Times New Roman" w:hAnsi="Times New Roman" w:cs="Times New Roman"/>
                <w:color w:val="auto"/>
                <w:szCs w:val="21"/>
              </w:rPr>
              <w:t>生产时间连续</w:t>
            </w:r>
          </w:p>
        </w:tc>
        <w:tc>
          <w:tcPr>
            <w:tcW w:w="1370" w:type="pct"/>
            <w:vMerge w:val="continue"/>
            <w:tcBorders>
              <w:tl2br w:val="nil"/>
              <w:tr2bl w:val="nil"/>
            </w:tcBorders>
            <w:vAlign w:val="center"/>
          </w:tcPr>
          <w:p>
            <w:pPr>
              <w:jc w:val="center"/>
              <w:rPr>
                <w:rFonts w:ascii="Times New Roman" w:hAnsi="Times New Roman"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554" w:type="pct"/>
            <w:vMerge w:val="restar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固废</w:t>
            </w:r>
          </w:p>
        </w:tc>
        <w:tc>
          <w:tcPr>
            <w:tcW w:w="529"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S4-1</w:t>
            </w:r>
          </w:p>
        </w:tc>
        <w:tc>
          <w:tcPr>
            <w:tcW w:w="809"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投料过程</w:t>
            </w:r>
          </w:p>
        </w:tc>
        <w:tc>
          <w:tcPr>
            <w:tcW w:w="829"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废包装桶</w:t>
            </w:r>
          </w:p>
        </w:tc>
        <w:tc>
          <w:tcPr>
            <w:tcW w:w="905"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间歇，定期处置</w:t>
            </w:r>
          </w:p>
        </w:tc>
        <w:tc>
          <w:tcPr>
            <w:tcW w:w="1370" w:type="pct"/>
            <w:vMerge w:val="restart"/>
            <w:tcBorders>
              <w:tl2br w:val="nil"/>
              <w:tr2bl w:val="nil"/>
            </w:tcBorders>
            <w:vAlign w:val="center"/>
          </w:tcPr>
          <w:p>
            <w:pPr>
              <w:jc w:val="center"/>
              <w:rPr>
                <w:rFonts w:ascii="Times New Roman" w:hAnsi="Times New Roman" w:cs="Times New Roman"/>
                <w:color w:val="auto"/>
                <w:szCs w:val="21"/>
              </w:rPr>
            </w:pPr>
            <w:r>
              <w:rPr>
                <w:rFonts w:hint="eastAsia" w:ascii="Times New Roman" w:hAnsi="Times New Roman" w:cs="Times New Roman"/>
                <w:color w:val="auto"/>
                <w:szCs w:val="21"/>
                <w:lang w:val="en-US" w:eastAsia="zh-CN"/>
              </w:rPr>
              <w:t>交由湖南瀚洋环保科技有限公司</w:t>
            </w:r>
            <w:r>
              <w:rPr>
                <w:rFonts w:ascii="Times New Roman" w:hAnsi="Times New Roman" w:cs="Times New Roman"/>
                <w:color w:val="auto"/>
                <w:szCs w:val="21"/>
              </w:rPr>
              <w:t>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554" w:type="pct"/>
            <w:vMerge w:val="continue"/>
            <w:tcBorders>
              <w:tl2br w:val="nil"/>
              <w:tr2bl w:val="nil"/>
            </w:tcBorders>
            <w:vAlign w:val="center"/>
          </w:tcPr>
          <w:p>
            <w:pPr>
              <w:jc w:val="center"/>
              <w:rPr>
                <w:rFonts w:ascii="Times New Roman" w:hAnsi="Times New Roman" w:cs="Times New Roman"/>
                <w:color w:val="auto"/>
                <w:szCs w:val="21"/>
              </w:rPr>
            </w:pPr>
          </w:p>
        </w:tc>
        <w:tc>
          <w:tcPr>
            <w:tcW w:w="529"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S4-1</w:t>
            </w:r>
          </w:p>
        </w:tc>
        <w:tc>
          <w:tcPr>
            <w:tcW w:w="809"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过滤装置</w:t>
            </w:r>
          </w:p>
        </w:tc>
        <w:tc>
          <w:tcPr>
            <w:tcW w:w="829"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废过滤渣及过滤网</w:t>
            </w:r>
          </w:p>
        </w:tc>
        <w:tc>
          <w:tcPr>
            <w:tcW w:w="905"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半年清理1次并更换过滤网</w:t>
            </w:r>
          </w:p>
        </w:tc>
        <w:tc>
          <w:tcPr>
            <w:tcW w:w="1370" w:type="pct"/>
            <w:vMerge w:val="continue"/>
            <w:tcBorders>
              <w:tl2br w:val="nil"/>
              <w:tr2bl w:val="nil"/>
            </w:tcBorders>
            <w:vAlign w:val="center"/>
          </w:tcPr>
          <w:p>
            <w:pPr>
              <w:jc w:val="center"/>
              <w:rPr>
                <w:rFonts w:ascii="Times New Roman" w:hAnsi="Times New Roman"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554"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噪声</w:t>
            </w:r>
          </w:p>
        </w:tc>
        <w:tc>
          <w:tcPr>
            <w:tcW w:w="529"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N</w:t>
            </w:r>
          </w:p>
        </w:tc>
        <w:tc>
          <w:tcPr>
            <w:tcW w:w="809"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设备运行</w:t>
            </w:r>
          </w:p>
        </w:tc>
        <w:tc>
          <w:tcPr>
            <w:tcW w:w="829"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噪声</w:t>
            </w:r>
          </w:p>
        </w:tc>
        <w:tc>
          <w:tcPr>
            <w:tcW w:w="905"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生产时间连续</w:t>
            </w:r>
          </w:p>
        </w:tc>
        <w:tc>
          <w:tcPr>
            <w:tcW w:w="1370"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基础减振，厂房隔声等</w:t>
            </w:r>
          </w:p>
        </w:tc>
      </w:tr>
    </w:tbl>
    <w:p>
      <w:pPr>
        <w:adjustRightInd w:val="0"/>
        <w:spacing w:before="78" w:beforeLines="25" w:after="78" w:afterLines="25" w:line="360" w:lineRule="auto"/>
        <w:outlineLvl w:val="2"/>
        <w:rPr>
          <w:rFonts w:ascii="Times New Roman" w:hAnsi="Times New Roman" w:cs="Times New Roman"/>
          <w:b/>
          <w:color w:val="auto"/>
          <w:sz w:val="28"/>
          <w:szCs w:val="28"/>
        </w:rPr>
      </w:pPr>
      <w:bookmarkStart w:id="31" w:name="_Toc3261"/>
      <w:r>
        <w:rPr>
          <w:rFonts w:hint="default" w:ascii="Times New Roman" w:hAnsi="Times New Roman" w:cs="Times New Roman"/>
          <w:b/>
          <w:color w:val="auto"/>
          <w:sz w:val="28"/>
          <w:szCs w:val="28"/>
        </w:rPr>
        <w:t>3.</w:t>
      </w:r>
      <w:r>
        <w:rPr>
          <w:rFonts w:hint="eastAsia" w:ascii="Times New Roman" w:hAnsi="Times New Roman" w:cs="Times New Roman"/>
          <w:b/>
          <w:color w:val="auto"/>
          <w:sz w:val="28"/>
          <w:szCs w:val="28"/>
          <w:lang w:eastAsia="zh-CN"/>
        </w:rPr>
        <w:t>6</w:t>
      </w:r>
      <w:r>
        <w:rPr>
          <w:rFonts w:hint="default" w:ascii="Times New Roman" w:hAnsi="Times New Roman" w:cs="Times New Roman"/>
          <w:b/>
          <w:color w:val="auto"/>
          <w:sz w:val="28"/>
          <w:szCs w:val="28"/>
        </w:rPr>
        <w:t>.4</w:t>
      </w:r>
      <w:r>
        <w:rPr>
          <w:rFonts w:ascii="Times New Roman" w:hAnsi="Times New Roman" w:cs="Times New Roman"/>
          <w:b/>
          <w:color w:val="auto"/>
          <w:sz w:val="28"/>
          <w:szCs w:val="28"/>
        </w:rPr>
        <w:t>聚酰胺固化剂生产工艺及产污环节</w:t>
      </w:r>
      <w:bookmarkEnd w:id="31"/>
    </w:p>
    <w:p>
      <w:pPr>
        <w:adjustRightInd w:val="0"/>
        <w:spacing w:before="78" w:beforeLines="25" w:after="78" w:afterLines="25" w:line="360" w:lineRule="auto"/>
        <w:outlineLvl w:val="3"/>
        <w:rPr>
          <w:rFonts w:ascii="Times New Roman" w:hAnsi="Times New Roman" w:cs="Times New Roman"/>
          <w:b/>
          <w:bCs/>
          <w:color w:val="auto"/>
          <w:sz w:val="24"/>
          <w:szCs w:val="24"/>
        </w:rPr>
      </w:pPr>
      <w:r>
        <w:rPr>
          <w:rFonts w:hint="default" w:ascii="Times New Roman" w:hAnsi="Times New Roman" w:cs="Times New Roman"/>
          <w:b/>
          <w:bCs/>
          <w:color w:val="auto"/>
          <w:sz w:val="24"/>
          <w:szCs w:val="24"/>
        </w:rPr>
        <w:t>3.</w:t>
      </w:r>
      <w:r>
        <w:rPr>
          <w:rFonts w:hint="eastAsia" w:ascii="Times New Roman" w:hAnsi="Times New Roman" w:cs="Times New Roman"/>
          <w:b/>
          <w:bCs/>
          <w:color w:val="auto"/>
          <w:sz w:val="24"/>
          <w:szCs w:val="24"/>
          <w:lang w:eastAsia="zh-CN"/>
        </w:rPr>
        <w:t>6</w:t>
      </w:r>
      <w:r>
        <w:rPr>
          <w:rFonts w:hint="default" w:ascii="Times New Roman" w:hAnsi="Times New Roman" w:cs="Times New Roman"/>
          <w:b/>
          <w:bCs/>
          <w:color w:val="auto"/>
          <w:sz w:val="24"/>
          <w:szCs w:val="24"/>
        </w:rPr>
        <w:t>.4.1</w:t>
      </w:r>
      <w:r>
        <w:rPr>
          <w:rFonts w:ascii="Times New Roman" w:hAnsi="Times New Roman" w:cs="Times New Roman"/>
          <w:b/>
          <w:bCs/>
          <w:color w:val="auto"/>
          <w:sz w:val="24"/>
          <w:szCs w:val="24"/>
        </w:rPr>
        <w:t>工艺流程</w:t>
      </w:r>
    </w:p>
    <w:p>
      <w:pPr>
        <w:adjustRightInd w:val="0"/>
        <w:spacing w:before="78" w:beforeLines="25" w:after="78" w:afterLines="25" w:line="360" w:lineRule="auto"/>
        <w:jc w:val="center"/>
        <w:rPr>
          <w:rFonts w:ascii="Times New Roman" w:hAnsi="Times New Roman" w:cs="Times New Roman"/>
          <w:b/>
          <w:bCs/>
          <w:color w:val="auto"/>
        </w:rPr>
      </w:pPr>
      <w:r>
        <w:rPr>
          <w:rFonts w:ascii="Times New Roman" w:hAnsi="Times New Roman" w:cs="Times New Roman"/>
          <w:color w:val="auto"/>
        </w:rPr>
        <w:object>
          <v:shape id="_x0000_i1031" o:spt="75" type="#_x0000_t75" style="height:322.35pt;width:453.75pt;" o:ole="t" filled="f" o:preferrelative="t" stroked="f" coordsize="21600,21600">
            <v:path/>
            <v:fill on="f" focussize="0,0"/>
            <v:stroke on="f" joinstyle="miter"/>
            <v:imagedata r:id="rId22" o:title=""/>
            <o:lock v:ext="edit" aspectratio="t"/>
            <w10:wrap type="none"/>
            <w10:anchorlock/>
          </v:shape>
          <o:OLEObject Type="Embed" ProgID="Visio.Drawing.11" ShapeID="_x0000_i1031" DrawAspect="Content" ObjectID="_1468075731" r:id="rId21">
            <o:LockedField>false</o:LockedField>
          </o:OLEObject>
        </w:object>
      </w:r>
      <w:r>
        <w:rPr>
          <w:rFonts w:hint="default" w:ascii="Times New Roman" w:hAnsi="Times New Roman" w:cs="Times New Roman"/>
          <w:color w:val="auto"/>
        </w:rPr>
        <w:t>图3.</w:t>
      </w:r>
      <w:r>
        <w:rPr>
          <w:rFonts w:hint="eastAsia" w:ascii="Times New Roman" w:hAnsi="Times New Roman" w:cs="Times New Roman"/>
          <w:color w:val="auto"/>
          <w:lang w:eastAsia="zh-CN"/>
        </w:rPr>
        <w:t>6</w:t>
      </w:r>
      <w:r>
        <w:rPr>
          <w:rFonts w:hint="default" w:ascii="Times New Roman" w:hAnsi="Times New Roman" w:cs="Times New Roman"/>
          <w:color w:val="auto"/>
        </w:rPr>
        <w:t xml:space="preserve">-5  </w:t>
      </w:r>
      <w:r>
        <w:rPr>
          <w:rFonts w:ascii="Times New Roman" w:hAnsi="Times New Roman" w:eastAsia="黑体" w:cs="Times New Roman"/>
          <w:color w:val="auto"/>
        </w:rPr>
        <w:t>聚酰胺固化剂生产工艺及产污节点图</w:t>
      </w:r>
    </w:p>
    <w:p>
      <w:pPr>
        <w:adjustRightInd w:val="0"/>
        <w:spacing w:before="78" w:beforeLines="25" w:after="78" w:afterLines="25" w:line="360" w:lineRule="auto"/>
        <w:outlineLvl w:val="3"/>
        <w:rPr>
          <w:rFonts w:ascii="Times New Roman" w:hAnsi="Times New Roman" w:cs="Times New Roman"/>
          <w:b/>
          <w:bCs/>
          <w:color w:val="auto"/>
          <w:sz w:val="24"/>
          <w:szCs w:val="24"/>
        </w:rPr>
      </w:pPr>
      <w:r>
        <w:rPr>
          <w:rFonts w:hint="default" w:ascii="Times New Roman" w:hAnsi="Times New Roman" w:cs="Times New Roman"/>
          <w:b/>
          <w:bCs/>
          <w:color w:val="auto"/>
          <w:sz w:val="24"/>
          <w:szCs w:val="24"/>
        </w:rPr>
        <w:t>3.</w:t>
      </w:r>
      <w:r>
        <w:rPr>
          <w:rFonts w:hint="eastAsia" w:ascii="Times New Roman" w:hAnsi="Times New Roman" w:cs="Times New Roman"/>
          <w:b/>
          <w:bCs/>
          <w:color w:val="auto"/>
          <w:sz w:val="24"/>
          <w:szCs w:val="24"/>
          <w:lang w:eastAsia="zh-CN"/>
        </w:rPr>
        <w:t>6</w:t>
      </w:r>
      <w:r>
        <w:rPr>
          <w:rFonts w:hint="default" w:ascii="Times New Roman" w:hAnsi="Times New Roman" w:cs="Times New Roman"/>
          <w:b/>
          <w:bCs/>
          <w:color w:val="auto"/>
          <w:sz w:val="24"/>
          <w:szCs w:val="24"/>
        </w:rPr>
        <w:t>.4.2</w:t>
      </w:r>
      <w:r>
        <w:rPr>
          <w:rFonts w:ascii="Times New Roman" w:hAnsi="Times New Roman" w:cs="Times New Roman"/>
          <w:b/>
          <w:bCs/>
          <w:color w:val="auto"/>
          <w:sz w:val="24"/>
          <w:szCs w:val="24"/>
        </w:rPr>
        <w:t>工艺流程简述</w:t>
      </w:r>
    </w:p>
    <w:p>
      <w:pPr>
        <w:pStyle w:val="17"/>
        <w:adjustRightInd w:val="0"/>
        <w:snapToGrid w:val="0"/>
        <w:spacing w:line="360" w:lineRule="auto"/>
        <w:ind w:firstLine="480" w:firstLineChars="200"/>
        <w:rPr>
          <w:rFonts w:ascii="Times New Roman" w:hAnsi="Times New Roman" w:cs="Times New Roman"/>
          <w:bCs/>
          <w:color w:val="auto"/>
          <w:sz w:val="24"/>
        </w:rPr>
      </w:pPr>
      <w:r>
        <w:rPr>
          <w:rFonts w:ascii="Times New Roman" w:hAnsi="Times New Roman" w:cs="Times New Roman"/>
          <w:bCs/>
          <w:color w:val="auto"/>
          <w:sz w:val="24"/>
        </w:rPr>
        <w:t>聚酰胺固化剂生产过程分为投料、反应、降温检测、包装四个工序。</w:t>
      </w:r>
    </w:p>
    <w:p>
      <w:pPr>
        <w:pStyle w:val="17"/>
        <w:adjustRightInd w:val="0"/>
        <w:snapToGrid w:val="0"/>
        <w:spacing w:line="360" w:lineRule="auto"/>
        <w:ind w:firstLine="480" w:firstLineChars="200"/>
        <w:rPr>
          <w:rFonts w:ascii="Times New Roman" w:hAnsi="Times New Roman" w:cs="Times New Roman"/>
          <w:bCs/>
          <w:color w:val="auto"/>
          <w:sz w:val="24"/>
        </w:rPr>
      </w:pPr>
      <w:r>
        <w:rPr>
          <w:rFonts w:ascii="Times New Roman" w:hAnsi="Times New Roman" w:cs="Times New Roman"/>
          <w:bCs/>
          <w:color w:val="auto"/>
          <w:sz w:val="24"/>
        </w:rPr>
        <w:t>a、投料工序：将二乙烯三胺、二聚酸分别真空吸入高位槽，由高位槽进入反应釜；其中，二乙烯三胺高位槽与改性胺固化剂生产中使用的高位槽共用。</w:t>
      </w:r>
    </w:p>
    <w:p>
      <w:pPr>
        <w:pStyle w:val="17"/>
        <w:adjustRightInd w:val="0"/>
        <w:snapToGrid w:val="0"/>
        <w:spacing w:line="360" w:lineRule="auto"/>
        <w:ind w:firstLine="480" w:firstLineChars="200"/>
        <w:rPr>
          <w:rFonts w:ascii="Times New Roman" w:hAnsi="Times New Roman" w:cs="Times New Roman"/>
          <w:bCs/>
          <w:color w:val="auto"/>
          <w:sz w:val="24"/>
        </w:rPr>
      </w:pPr>
      <w:r>
        <w:rPr>
          <w:rFonts w:ascii="Times New Roman" w:hAnsi="Times New Roman" w:cs="Times New Roman"/>
          <w:bCs/>
          <w:color w:val="auto"/>
          <w:sz w:val="24"/>
        </w:rPr>
        <w:t>b、反应工序+脱水：150℃~155℃下，将二聚酸滴加到反应釜中，4小时滴加完；升温到220℃恒温2小时，反应过程中气相物质采用循环水冷却回流至反应釜</w:t>
      </w:r>
      <w:r>
        <w:rPr>
          <w:rFonts w:hint="default" w:ascii="Times New Roman" w:hAnsi="Times New Roman" w:cs="Times New Roman"/>
          <w:color w:val="auto"/>
          <w:sz w:val="24"/>
        </w:rPr>
        <w:t>（回收的物料全为反应釜中投加的物料，可采用单独的冷凝器回收至反应釜，冷凝温度为28</w:t>
      </w:r>
      <w:r>
        <w:rPr>
          <w:rFonts w:ascii="Times New Roman" w:hAnsi="Times New Roman" w:cs="Times New Roman"/>
          <w:color w:val="auto"/>
          <w:sz w:val="24"/>
        </w:rPr>
        <w:t>℃</w:t>
      </w:r>
      <w:r>
        <w:rPr>
          <w:rFonts w:hint="default" w:ascii="Times New Roman" w:hAnsi="Times New Roman" w:cs="Times New Roman"/>
          <w:color w:val="auto"/>
          <w:sz w:val="24"/>
        </w:rPr>
        <w:t>）</w:t>
      </w:r>
      <w:r>
        <w:rPr>
          <w:rFonts w:ascii="Times New Roman" w:hAnsi="Times New Roman" w:cs="Times New Roman"/>
          <w:bCs/>
          <w:color w:val="auto"/>
          <w:sz w:val="24"/>
        </w:rPr>
        <w:t>，反应完毕。反应完毕后采用蒸汽间接加热并真空脱水。脱出的水井冷凝后进入废水接收罐。</w:t>
      </w:r>
    </w:p>
    <w:p>
      <w:pPr>
        <w:pStyle w:val="17"/>
        <w:adjustRightInd w:val="0"/>
        <w:snapToGrid w:val="0"/>
        <w:spacing w:line="360" w:lineRule="auto"/>
        <w:ind w:firstLine="480" w:firstLineChars="200"/>
        <w:rPr>
          <w:rFonts w:ascii="Times New Roman" w:hAnsi="Times New Roman" w:cs="Times New Roman"/>
          <w:bCs/>
          <w:color w:val="auto"/>
          <w:sz w:val="24"/>
        </w:rPr>
      </w:pPr>
      <w:r>
        <w:rPr>
          <w:rFonts w:ascii="Times New Roman" w:hAnsi="Times New Roman" w:cs="Times New Roman"/>
          <w:bCs/>
          <w:color w:val="auto"/>
          <w:sz w:val="24"/>
        </w:rPr>
        <w:t>c、降温检测工序：降温到50℃，取样检测胺值和粘度。</w:t>
      </w:r>
    </w:p>
    <w:p>
      <w:pPr>
        <w:pStyle w:val="17"/>
        <w:adjustRightInd w:val="0"/>
        <w:snapToGrid w:val="0"/>
        <w:spacing w:line="360" w:lineRule="auto"/>
        <w:ind w:firstLine="480" w:firstLineChars="200"/>
        <w:rPr>
          <w:rFonts w:ascii="Times New Roman" w:hAnsi="Times New Roman" w:cs="Times New Roman"/>
          <w:bCs/>
          <w:color w:val="auto"/>
          <w:sz w:val="24"/>
        </w:rPr>
      </w:pPr>
      <w:r>
        <w:rPr>
          <w:rFonts w:ascii="Times New Roman" w:hAnsi="Times New Roman" w:cs="Times New Roman"/>
          <w:bCs/>
          <w:color w:val="auto"/>
          <w:sz w:val="24"/>
        </w:rPr>
        <w:t>d、包装工序：经检测合格，将成品泵入自动包装机包装入库。</w:t>
      </w:r>
    </w:p>
    <w:p>
      <w:pPr>
        <w:adjustRightInd w:val="0"/>
        <w:spacing w:before="78" w:beforeLines="25" w:after="78" w:afterLines="25" w:line="360" w:lineRule="auto"/>
        <w:outlineLvl w:val="3"/>
        <w:rPr>
          <w:rFonts w:ascii="Times New Roman" w:hAnsi="Times New Roman" w:cs="Times New Roman"/>
          <w:b/>
          <w:bCs/>
          <w:color w:val="auto"/>
          <w:sz w:val="24"/>
          <w:szCs w:val="24"/>
        </w:rPr>
      </w:pPr>
      <w:r>
        <w:rPr>
          <w:rFonts w:hint="default" w:ascii="Times New Roman" w:hAnsi="Times New Roman" w:cs="Times New Roman"/>
          <w:b/>
          <w:bCs/>
          <w:color w:val="auto"/>
          <w:sz w:val="24"/>
          <w:szCs w:val="24"/>
        </w:rPr>
        <w:t>3.</w:t>
      </w:r>
      <w:r>
        <w:rPr>
          <w:rFonts w:hint="eastAsia" w:ascii="Times New Roman" w:hAnsi="Times New Roman" w:cs="Times New Roman"/>
          <w:b/>
          <w:bCs/>
          <w:color w:val="auto"/>
          <w:sz w:val="24"/>
          <w:szCs w:val="24"/>
          <w:lang w:eastAsia="zh-CN"/>
        </w:rPr>
        <w:t>6</w:t>
      </w:r>
      <w:r>
        <w:rPr>
          <w:rFonts w:hint="default" w:ascii="Times New Roman" w:hAnsi="Times New Roman" w:cs="Times New Roman"/>
          <w:b/>
          <w:bCs/>
          <w:color w:val="auto"/>
          <w:sz w:val="24"/>
          <w:szCs w:val="24"/>
        </w:rPr>
        <w:t>.4.3</w:t>
      </w:r>
      <w:r>
        <w:rPr>
          <w:rFonts w:ascii="Times New Roman" w:hAnsi="Times New Roman" w:cs="Times New Roman"/>
          <w:b/>
          <w:bCs/>
          <w:color w:val="auto"/>
          <w:sz w:val="24"/>
          <w:szCs w:val="24"/>
        </w:rPr>
        <w:t>反应原理</w:t>
      </w:r>
    </w:p>
    <w:p>
      <w:pPr>
        <w:ind w:firstLine="480" w:firstLineChars="200"/>
        <w:rPr>
          <w:rFonts w:ascii="Times New Roman" w:hAnsi="Times New Roman" w:cs="Times New Roman"/>
          <w:bCs/>
          <w:color w:val="auto"/>
          <w:sz w:val="24"/>
          <w:szCs w:val="24"/>
        </w:rPr>
      </w:pPr>
      <w:r>
        <w:rPr>
          <w:rFonts w:hint="default" w:ascii="Times New Roman" w:hAnsi="Times New Roman" w:cs="Times New Roman"/>
          <w:bCs/>
          <w:color w:val="auto"/>
          <w:sz w:val="24"/>
          <w:szCs w:val="24"/>
        </w:rPr>
        <w:t>聚酰胺固化剂是由二聚酸与二乙烯三胺反应聚合反应而生成。反应机理如下：</w:t>
      </w:r>
    </w:p>
    <w:p>
      <w:pPr>
        <w:adjustRightInd w:val="0"/>
        <w:spacing w:before="78" w:beforeLines="25" w:after="78" w:afterLines="25" w:line="360" w:lineRule="auto"/>
        <w:jc w:val="center"/>
        <w:rPr>
          <w:rFonts w:ascii="Times New Roman" w:hAnsi="Times New Roman" w:cs="Times New Roman"/>
          <w:b/>
          <w:bCs/>
          <w:color w:val="auto"/>
        </w:rPr>
      </w:pPr>
      <w:r>
        <w:rPr>
          <w:rFonts w:ascii="Times New Roman" w:hAnsi="Times New Roman" w:cs="Times New Roman"/>
          <w:bCs/>
          <w:color w:val="auto"/>
        </w:rPr>
        <w:drawing>
          <wp:inline distT="0" distB="0" distL="114300" distR="114300">
            <wp:extent cx="4413250" cy="658495"/>
            <wp:effectExtent l="0" t="0" r="6350" b="8255"/>
            <wp:docPr id="86" name="图片 21" descr="说明: C:\Users\Administrator\Desktop\聚酰胺方程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1" descr="说明: C:\Users\Administrator\Desktop\聚酰胺方程式.jpg"/>
                    <pic:cNvPicPr>
                      <a:picLocks noChangeAspect="1"/>
                    </pic:cNvPicPr>
                  </pic:nvPicPr>
                  <pic:blipFill>
                    <a:blip r:embed="rId23"/>
                    <a:srcRect l="7262" t="41074" r="9149" b="43327"/>
                    <a:stretch>
                      <a:fillRect/>
                    </a:stretch>
                  </pic:blipFill>
                  <pic:spPr>
                    <a:xfrm>
                      <a:off x="0" y="0"/>
                      <a:ext cx="4413250" cy="658495"/>
                    </a:xfrm>
                    <a:prstGeom prst="rect">
                      <a:avLst/>
                    </a:prstGeom>
                    <a:noFill/>
                    <a:ln>
                      <a:noFill/>
                    </a:ln>
                  </pic:spPr>
                </pic:pic>
              </a:graphicData>
            </a:graphic>
          </wp:inline>
        </w:drawing>
      </w:r>
    </w:p>
    <w:p>
      <w:pPr>
        <w:adjustRightInd w:val="0"/>
        <w:spacing w:before="78" w:beforeLines="25" w:after="78" w:afterLines="25" w:line="360" w:lineRule="auto"/>
        <w:outlineLvl w:val="3"/>
        <w:rPr>
          <w:rFonts w:ascii="Times New Roman" w:hAnsi="Times New Roman" w:cs="Times New Roman"/>
          <w:b/>
          <w:bCs/>
          <w:color w:val="auto"/>
          <w:sz w:val="24"/>
          <w:szCs w:val="24"/>
        </w:rPr>
      </w:pPr>
      <w:r>
        <w:rPr>
          <w:rFonts w:hint="default" w:ascii="Times New Roman" w:hAnsi="Times New Roman" w:cs="Times New Roman"/>
          <w:b/>
          <w:bCs/>
          <w:color w:val="auto"/>
          <w:sz w:val="24"/>
          <w:szCs w:val="24"/>
        </w:rPr>
        <w:t>3.</w:t>
      </w:r>
      <w:r>
        <w:rPr>
          <w:rFonts w:hint="eastAsia" w:ascii="Times New Roman" w:hAnsi="Times New Roman" w:cs="Times New Roman"/>
          <w:b/>
          <w:bCs/>
          <w:color w:val="auto"/>
          <w:sz w:val="24"/>
          <w:szCs w:val="24"/>
          <w:lang w:eastAsia="zh-CN"/>
        </w:rPr>
        <w:t>6</w:t>
      </w:r>
      <w:r>
        <w:rPr>
          <w:rFonts w:hint="default" w:ascii="Times New Roman" w:hAnsi="Times New Roman" w:cs="Times New Roman"/>
          <w:b/>
          <w:bCs/>
          <w:color w:val="auto"/>
          <w:sz w:val="24"/>
          <w:szCs w:val="24"/>
        </w:rPr>
        <w:t>.4.4</w:t>
      </w:r>
      <w:r>
        <w:rPr>
          <w:rFonts w:ascii="Times New Roman" w:hAnsi="Times New Roman" w:cs="Times New Roman"/>
          <w:b/>
          <w:bCs/>
          <w:color w:val="auto"/>
          <w:sz w:val="24"/>
          <w:szCs w:val="24"/>
        </w:rPr>
        <w:t>产排污节点</w:t>
      </w:r>
    </w:p>
    <w:p>
      <w:pPr>
        <w:spacing w:line="360" w:lineRule="auto"/>
        <w:ind w:firstLine="420" w:firstLineChars="200"/>
        <w:rPr>
          <w:rFonts w:ascii="Times New Roman" w:hAnsi="Times New Roman" w:cs="Times New Roman"/>
          <w:color w:val="auto"/>
        </w:rPr>
      </w:pPr>
      <w:r>
        <w:rPr>
          <w:rFonts w:ascii="Times New Roman" w:hAnsi="Times New Roman" w:cs="Times New Roman"/>
          <w:color w:val="auto"/>
        </w:rPr>
        <w:t>本项目聚酰胺固化剂生产过程中二聚酸为粘稠态无气味物质，加热过程不挥发。聚酰胺生产过程的废气产污环节主要为二乙烯三胺投料、反应冷凝过程及产品包装过程；废水产生环节为真空脱水等。因反应过程二乙烯三胺气味可能回冲，因此，拟在二乙烯三胺高位槽排气孔、反应釜冷凝器及自动包装机出气孔设密闭的管道收集系统，将生产过程中产生的废气全部导入废气处理装置处理。生产过程中主要产排污节点见表</w:t>
      </w:r>
      <w:r>
        <w:rPr>
          <w:rFonts w:hint="eastAsia" w:ascii="Times New Roman" w:hAnsi="Times New Roman" w:cs="Times New Roman"/>
          <w:color w:val="auto"/>
          <w:lang w:eastAsia="zh-CN"/>
        </w:rPr>
        <w:t>3</w:t>
      </w:r>
      <w:r>
        <w:rPr>
          <w:rFonts w:hint="eastAsia" w:ascii="Times New Roman" w:hAnsi="Times New Roman" w:cs="Times New Roman"/>
          <w:color w:val="auto"/>
          <w:lang w:val="en-US" w:eastAsia="zh-CN"/>
        </w:rPr>
        <w:t>.6</w:t>
      </w:r>
      <w:r>
        <w:rPr>
          <w:rFonts w:ascii="Times New Roman" w:hAnsi="Times New Roman" w:cs="Times New Roman"/>
          <w:color w:val="auto"/>
        </w:rPr>
        <w:t>-4。</w:t>
      </w:r>
    </w:p>
    <w:p>
      <w:pPr>
        <w:numPr>
          <w:ilvl w:val="-1"/>
          <w:numId w:val="0"/>
        </w:numPr>
        <w:adjustRightInd w:val="0"/>
        <w:snapToGrid w:val="0"/>
        <w:spacing w:line="240" w:lineRule="auto"/>
        <w:ind w:left="0" w:firstLine="0"/>
        <w:jc w:val="center"/>
        <w:rPr>
          <w:rFonts w:ascii="Times New Roman" w:hAnsi="Times New Roman" w:eastAsia="宋体" w:cs="Times New Roman"/>
          <w:b/>
          <w:bCs/>
          <w:color w:val="auto"/>
        </w:rPr>
      </w:pPr>
      <w:r>
        <w:rPr>
          <w:rFonts w:hint="default" w:ascii="Times New Roman" w:hAnsi="Times New Roman" w:eastAsia="宋体" w:cs="Times New Roman"/>
          <w:b/>
          <w:bCs/>
          <w:color w:val="auto"/>
          <w:lang w:val="en-US" w:eastAsia="zh-CN"/>
        </w:rPr>
        <w:t>表3.6-4</w:t>
      </w:r>
      <w:r>
        <w:rPr>
          <w:rFonts w:ascii="Times New Roman" w:hAnsi="Times New Roman" w:eastAsia="宋体" w:cs="Times New Roman"/>
          <w:b/>
          <w:bCs/>
          <w:color w:val="auto"/>
        </w:rPr>
        <w:t xml:space="preserve"> 聚酰胺固化剂生产排污节点表</w:t>
      </w:r>
    </w:p>
    <w:tbl>
      <w:tblPr>
        <w:tblStyle w:val="28"/>
        <w:tblW w:w="8876" w:type="dxa"/>
        <w:tblInd w:w="93"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41"/>
        <w:gridCol w:w="996"/>
        <w:gridCol w:w="1531"/>
        <w:gridCol w:w="1408"/>
        <w:gridCol w:w="1086"/>
        <w:gridCol w:w="281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6" w:hRule="atLeast"/>
          <w:tblHeader/>
        </w:trPr>
        <w:tc>
          <w:tcPr>
            <w:tcW w:w="1041" w:type="dxa"/>
            <w:tcBorders>
              <w:tl2br w:val="nil"/>
              <w:tr2bl w:val="nil"/>
            </w:tcBorders>
            <w:vAlign w:val="center"/>
          </w:tcPr>
          <w:p>
            <w:pPr>
              <w:jc w:val="center"/>
              <w:rPr>
                <w:rFonts w:ascii="Times New Roman" w:hAnsi="Times New Roman" w:cs="Times New Roman"/>
                <w:b/>
                <w:bCs/>
                <w:color w:val="auto"/>
                <w:szCs w:val="21"/>
              </w:rPr>
            </w:pPr>
            <w:r>
              <w:rPr>
                <w:rFonts w:ascii="Times New Roman" w:hAnsi="Times New Roman" w:cs="Times New Roman"/>
                <w:b/>
                <w:bCs/>
                <w:color w:val="auto"/>
                <w:szCs w:val="21"/>
              </w:rPr>
              <w:t>污染物类别</w:t>
            </w:r>
          </w:p>
        </w:tc>
        <w:tc>
          <w:tcPr>
            <w:tcW w:w="996" w:type="dxa"/>
            <w:tcBorders>
              <w:tl2br w:val="nil"/>
              <w:tr2bl w:val="nil"/>
            </w:tcBorders>
            <w:vAlign w:val="center"/>
          </w:tcPr>
          <w:p>
            <w:pPr>
              <w:jc w:val="center"/>
              <w:rPr>
                <w:rFonts w:ascii="Times New Roman" w:hAnsi="Times New Roman" w:cs="Times New Roman"/>
                <w:b/>
                <w:bCs/>
                <w:color w:val="auto"/>
                <w:szCs w:val="21"/>
              </w:rPr>
            </w:pPr>
            <w:r>
              <w:rPr>
                <w:rFonts w:ascii="Times New Roman" w:hAnsi="Times New Roman" w:cs="Times New Roman"/>
                <w:b/>
                <w:bCs/>
                <w:color w:val="auto"/>
                <w:szCs w:val="21"/>
              </w:rPr>
              <w:t>序号</w:t>
            </w:r>
          </w:p>
        </w:tc>
        <w:tc>
          <w:tcPr>
            <w:tcW w:w="1531" w:type="dxa"/>
            <w:tcBorders>
              <w:tl2br w:val="nil"/>
              <w:tr2bl w:val="nil"/>
            </w:tcBorders>
            <w:vAlign w:val="center"/>
          </w:tcPr>
          <w:p>
            <w:pPr>
              <w:jc w:val="center"/>
              <w:rPr>
                <w:rFonts w:ascii="Times New Roman" w:hAnsi="Times New Roman" w:cs="Times New Roman"/>
                <w:b/>
                <w:bCs/>
                <w:color w:val="auto"/>
                <w:szCs w:val="21"/>
              </w:rPr>
            </w:pPr>
            <w:r>
              <w:rPr>
                <w:rFonts w:ascii="Times New Roman" w:hAnsi="Times New Roman" w:cs="Times New Roman"/>
                <w:b/>
                <w:bCs/>
                <w:color w:val="auto"/>
                <w:szCs w:val="21"/>
              </w:rPr>
              <w:t>产排污环节</w:t>
            </w:r>
          </w:p>
        </w:tc>
        <w:tc>
          <w:tcPr>
            <w:tcW w:w="1408" w:type="dxa"/>
            <w:tcBorders>
              <w:tl2br w:val="nil"/>
              <w:tr2bl w:val="nil"/>
            </w:tcBorders>
            <w:vAlign w:val="center"/>
          </w:tcPr>
          <w:p>
            <w:pPr>
              <w:ind w:left="-105" w:leftChars="-50" w:right="-105" w:rightChars="-50"/>
              <w:jc w:val="center"/>
              <w:rPr>
                <w:rFonts w:ascii="Times New Roman" w:hAnsi="Times New Roman" w:cs="Times New Roman"/>
                <w:b/>
                <w:bCs/>
                <w:color w:val="auto"/>
                <w:szCs w:val="21"/>
              </w:rPr>
            </w:pPr>
            <w:r>
              <w:rPr>
                <w:rFonts w:ascii="Times New Roman" w:hAnsi="Times New Roman" w:cs="Times New Roman"/>
                <w:b/>
                <w:bCs/>
                <w:color w:val="auto"/>
                <w:szCs w:val="21"/>
              </w:rPr>
              <w:t>主要污染物</w:t>
            </w:r>
          </w:p>
        </w:tc>
        <w:tc>
          <w:tcPr>
            <w:tcW w:w="1086" w:type="dxa"/>
            <w:tcBorders>
              <w:tl2br w:val="nil"/>
              <w:tr2bl w:val="nil"/>
            </w:tcBorders>
            <w:vAlign w:val="center"/>
          </w:tcPr>
          <w:p>
            <w:pPr>
              <w:jc w:val="center"/>
              <w:rPr>
                <w:rFonts w:ascii="Times New Roman" w:hAnsi="Times New Roman" w:cs="Times New Roman"/>
                <w:b/>
                <w:bCs/>
                <w:color w:val="auto"/>
                <w:szCs w:val="21"/>
              </w:rPr>
            </w:pPr>
            <w:r>
              <w:rPr>
                <w:rFonts w:ascii="Times New Roman" w:hAnsi="Times New Roman" w:cs="Times New Roman"/>
                <w:b/>
                <w:bCs/>
                <w:color w:val="auto"/>
                <w:szCs w:val="21"/>
              </w:rPr>
              <w:t>产生特点</w:t>
            </w:r>
          </w:p>
        </w:tc>
        <w:tc>
          <w:tcPr>
            <w:tcW w:w="2814" w:type="dxa"/>
            <w:tcBorders>
              <w:tl2br w:val="nil"/>
              <w:tr2bl w:val="nil"/>
            </w:tcBorders>
            <w:vAlign w:val="center"/>
          </w:tcPr>
          <w:p>
            <w:pPr>
              <w:jc w:val="center"/>
              <w:rPr>
                <w:rFonts w:ascii="Times New Roman" w:hAnsi="Times New Roman" w:cs="Times New Roman"/>
                <w:b/>
                <w:bCs/>
                <w:color w:val="auto"/>
                <w:szCs w:val="21"/>
              </w:rPr>
            </w:pPr>
            <w:r>
              <w:rPr>
                <w:rFonts w:ascii="Times New Roman" w:hAnsi="Times New Roman" w:cs="Times New Roman"/>
                <w:b/>
                <w:bCs/>
                <w:color w:val="auto"/>
                <w:szCs w:val="21"/>
              </w:rPr>
              <w:t>排放方式或处理方式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1041" w:type="dxa"/>
            <w:vMerge w:val="restar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废气</w:t>
            </w:r>
          </w:p>
        </w:tc>
        <w:tc>
          <w:tcPr>
            <w:tcW w:w="996"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G5-1</w:t>
            </w:r>
          </w:p>
        </w:tc>
        <w:tc>
          <w:tcPr>
            <w:tcW w:w="1531"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二乙烯三胺高位槽</w:t>
            </w:r>
          </w:p>
        </w:tc>
        <w:tc>
          <w:tcPr>
            <w:tcW w:w="1408"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氨气、VOCs（二乙烯三胺）</w:t>
            </w:r>
          </w:p>
        </w:tc>
        <w:tc>
          <w:tcPr>
            <w:tcW w:w="1086" w:type="dxa"/>
            <w:tcBorders>
              <w:tl2br w:val="nil"/>
              <w:tr2bl w:val="nil"/>
            </w:tcBorders>
            <w:vAlign w:val="center"/>
          </w:tcPr>
          <w:p>
            <w:pPr>
              <w:ind w:left="-105" w:leftChars="-50" w:right="-105" w:rightChars="-50"/>
              <w:jc w:val="center"/>
              <w:rPr>
                <w:rFonts w:ascii="Times New Roman" w:hAnsi="Times New Roman" w:cs="Times New Roman"/>
                <w:color w:val="auto"/>
                <w:szCs w:val="21"/>
              </w:rPr>
            </w:pPr>
            <w:r>
              <w:rPr>
                <w:rFonts w:ascii="Times New Roman" w:hAnsi="Times New Roman" w:cs="Times New Roman"/>
                <w:color w:val="auto"/>
                <w:szCs w:val="21"/>
              </w:rPr>
              <w:t>生产时间练连续</w:t>
            </w:r>
          </w:p>
        </w:tc>
        <w:tc>
          <w:tcPr>
            <w:tcW w:w="2814" w:type="dxa"/>
            <w:vMerge w:val="restar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强制冷凝+水吸收+酸吸收+</w:t>
            </w:r>
            <w:r>
              <w:rPr>
                <w:rFonts w:hint="eastAsia" w:ascii="Times New Roman" w:hAnsi="Times New Roman" w:cs="Times New Roman"/>
                <w:color w:val="auto"/>
                <w:szCs w:val="21"/>
                <w:lang w:val="en-US" w:eastAsia="zh-CN"/>
              </w:rPr>
              <w:t>酸</w:t>
            </w:r>
            <w:r>
              <w:rPr>
                <w:rFonts w:ascii="Times New Roman" w:hAnsi="Times New Roman" w:cs="Times New Roman"/>
                <w:color w:val="auto"/>
                <w:szCs w:val="21"/>
              </w:rPr>
              <w:t>吸收+除雾板+</w:t>
            </w:r>
            <w:r>
              <w:rPr>
                <w:rFonts w:hint="eastAsia" w:ascii="Times New Roman" w:hAnsi="Times New Roman" w:cs="Times New Roman"/>
                <w:color w:val="auto"/>
                <w:szCs w:val="21"/>
                <w:lang w:val="en-US" w:eastAsia="zh-CN"/>
              </w:rPr>
              <w:t>酸吸收+活性炭吸附+</w:t>
            </w:r>
            <w:r>
              <w:rPr>
                <w:rFonts w:ascii="Times New Roman" w:hAnsi="Times New Roman" w:cs="Times New Roman"/>
                <w:color w:val="auto"/>
                <w:szCs w:val="21"/>
              </w:rPr>
              <w:t>30m排气筒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1041" w:type="dxa"/>
            <w:vMerge w:val="continue"/>
            <w:tcBorders>
              <w:tl2br w:val="nil"/>
              <w:tr2bl w:val="nil"/>
            </w:tcBorders>
            <w:vAlign w:val="center"/>
          </w:tcPr>
          <w:p>
            <w:pPr>
              <w:jc w:val="center"/>
              <w:rPr>
                <w:rFonts w:ascii="Times New Roman" w:hAnsi="Times New Roman" w:cs="Times New Roman"/>
                <w:color w:val="auto"/>
                <w:szCs w:val="21"/>
              </w:rPr>
            </w:pPr>
          </w:p>
        </w:tc>
        <w:tc>
          <w:tcPr>
            <w:tcW w:w="996"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G5-2</w:t>
            </w:r>
          </w:p>
        </w:tc>
        <w:tc>
          <w:tcPr>
            <w:tcW w:w="1531"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冷凝过程不凝气（（含真空尾气））</w:t>
            </w:r>
          </w:p>
        </w:tc>
        <w:tc>
          <w:tcPr>
            <w:tcW w:w="1408"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VOCs</w:t>
            </w:r>
          </w:p>
        </w:tc>
        <w:tc>
          <w:tcPr>
            <w:tcW w:w="1086" w:type="dxa"/>
            <w:tcBorders>
              <w:tl2br w:val="nil"/>
              <w:tr2bl w:val="nil"/>
            </w:tcBorders>
            <w:vAlign w:val="center"/>
          </w:tcPr>
          <w:p>
            <w:pPr>
              <w:ind w:left="-105" w:leftChars="-50" w:right="-105" w:rightChars="-50"/>
              <w:jc w:val="center"/>
              <w:rPr>
                <w:rFonts w:ascii="Times New Roman" w:hAnsi="Times New Roman" w:cs="Times New Roman"/>
                <w:color w:val="auto"/>
                <w:szCs w:val="21"/>
              </w:rPr>
            </w:pPr>
            <w:r>
              <w:rPr>
                <w:rFonts w:ascii="Times New Roman" w:hAnsi="Times New Roman" w:cs="Times New Roman"/>
                <w:color w:val="auto"/>
                <w:szCs w:val="21"/>
              </w:rPr>
              <w:t>生产时间练连续</w:t>
            </w:r>
          </w:p>
        </w:tc>
        <w:tc>
          <w:tcPr>
            <w:tcW w:w="2814" w:type="dxa"/>
            <w:vMerge w:val="continue"/>
            <w:tcBorders>
              <w:tl2br w:val="nil"/>
              <w:tr2bl w:val="nil"/>
            </w:tcBorders>
            <w:vAlign w:val="center"/>
          </w:tcPr>
          <w:p>
            <w:pPr>
              <w:jc w:val="center"/>
              <w:rPr>
                <w:rFonts w:ascii="Times New Roman" w:hAnsi="Times New Roman"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1041" w:type="dxa"/>
            <w:vMerge w:val="continue"/>
            <w:tcBorders>
              <w:tl2br w:val="nil"/>
              <w:tr2bl w:val="nil"/>
            </w:tcBorders>
            <w:vAlign w:val="center"/>
          </w:tcPr>
          <w:p>
            <w:pPr>
              <w:jc w:val="center"/>
              <w:rPr>
                <w:rFonts w:ascii="Times New Roman" w:hAnsi="Times New Roman" w:cs="Times New Roman"/>
                <w:color w:val="auto"/>
                <w:szCs w:val="21"/>
              </w:rPr>
            </w:pPr>
          </w:p>
        </w:tc>
        <w:tc>
          <w:tcPr>
            <w:tcW w:w="996"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G5-3</w:t>
            </w:r>
          </w:p>
        </w:tc>
        <w:tc>
          <w:tcPr>
            <w:tcW w:w="1531"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自动包装机</w:t>
            </w:r>
          </w:p>
        </w:tc>
        <w:tc>
          <w:tcPr>
            <w:tcW w:w="1408"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VOCs</w:t>
            </w:r>
          </w:p>
        </w:tc>
        <w:tc>
          <w:tcPr>
            <w:tcW w:w="1086" w:type="dxa"/>
            <w:tcBorders>
              <w:tl2br w:val="nil"/>
              <w:tr2bl w:val="nil"/>
            </w:tcBorders>
            <w:vAlign w:val="center"/>
          </w:tcPr>
          <w:p>
            <w:pPr>
              <w:ind w:left="-105" w:leftChars="-50" w:right="-105" w:rightChars="-50"/>
              <w:jc w:val="center"/>
              <w:rPr>
                <w:rFonts w:ascii="Times New Roman" w:hAnsi="Times New Roman" w:cs="Times New Roman"/>
                <w:color w:val="auto"/>
                <w:szCs w:val="21"/>
              </w:rPr>
            </w:pPr>
            <w:r>
              <w:rPr>
                <w:rFonts w:ascii="Times New Roman" w:hAnsi="Times New Roman" w:cs="Times New Roman"/>
                <w:color w:val="auto"/>
                <w:szCs w:val="21"/>
              </w:rPr>
              <w:t>生产时间练连续</w:t>
            </w:r>
          </w:p>
        </w:tc>
        <w:tc>
          <w:tcPr>
            <w:tcW w:w="2814" w:type="dxa"/>
            <w:vMerge w:val="continue"/>
            <w:tcBorders>
              <w:tl2br w:val="nil"/>
              <w:tr2bl w:val="nil"/>
            </w:tcBorders>
            <w:vAlign w:val="center"/>
          </w:tcPr>
          <w:p>
            <w:pPr>
              <w:jc w:val="center"/>
              <w:rPr>
                <w:rFonts w:ascii="Times New Roman" w:hAnsi="Times New Roman"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1041"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废水</w:t>
            </w:r>
          </w:p>
        </w:tc>
        <w:tc>
          <w:tcPr>
            <w:tcW w:w="996"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W5-1</w:t>
            </w:r>
          </w:p>
        </w:tc>
        <w:tc>
          <w:tcPr>
            <w:tcW w:w="1531"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真空脱水</w:t>
            </w:r>
          </w:p>
        </w:tc>
        <w:tc>
          <w:tcPr>
            <w:tcW w:w="1408"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COD、氨氮</w:t>
            </w:r>
          </w:p>
        </w:tc>
        <w:tc>
          <w:tcPr>
            <w:tcW w:w="1086"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间歇</w:t>
            </w:r>
          </w:p>
        </w:tc>
        <w:tc>
          <w:tcPr>
            <w:tcW w:w="2814"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进入厂内污水站处理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1041"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固废</w:t>
            </w:r>
          </w:p>
        </w:tc>
        <w:tc>
          <w:tcPr>
            <w:tcW w:w="996"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S5-1</w:t>
            </w:r>
          </w:p>
        </w:tc>
        <w:tc>
          <w:tcPr>
            <w:tcW w:w="1531"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投料过程</w:t>
            </w:r>
          </w:p>
        </w:tc>
        <w:tc>
          <w:tcPr>
            <w:tcW w:w="1408"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废包装桶</w:t>
            </w:r>
          </w:p>
        </w:tc>
        <w:tc>
          <w:tcPr>
            <w:tcW w:w="1086"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连续生产，定期处置</w:t>
            </w:r>
          </w:p>
        </w:tc>
        <w:tc>
          <w:tcPr>
            <w:tcW w:w="2814" w:type="dxa"/>
            <w:tcBorders>
              <w:tl2br w:val="nil"/>
              <w:tr2bl w:val="nil"/>
            </w:tcBorders>
            <w:vAlign w:val="center"/>
          </w:tcPr>
          <w:p>
            <w:pPr>
              <w:jc w:val="center"/>
              <w:rPr>
                <w:rFonts w:ascii="Times New Roman" w:hAnsi="Times New Roman" w:cs="Times New Roman"/>
                <w:color w:val="auto"/>
                <w:szCs w:val="21"/>
              </w:rPr>
            </w:pPr>
            <w:r>
              <w:rPr>
                <w:rFonts w:hint="eastAsia" w:ascii="Times New Roman" w:hAnsi="Times New Roman" w:cs="Times New Roman"/>
                <w:color w:val="auto"/>
                <w:szCs w:val="21"/>
                <w:lang w:val="en-US" w:eastAsia="zh-CN"/>
              </w:rPr>
              <w:t>湖南瀚洋环保科技有限公司</w:t>
            </w:r>
            <w:r>
              <w:rPr>
                <w:rFonts w:ascii="Times New Roman" w:hAnsi="Times New Roman" w:cs="Times New Roman"/>
                <w:color w:val="auto"/>
                <w:szCs w:val="21"/>
              </w:rPr>
              <w:t>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1041"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噪声</w:t>
            </w:r>
          </w:p>
        </w:tc>
        <w:tc>
          <w:tcPr>
            <w:tcW w:w="996"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N</w:t>
            </w:r>
          </w:p>
        </w:tc>
        <w:tc>
          <w:tcPr>
            <w:tcW w:w="1531"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设备运行</w:t>
            </w:r>
          </w:p>
        </w:tc>
        <w:tc>
          <w:tcPr>
            <w:tcW w:w="1408"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噪声</w:t>
            </w:r>
          </w:p>
        </w:tc>
        <w:tc>
          <w:tcPr>
            <w:tcW w:w="1086"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生产时间连续</w:t>
            </w:r>
          </w:p>
        </w:tc>
        <w:tc>
          <w:tcPr>
            <w:tcW w:w="2814" w:type="dxa"/>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基础减振，厂房隔声等</w:t>
            </w:r>
          </w:p>
        </w:tc>
      </w:tr>
    </w:tbl>
    <w:p>
      <w:pPr>
        <w:adjustRightInd w:val="0"/>
        <w:spacing w:before="78" w:beforeLines="25" w:after="78" w:afterLines="25" w:line="360" w:lineRule="auto"/>
        <w:outlineLvl w:val="2"/>
        <w:rPr>
          <w:rFonts w:ascii="Times New Roman" w:hAnsi="Times New Roman" w:cs="Times New Roman"/>
          <w:b/>
          <w:color w:val="auto"/>
          <w:sz w:val="28"/>
          <w:szCs w:val="28"/>
        </w:rPr>
      </w:pPr>
      <w:bookmarkStart w:id="32" w:name="_Toc28139"/>
      <w:r>
        <w:rPr>
          <w:rFonts w:hint="default" w:ascii="Times New Roman" w:hAnsi="Times New Roman" w:cs="Times New Roman"/>
          <w:b/>
          <w:color w:val="auto"/>
          <w:sz w:val="28"/>
          <w:szCs w:val="28"/>
        </w:rPr>
        <w:t>3.</w:t>
      </w:r>
      <w:r>
        <w:rPr>
          <w:rFonts w:hint="eastAsia" w:ascii="Times New Roman" w:hAnsi="Times New Roman" w:cs="Times New Roman"/>
          <w:b/>
          <w:color w:val="auto"/>
          <w:sz w:val="28"/>
          <w:szCs w:val="28"/>
          <w:lang w:eastAsia="zh-CN"/>
        </w:rPr>
        <w:t>6</w:t>
      </w:r>
      <w:r>
        <w:rPr>
          <w:rFonts w:hint="default" w:ascii="Times New Roman" w:hAnsi="Times New Roman" w:cs="Times New Roman"/>
          <w:b/>
          <w:color w:val="auto"/>
          <w:sz w:val="28"/>
          <w:szCs w:val="28"/>
        </w:rPr>
        <w:t>.5</w:t>
      </w:r>
      <w:r>
        <w:rPr>
          <w:rFonts w:ascii="Times New Roman" w:hAnsi="Times New Roman" w:cs="Times New Roman"/>
          <w:b/>
          <w:color w:val="auto"/>
          <w:sz w:val="28"/>
          <w:szCs w:val="28"/>
        </w:rPr>
        <w:t>实验室产污环节</w:t>
      </w:r>
      <w:bookmarkEnd w:id="32"/>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项目实验内容主要为滴定实验，实验过程简单，使用的药剂简单且量少。经检测合格后的产品回到产品中。实验过程产生的污染物主要为实验室设备清洗废水、少量无组织挥发的盐酸及乙醇以及废试剂瓶。</w:t>
      </w:r>
    </w:p>
    <w:p>
      <w:pPr>
        <w:rPr>
          <w:rFonts w:ascii="Times New Roman" w:hAnsi="Times New Roman" w:cs="Times New Roman"/>
          <w:color w:val="auto"/>
        </w:rPr>
      </w:pPr>
      <w:bookmarkStart w:id="33" w:name="_Toc85120878"/>
    </w:p>
    <w:p>
      <w:pPr>
        <w:spacing w:line="360" w:lineRule="auto"/>
        <w:outlineLvl w:val="1"/>
        <w:rPr>
          <w:rFonts w:ascii="Times New Roman" w:hAnsi="Times New Roman" w:cs="Times New Roman"/>
          <w:b/>
          <w:color w:val="auto"/>
          <w:sz w:val="30"/>
          <w:szCs w:val="30"/>
        </w:rPr>
      </w:pPr>
      <w:bookmarkStart w:id="34" w:name="_Toc10320"/>
      <w:r>
        <w:rPr>
          <w:rFonts w:hint="default" w:ascii="Times New Roman" w:hAnsi="Times New Roman" w:cs="Times New Roman"/>
          <w:b/>
          <w:color w:val="auto"/>
          <w:sz w:val="30"/>
          <w:szCs w:val="30"/>
        </w:rPr>
        <w:t>3.</w:t>
      </w:r>
      <w:r>
        <w:rPr>
          <w:rFonts w:hint="eastAsia" w:ascii="Times New Roman" w:hAnsi="Times New Roman" w:cs="Times New Roman"/>
          <w:b/>
          <w:color w:val="auto"/>
          <w:sz w:val="30"/>
          <w:szCs w:val="30"/>
          <w:lang w:eastAsia="zh-CN"/>
        </w:rPr>
        <w:t>7</w:t>
      </w:r>
      <w:r>
        <w:rPr>
          <w:rFonts w:hint="default" w:ascii="Times New Roman" w:hAnsi="Times New Roman" w:cs="Times New Roman"/>
          <w:b/>
          <w:color w:val="auto"/>
          <w:sz w:val="30"/>
          <w:szCs w:val="30"/>
        </w:rPr>
        <w:t>项目变动情况</w:t>
      </w:r>
      <w:bookmarkEnd w:id="33"/>
      <w:bookmarkEnd w:id="34"/>
    </w:p>
    <w:p>
      <w:pPr>
        <w:pStyle w:val="41"/>
        <w:spacing w:line="240" w:lineRule="auto"/>
        <w:ind w:firstLine="0" w:firstLineChars="0"/>
        <w:rPr>
          <w:rFonts w:hint="default" w:ascii="Times New Roman" w:hAnsi="Times New Roman" w:cs="Times New Roman"/>
          <w:color w:val="auto"/>
          <w:spacing w:val="10"/>
          <w:kern w:val="24"/>
          <w:szCs w:val="21"/>
        </w:rPr>
      </w:pPr>
    </w:p>
    <w:p>
      <w:pPr>
        <w:pStyle w:val="41"/>
        <w:spacing w:line="240" w:lineRule="auto"/>
        <w:ind w:firstLine="0" w:firstLineChars="0"/>
        <w:rPr>
          <w:rFonts w:hint="default" w:ascii="Times New Roman" w:hAnsi="Times New Roman" w:cs="Times New Roman"/>
          <w:color w:val="auto"/>
          <w:spacing w:val="10"/>
          <w:kern w:val="24"/>
          <w:szCs w:val="21"/>
        </w:rPr>
      </w:pPr>
    </w:p>
    <w:p>
      <w:pPr>
        <w:pStyle w:val="41"/>
        <w:spacing w:line="240" w:lineRule="auto"/>
        <w:ind w:firstLine="0" w:firstLineChars="0"/>
        <w:rPr>
          <w:rFonts w:hint="default" w:ascii="Times New Roman" w:hAnsi="Times New Roman" w:cs="Times New Roman"/>
          <w:color w:val="auto"/>
          <w:spacing w:val="10"/>
          <w:kern w:val="24"/>
          <w:szCs w:val="21"/>
        </w:rPr>
      </w:pPr>
    </w:p>
    <w:p>
      <w:pPr>
        <w:pStyle w:val="41"/>
        <w:spacing w:line="240" w:lineRule="auto"/>
        <w:ind w:firstLine="0" w:firstLineChars="0"/>
        <w:rPr>
          <w:rFonts w:ascii="Times New Roman" w:hAnsi="Times New Roman" w:cs="Times New Roman"/>
          <w:color w:val="auto"/>
          <w:spacing w:val="10"/>
          <w:kern w:val="24"/>
          <w:szCs w:val="21"/>
        </w:rPr>
      </w:pPr>
      <w:r>
        <w:rPr>
          <w:rFonts w:hint="default" w:ascii="Times New Roman" w:hAnsi="Times New Roman" w:cs="Times New Roman"/>
          <w:color w:val="auto"/>
          <w:spacing w:val="10"/>
          <w:kern w:val="24"/>
          <w:szCs w:val="21"/>
        </w:rPr>
        <w:t>表3.</w:t>
      </w:r>
      <w:r>
        <w:rPr>
          <w:rFonts w:hint="eastAsia" w:ascii="Times New Roman" w:hAnsi="Times New Roman" w:cs="Times New Roman"/>
          <w:color w:val="auto"/>
          <w:spacing w:val="10"/>
          <w:kern w:val="24"/>
          <w:szCs w:val="21"/>
          <w:lang w:eastAsia="zh-CN"/>
        </w:rPr>
        <w:t>7</w:t>
      </w:r>
      <w:r>
        <w:rPr>
          <w:rFonts w:hint="default" w:ascii="Times New Roman" w:hAnsi="Times New Roman" w:cs="Times New Roman"/>
          <w:color w:val="auto"/>
          <w:spacing w:val="10"/>
          <w:kern w:val="24"/>
          <w:szCs w:val="21"/>
        </w:rPr>
        <w:t>-1项目变动情况一览表</w:t>
      </w:r>
    </w:p>
    <w:tbl>
      <w:tblPr>
        <w:tblStyle w:val="29"/>
        <w:tblW w:w="829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04"/>
        <w:gridCol w:w="2854"/>
        <w:gridCol w:w="2852"/>
        <w:gridCol w:w="188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tcBorders>
              <w:tl2br w:val="nil"/>
              <w:tr2bl w:val="nil"/>
            </w:tcBorders>
            <w:vAlign w:val="center"/>
          </w:tcPr>
          <w:p>
            <w:pPr>
              <w:jc w:val="center"/>
              <w:rPr>
                <w:rFonts w:ascii="Times New Roman" w:hAnsi="Times New Roman" w:eastAsia="宋体" w:cs="Times New Roman"/>
                <w:bCs/>
                <w:color w:val="auto"/>
                <w:szCs w:val="21"/>
              </w:rPr>
            </w:pPr>
            <w:r>
              <w:rPr>
                <w:rFonts w:hint="default" w:ascii="Times New Roman" w:hAnsi="Times New Roman" w:eastAsia="宋体" w:cs="Times New Roman"/>
                <w:bCs/>
                <w:color w:val="auto"/>
                <w:szCs w:val="21"/>
              </w:rPr>
              <w:t>项目</w:t>
            </w:r>
          </w:p>
        </w:tc>
        <w:tc>
          <w:tcPr>
            <w:tcW w:w="2854" w:type="dxa"/>
            <w:tcBorders>
              <w:tl2br w:val="nil"/>
              <w:tr2bl w:val="nil"/>
            </w:tcBorders>
            <w:vAlign w:val="center"/>
          </w:tcPr>
          <w:p>
            <w:pPr>
              <w:jc w:val="center"/>
              <w:rPr>
                <w:rFonts w:ascii="Times New Roman" w:hAnsi="Times New Roman" w:eastAsia="宋体" w:cs="Times New Roman"/>
                <w:bCs/>
                <w:color w:val="auto"/>
                <w:szCs w:val="21"/>
              </w:rPr>
            </w:pPr>
            <w:r>
              <w:rPr>
                <w:rFonts w:hint="default" w:ascii="Times New Roman" w:hAnsi="Times New Roman" w:eastAsia="宋体" w:cs="Times New Roman"/>
                <w:bCs/>
                <w:color w:val="auto"/>
                <w:szCs w:val="21"/>
              </w:rPr>
              <w:t>环评内容</w:t>
            </w:r>
          </w:p>
        </w:tc>
        <w:tc>
          <w:tcPr>
            <w:tcW w:w="2852" w:type="dxa"/>
            <w:tcBorders>
              <w:tl2br w:val="nil"/>
              <w:tr2bl w:val="nil"/>
            </w:tcBorders>
            <w:vAlign w:val="center"/>
          </w:tcPr>
          <w:p>
            <w:pPr>
              <w:jc w:val="center"/>
              <w:rPr>
                <w:rFonts w:ascii="Times New Roman" w:hAnsi="Times New Roman" w:eastAsia="宋体" w:cs="Times New Roman"/>
                <w:bCs/>
                <w:color w:val="auto"/>
                <w:szCs w:val="21"/>
              </w:rPr>
            </w:pPr>
            <w:r>
              <w:rPr>
                <w:rFonts w:hint="default" w:ascii="Times New Roman" w:hAnsi="Times New Roman" w:eastAsia="宋体" w:cs="Times New Roman"/>
                <w:bCs/>
                <w:color w:val="auto"/>
                <w:szCs w:val="21"/>
              </w:rPr>
              <w:t>实际建设内容</w:t>
            </w:r>
          </w:p>
        </w:tc>
        <w:tc>
          <w:tcPr>
            <w:tcW w:w="1886" w:type="dxa"/>
            <w:tcBorders>
              <w:tl2br w:val="nil"/>
              <w:tr2bl w:val="nil"/>
            </w:tcBorders>
            <w:vAlign w:val="center"/>
          </w:tcPr>
          <w:p>
            <w:pPr>
              <w:jc w:val="center"/>
              <w:rPr>
                <w:rFonts w:ascii="Times New Roman" w:hAnsi="Times New Roman" w:eastAsia="宋体" w:cs="Times New Roman"/>
                <w:bCs/>
                <w:color w:val="auto"/>
                <w:szCs w:val="21"/>
              </w:rPr>
            </w:pPr>
            <w:r>
              <w:rPr>
                <w:rFonts w:hint="default" w:ascii="Times New Roman" w:hAnsi="Times New Roman" w:eastAsia="宋体" w:cs="Times New Roman"/>
                <w:bCs/>
                <w:color w:val="auto"/>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tcBorders>
              <w:tl2br w:val="nil"/>
              <w:tr2bl w:val="nil"/>
            </w:tcBorders>
            <w:vAlign w:val="center"/>
          </w:tcPr>
          <w:p>
            <w:pPr>
              <w:jc w:val="center"/>
              <w:rPr>
                <w:rFonts w:ascii="Times New Roman" w:hAnsi="Times New Roman" w:eastAsia="宋体" w:cs="Times New Roman"/>
                <w:bCs/>
                <w:color w:val="auto"/>
                <w:szCs w:val="21"/>
              </w:rPr>
            </w:pPr>
            <w:r>
              <w:rPr>
                <w:rFonts w:hint="default" w:ascii="Times New Roman" w:hAnsi="Times New Roman" w:eastAsia="宋体" w:cs="Times New Roman"/>
                <w:bCs/>
                <w:color w:val="auto"/>
                <w:szCs w:val="21"/>
              </w:rPr>
              <w:t>性质</w:t>
            </w:r>
          </w:p>
        </w:tc>
        <w:tc>
          <w:tcPr>
            <w:tcW w:w="2854" w:type="dxa"/>
            <w:tcBorders>
              <w:tl2br w:val="nil"/>
              <w:tr2bl w:val="nil"/>
            </w:tcBorders>
            <w:vAlign w:val="center"/>
          </w:tcPr>
          <w:p>
            <w:pPr>
              <w:jc w:val="center"/>
              <w:rPr>
                <w:rFonts w:ascii="Times New Roman" w:hAnsi="Times New Roman" w:eastAsia="宋体" w:cs="Times New Roman"/>
                <w:bCs/>
                <w:color w:val="auto"/>
                <w:szCs w:val="21"/>
              </w:rPr>
            </w:pPr>
            <w:r>
              <w:rPr>
                <w:rFonts w:hint="default" w:ascii="Times New Roman" w:hAnsi="Times New Roman" w:eastAsia="宋体" w:cs="Times New Roman"/>
                <w:bCs/>
                <w:color w:val="auto"/>
                <w:szCs w:val="21"/>
              </w:rPr>
              <w:t>迁扩建</w:t>
            </w:r>
          </w:p>
        </w:tc>
        <w:tc>
          <w:tcPr>
            <w:tcW w:w="2852" w:type="dxa"/>
            <w:tcBorders>
              <w:tl2br w:val="nil"/>
              <w:tr2bl w:val="nil"/>
            </w:tcBorders>
            <w:vAlign w:val="center"/>
          </w:tcPr>
          <w:p>
            <w:pPr>
              <w:jc w:val="center"/>
              <w:rPr>
                <w:rFonts w:ascii="Times New Roman" w:hAnsi="Times New Roman" w:eastAsia="宋体" w:cs="Times New Roman"/>
                <w:bCs/>
                <w:color w:val="auto"/>
                <w:szCs w:val="21"/>
              </w:rPr>
            </w:pPr>
            <w:r>
              <w:rPr>
                <w:rFonts w:hint="default" w:ascii="Times New Roman" w:hAnsi="Times New Roman" w:eastAsia="宋体" w:cs="Times New Roman"/>
                <w:bCs/>
                <w:color w:val="auto"/>
                <w:szCs w:val="21"/>
              </w:rPr>
              <w:t>迁扩建</w:t>
            </w:r>
          </w:p>
        </w:tc>
        <w:tc>
          <w:tcPr>
            <w:tcW w:w="1886" w:type="dxa"/>
            <w:tcBorders>
              <w:tl2br w:val="nil"/>
              <w:tr2bl w:val="nil"/>
            </w:tcBorders>
            <w:vAlign w:val="center"/>
          </w:tcPr>
          <w:p>
            <w:pPr>
              <w:jc w:val="center"/>
              <w:rPr>
                <w:rFonts w:ascii="Times New Roman" w:hAnsi="Times New Roman" w:eastAsia="宋体" w:cs="Times New Roman"/>
                <w:bCs/>
                <w:color w:val="auto"/>
                <w:szCs w:val="21"/>
              </w:rPr>
            </w:pPr>
            <w:r>
              <w:rPr>
                <w:rFonts w:hint="default" w:ascii="Times New Roman" w:hAnsi="Times New Roman" w:eastAsia="宋体" w:cs="Times New Roman"/>
                <w:bCs/>
                <w:color w:val="auto"/>
                <w:szCs w:val="21"/>
              </w:rPr>
              <w:t>无变动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tcBorders>
              <w:tl2br w:val="nil"/>
              <w:tr2bl w:val="nil"/>
            </w:tcBorders>
            <w:vAlign w:val="center"/>
          </w:tcPr>
          <w:p>
            <w:pPr>
              <w:jc w:val="center"/>
              <w:rPr>
                <w:rFonts w:ascii="Times New Roman" w:hAnsi="Times New Roman" w:eastAsia="宋体" w:cs="Times New Roman"/>
                <w:bCs/>
                <w:color w:val="auto"/>
                <w:szCs w:val="21"/>
              </w:rPr>
            </w:pPr>
            <w:r>
              <w:rPr>
                <w:rFonts w:hint="default" w:ascii="Times New Roman" w:hAnsi="Times New Roman" w:eastAsia="宋体" w:cs="Times New Roman"/>
                <w:bCs/>
                <w:color w:val="auto"/>
                <w:szCs w:val="21"/>
              </w:rPr>
              <w:t>规模</w:t>
            </w:r>
          </w:p>
        </w:tc>
        <w:tc>
          <w:tcPr>
            <w:tcW w:w="2854" w:type="dxa"/>
            <w:tcBorders>
              <w:tl2br w:val="nil"/>
              <w:tr2bl w:val="nil"/>
            </w:tcBorders>
            <w:vAlign w:val="center"/>
          </w:tcPr>
          <w:p>
            <w:pPr>
              <w:jc w:val="left"/>
              <w:rPr>
                <w:rFonts w:ascii="Times New Roman" w:hAnsi="Times New Roman" w:eastAsia="宋体" w:cs="Times New Roman"/>
                <w:bCs/>
                <w:color w:val="auto"/>
                <w:szCs w:val="21"/>
              </w:rPr>
            </w:pPr>
            <w:r>
              <w:rPr>
                <w:rFonts w:hint="default" w:ascii="Times New Roman" w:hAnsi="Times New Roman" w:cs="Times New Roman"/>
                <w:bCs/>
                <w:color w:val="auto"/>
                <w:szCs w:val="21"/>
              </w:rPr>
              <w:t>项目产品总规模为12.6kt/a特种胺，共有DMP-30生产线1条、PPA固化剂生产线2条、改性胺固化剂生产线1条、聚酰胺固化剂生产线1条。</w:t>
            </w:r>
          </w:p>
        </w:tc>
        <w:tc>
          <w:tcPr>
            <w:tcW w:w="2852" w:type="dxa"/>
            <w:tcBorders>
              <w:tl2br w:val="nil"/>
              <w:tr2bl w:val="nil"/>
            </w:tcBorders>
            <w:vAlign w:val="center"/>
          </w:tcPr>
          <w:p>
            <w:pPr>
              <w:jc w:val="center"/>
              <w:rPr>
                <w:rFonts w:ascii="Times New Roman" w:hAnsi="Times New Roman" w:eastAsia="宋体" w:cs="Times New Roman"/>
                <w:bCs/>
                <w:color w:val="auto"/>
                <w:szCs w:val="21"/>
              </w:rPr>
            </w:pPr>
            <w:r>
              <w:rPr>
                <w:rFonts w:hint="default" w:ascii="Times New Roman" w:hAnsi="Times New Roman" w:cs="Times New Roman"/>
                <w:bCs/>
                <w:color w:val="auto"/>
                <w:szCs w:val="21"/>
              </w:rPr>
              <w:t>项目产品总规模为12.6kt/a特种胺，共有DMP-30生产线1条、PPA固化剂生产线2条、改性胺固化剂生产线1条、聚酰胺固化剂生产线1条。</w:t>
            </w:r>
          </w:p>
        </w:tc>
        <w:tc>
          <w:tcPr>
            <w:tcW w:w="1886" w:type="dxa"/>
            <w:tcBorders>
              <w:tl2br w:val="nil"/>
              <w:tr2bl w:val="nil"/>
            </w:tcBorders>
            <w:vAlign w:val="center"/>
          </w:tcPr>
          <w:p>
            <w:pPr>
              <w:jc w:val="center"/>
              <w:rPr>
                <w:rFonts w:ascii="Times New Roman" w:hAnsi="Times New Roman" w:eastAsia="宋体" w:cs="Times New Roman"/>
                <w:bCs/>
                <w:color w:val="auto"/>
                <w:szCs w:val="21"/>
              </w:rPr>
            </w:pPr>
            <w:r>
              <w:rPr>
                <w:rFonts w:hint="default" w:ascii="Times New Roman" w:hAnsi="Times New Roman" w:eastAsia="宋体" w:cs="Times New Roman"/>
                <w:bCs/>
                <w:color w:val="auto"/>
                <w:szCs w:val="21"/>
              </w:rPr>
              <w:t>无变动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tcBorders>
              <w:tl2br w:val="nil"/>
              <w:tr2bl w:val="nil"/>
            </w:tcBorders>
            <w:vAlign w:val="center"/>
          </w:tcPr>
          <w:p>
            <w:pPr>
              <w:jc w:val="center"/>
              <w:rPr>
                <w:rFonts w:ascii="Times New Roman" w:hAnsi="Times New Roman" w:eastAsia="宋体" w:cs="Times New Roman"/>
                <w:bCs/>
                <w:color w:val="auto"/>
                <w:szCs w:val="21"/>
              </w:rPr>
            </w:pPr>
            <w:r>
              <w:rPr>
                <w:rFonts w:hint="default" w:ascii="Times New Roman" w:hAnsi="Times New Roman" w:eastAsia="宋体" w:cs="Times New Roman"/>
                <w:bCs/>
                <w:color w:val="auto"/>
                <w:szCs w:val="21"/>
              </w:rPr>
              <w:t>地点</w:t>
            </w:r>
          </w:p>
        </w:tc>
        <w:tc>
          <w:tcPr>
            <w:tcW w:w="2854" w:type="dxa"/>
            <w:tcBorders>
              <w:tl2br w:val="nil"/>
              <w:tr2bl w:val="nil"/>
            </w:tcBorders>
            <w:vAlign w:val="center"/>
          </w:tcPr>
          <w:p>
            <w:pPr>
              <w:jc w:val="center"/>
              <w:rPr>
                <w:rFonts w:ascii="Times New Roman" w:hAnsi="Times New Roman" w:eastAsia="宋体" w:cs="Times New Roman"/>
                <w:bCs/>
                <w:color w:val="auto"/>
                <w:szCs w:val="21"/>
              </w:rPr>
            </w:pPr>
            <w:r>
              <w:rPr>
                <w:rFonts w:hint="default" w:ascii="Times New Roman" w:hAnsi="Times New Roman" w:cs="Times New Roman"/>
                <w:bCs/>
                <w:color w:val="auto"/>
                <w:szCs w:val="21"/>
              </w:rPr>
              <w:t>湖南岳阳绿色化工产业园云溪片区西北角（中心经纬度：东经113.249101052，北纬29.5060111442 ）</w:t>
            </w:r>
          </w:p>
        </w:tc>
        <w:tc>
          <w:tcPr>
            <w:tcW w:w="2852" w:type="dxa"/>
            <w:tcBorders>
              <w:tl2br w:val="nil"/>
              <w:tr2bl w:val="nil"/>
            </w:tcBorders>
            <w:vAlign w:val="center"/>
          </w:tcPr>
          <w:p>
            <w:pPr>
              <w:jc w:val="center"/>
              <w:rPr>
                <w:rFonts w:ascii="Times New Roman" w:hAnsi="Times New Roman" w:eastAsia="宋体" w:cs="Times New Roman"/>
                <w:bCs/>
                <w:color w:val="auto"/>
                <w:szCs w:val="21"/>
              </w:rPr>
            </w:pPr>
            <w:r>
              <w:rPr>
                <w:rFonts w:hint="default" w:ascii="Times New Roman" w:hAnsi="Times New Roman" w:cs="Times New Roman"/>
                <w:bCs/>
                <w:color w:val="auto"/>
                <w:szCs w:val="21"/>
              </w:rPr>
              <w:t>湖南岳阳绿色化工产业园云溪片区西北角（中心经纬度：东经113.249101052，北纬29.5060111442 ）</w:t>
            </w:r>
          </w:p>
        </w:tc>
        <w:tc>
          <w:tcPr>
            <w:tcW w:w="1886" w:type="dxa"/>
            <w:tcBorders>
              <w:tl2br w:val="nil"/>
              <w:tr2bl w:val="nil"/>
            </w:tcBorders>
            <w:vAlign w:val="center"/>
          </w:tcPr>
          <w:p>
            <w:pPr>
              <w:jc w:val="center"/>
              <w:rPr>
                <w:rFonts w:ascii="Times New Roman" w:hAnsi="Times New Roman" w:eastAsia="宋体" w:cs="Times New Roman"/>
                <w:bCs/>
                <w:color w:val="auto"/>
                <w:szCs w:val="21"/>
              </w:rPr>
            </w:pPr>
            <w:r>
              <w:rPr>
                <w:rFonts w:hint="default" w:ascii="Times New Roman" w:hAnsi="Times New Roman" w:eastAsia="宋体" w:cs="Times New Roman"/>
                <w:bCs/>
                <w:color w:val="auto"/>
                <w:szCs w:val="21"/>
              </w:rPr>
              <w:t>无变动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tcBorders>
              <w:tl2br w:val="nil"/>
              <w:tr2bl w:val="nil"/>
            </w:tcBorders>
            <w:vAlign w:val="center"/>
          </w:tcPr>
          <w:p>
            <w:pPr>
              <w:jc w:val="center"/>
              <w:rPr>
                <w:rFonts w:ascii="Times New Roman" w:hAnsi="Times New Roman" w:eastAsia="宋体" w:cs="Times New Roman"/>
                <w:bCs/>
                <w:color w:val="auto"/>
                <w:szCs w:val="21"/>
              </w:rPr>
            </w:pPr>
            <w:r>
              <w:rPr>
                <w:rFonts w:hint="default" w:ascii="Times New Roman" w:hAnsi="Times New Roman" w:eastAsia="宋体" w:cs="Times New Roman"/>
                <w:bCs/>
                <w:color w:val="auto"/>
                <w:szCs w:val="21"/>
              </w:rPr>
              <w:t>工艺</w:t>
            </w:r>
          </w:p>
        </w:tc>
        <w:tc>
          <w:tcPr>
            <w:tcW w:w="2854" w:type="dxa"/>
            <w:tcBorders>
              <w:tl2br w:val="nil"/>
              <w:tr2bl w:val="nil"/>
            </w:tcBorders>
            <w:vAlign w:val="center"/>
          </w:tcPr>
          <w:p>
            <w:pPr>
              <w:numPr>
                <w:ilvl w:val="0"/>
                <w:numId w:val="3"/>
              </w:numPr>
              <w:jc w:val="left"/>
              <w:rPr>
                <w:rFonts w:ascii="Times New Roman" w:hAnsi="Times New Roman" w:cs="Times New Roman"/>
                <w:color w:val="auto"/>
              </w:rPr>
            </w:pPr>
            <w:r>
              <w:rPr>
                <w:rFonts w:ascii="Times New Roman" w:hAnsi="Times New Roman" w:cs="Times New Roman"/>
                <w:color w:val="auto"/>
              </w:rPr>
              <w:t>DMP-30促进剂</w:t>
            </w:r>
            <w:r>
              <w:rPr>
                <w:rFonts w:hint="default" w:ascii="Times New Roman" w:hAnsi="Times New Roman" w:cs="Times New Roman"/>
                <w:color w:val="auto"/>
              </w:rPr>
              <w:t>：甲醛、苯酚和二甲胺-反应+静置+过滤+上层液产品包装-回收+过滤+脱水+产品包装-精馏回收二甲胺+物料冷凝；</w:t>
            </w:r>
          </w:p>
          <w:p>
            <w:pPr>
              <w:pStyle w:val="13"/>
              <w:rPr>
                <w:rFonts w:ascii="Times New Roman" w:hAnsi="Times New Roman" w:cs="Times New Roman"/>
                <w:color w:val="auto"/>
              </w:rPr>
            </w:pPr>
            <w:r>
              <w:rPr>
                <w:rFonts w:hint="default" w:ascii="Times New Roman" w:hAnsi="Times New Roman" w:cs="Times New Roman"/>
                <w:color w:val="auto"/>
              </w:rPr>
              <w:t>2（1）、</w:t>
            </w:r>
            <w:r>
              <w:rPr>
                <w:rFonts w:ascii="Times New Roman" w:hAnsi="Times New Roman" w:cs="Times New Roman"/>
                <w:color w:val="auto"/>
              </w:rPr>
              <w:t>PPA-1固化剂</w:t>
            </w:r>
            <w:r>
              <w:rPr>
                <w:rFonts w:hint="default" w:ascii="Times New Roman" w:hAnsi="Times New Roman" w:cs="Times New Roman"/>
                <w:color w:val="auto"/>
              </w:rPr>
              <w:t>：多聚甲醛、苯酚、乙二胺-反应+混合+过滤工序-检测包装；</w:t>
            </w:r>
          </w:p>
          <w:p>
            <w:pPr>
              <w:pStyle w:val="13"/>
              <w:rPr>
                <w:rFonts w:ascii="Times New Roman" w:hAnsi="Times New Roman" w:cs="Times New Roman"/>
                <w:color w:val="auto"/>
              </w:rPr>
            </w:pPr>
            <w:r>
              <w:rPr>
                <w:rFonts w:hint="default" w:ascii="Times New Roman" w:hAnsi="Times New Roman" w:cs="Times New Roman"/>
                <w:color w:val="auto"/>
              </w:rPr>
              <w:t>2（2）、</w:t>
            </w:r>
            <w:r>
              <w:rPr>
                <w:rFonts w:ascii="Times New Roman" w:hAnsi="Times New Roman" w:cs="Times New Roman"/>
                <w:color w:val="auto"/>
              </w:rPr>
              <w:t>PPA-</w:t>
            </w:r>
            <w:r>
              <w:rPr>
                <w:rFonts w:hint="default" w:ascii="Times New Roman" w:hAnsi="Times New Roman" w:cs="Times New Roman"/>
                <w:color w:val="auto"/>
              </w:rPr>
              <w:t>2</w:t>
            </w:r>
            <w:r>
              <w:rPr>
                <w:rFonts w:ascii="Times New Roman" w:hAnsi="Times New Roman" w:cs="Times New Roman"/>
                <w:color w:val="auto"/>
              </w:rPr>
              <w:t>固化剂</w:t>
            </w:r>
            <w:r>
              <w:rPr>
                <w:rFonts w:hint="default" w:ascii="Times New Roman" w:hAnsi="Times New Roman" w:cs="Times New Roman"/>
                <w:color w:val="auto"/>
              </w:rPr>
              <w:t>：苯酚、乙二胺、己二胺、多乙烯多胺、多聚甲醛-反应+混合+过滤工序-检测包装；</w:t>
            </w:r>
          </w:p>
          <w:p>
            <w:pPr>
              <w:pStyle w:val="13"/>
              <w:rPr>
                <w:rFonts w:ascii="Times New Roman" w:hAnsi="Times New Roman" w:cs="Times New Roman"/>
                <w:color w:val="auto"/>
              </w:rPr>
            </w:pPr>
            <w:r>
              <w:rPr>
                <w:rFonts w:hint="default" w:ascii="Times New Roman" w:hAnsi="Times New Roman" w:cs="Times New Roman"/>
                <w:color w:val="auto"/>
              </w:rPr>
              <w:t>3（1）、593系列改性胺改性胺：苯甲醇、环氧树脂、二乙烯三胺、壬基酚-反应工序-检测包装；</w:t>
            </w:r>
          </w:p>
          <w:p>
            <w:pPr>
              <w:pStyle w:val="13"/>
              <w:rPr>
                <w:rFonts w:ascii="Times New Roman" w:hAnsi="Times New Roman" w:cs="Times New Roman"/>
                <w:color w:val="auto"/>
              </w:rPr>
            </w:pPr>
            <w:r>
              <w:rPr>
                <w:rFonts w:hint="default" w:ascii="Times New Roman" w:hAnsi="Times New Roman" w:cs="Times New Roman"/>
                <w:color w:val="auto"/>
              </w:rPr>
              <w:t>3（2）、693系列改性胺：苯甲醇、环氧树脂、1，3-ABC、聚醚胺、壬基酚-反应工序-检测包装；</w:t>
            </w:r>
          </w:p>
          <w:p>
            <w:pPr>
              <w:pStyle w:val="13"/>
              <w:rPr>
                <w:rFonts w:ascii="Times New Roman" w:hAnsi="Times New Roman" w:cs="Times New Roman"/>
                <w:color w:val="auto"/>
              </w:rPr>
            </w:pPr>
            <w:r>
              <w:rPr>
                <w:rFonts w:hint="default" w:ascii="Times New Roman" w:hAnsi="Times New Roman" w:cs="Times New Roman"/>
                <w:color w:val="auto"/>
              </w:rPr>
              <w:t>4、聚酰胺固化剂：二乙烯三胺、二聚酸-反应工序+脱水-降温检测工序-包装工序。</w:t>
            </w:r>
          </w:p>
          <w:p>
            <w:pPr>
              <w:pStyle w:val="13"/>
              <w:rPr>
                <w:rFonts w:ascii="Times New Roman" w:hAnsi="Times New Roman" w:cs="Times New Roman"/>
                <w:color w:val="auto"/>
              </w:rPr>
            </w:pPr>
          </w:p>
        </w:tc>
        <w:tc>
          <w:tcPr>
            <w:tcW w:w="2852" w:type="dxa"/>
            <w:tcBorders>
              <w:tl2br w:val="nil"/>
              <w:tr2bl w:val="nil"/>
            </w:tcBorders>
            <w:vAlign w:val="center"/>
          </w:tcPr>
          <w:p>
            <w:pPr>
              <w:jc w:val="left"/>
              <w:rPr>
                <w:rFonts w:ascii="Times New Roman" w:hAnsi="Times New Roman" w:cs="Times New Roman"/>
                <w:color w:val="auto"/>
              </w:rPr>
            </w:pPr>
            <w:r>
              <w:rPr>
                <w:rFonts w:hint="default" w:ascii="Times New Roman" w:hAnsi="Times New Roman" w:cs="Times New Roman"/>
                <w:color w:val="auto"/>
              </w:rPr>
              <w:t>1、</w:t>
            </w:r>
            <w:r>
              <w:rPr>
                <w:rFonts w:ascii="Times New Roman" w:hAnsi="Times New Roman" w:cs="Times New Roman"/>
                <w:color w:val="auto"/>
              </w:rPr>
              <w:t>DMP-30促进剂</w:t>
            </w:r>
            <w:r>
              <w:rPr>
                <w:rFonts w:hint="default" w:ascii="Times New Roman" w:hAnsi="Times New Roman" w:cs="Times New Roman"/>
                <w:color w:val="auto"/>
              </w:rPr>
              <w:t>：甲醛、苯酚和二甲胺-反应+静置+过滤+上层液产品包装-回收+过滤+脱水+产品包装-精馏回收二甲胺+物料冷凝；</w:t>
            </w:r>
          </w:p>
          <w:p>
            <w:pPr>
              <w:pStyle w:val="13"/>
              <w:rPr>
                <w:rFonts w:ascii="Times New Roman" w:hAnsi="Times New Roman" w:cs="Times New Roman"/>
                <w:color w:val="auto"/>
              </w:rPr>
            </w:pPr>
            <w:r>
              <w:rPr>
                <w:rFonts w:hint="default" w:ascii="Times New Roman" w:hAnsi="Times New Roman" w:cs="Times New Roman"/>
                <w:color w:val="auto"/>
              </w:rPr>
              <w:t>2（1）、</w:t>
            </w:r>
            <w:r>
              <w:rPr>
                <w:rFonts w:ascii="Times New Roman" w:hAnsi="Times New Roman" w:cs="Times New Roman"/>
                <w:color w:val="auto"/>
              </w:rPr>
              <w:t>PPA-1固化剂</w:t>
            </w:r>
            <w:r>
              <w:rPr>
                <w:rFonts w:hint="default" w:ascii="Times New Roman" w:hAnsi="Times New Roman" w:cs="Times New Roman"/>
                <w:color w:val="auto"/>
              </w:rPr>
              <w:t>：多聚甲醛、苯酚、乙二胺-反应+混合+过滤工序-检测包装；</w:t>
            </w:r>
          </w:p>
          <w:p>
            <w:pPr>
              <w:pStyle w:val="13"/>
              <w:rPr>
                <w:rFonts w:ascii="Times New Roman" w:hAnsi="Times New Roman" w:cs="Times New Roman"/>
                <w:color w:val="auto"/>
              </w:rPr>
            </w:pPr>
            <w:r>
              <w:rPr>
                <w:rFonts w:hint="default" w:ascii="Times New Roman" w:hAnsi="Times New Roman" w:cs="Times New Roman"/>
                <w:color w:val="auto"/>
              </w:rPr>
              <w:t>2（2）、</w:t>
            </w:r>
            <w:r>
              <w:rPr>
                <w:rFonts w:ascii="Times New Roman" w:hAnsi="Times New Roman" w:cs="Times New Roman"/>
                <w:color w:val="auto"/>
              </w:rPr>
              <w:t>PPA-</w:t>
            </w:r>
            <w:r>
              <w:rPr>
                <w:rFonts w:hint="default" w:ascii="Times New Roman" w:hAnsi="Times New Roman" w:cs="Times New Roman"/>
                <w:color w:val="auto"/>
              </w:rPr>
              <w:t>2</w:t>
            </w:r>
            <w:r>
              <w:rPr>
                <w:rFonts w:ascii="Times New Roman" w:hAnsi="Times New Roman" w:cs="Times New Roman"/>
                <w:color w:val="auto"/>
              </w:rPr>
              <w:t>固化剂</w:t>
            </w:r>
            <w:r>
              <w:rPr>
                <w:rFonts w:hint="default" w:ascii="Times New Roman" w:hAnsi="Times New Roman" w:cs="Times New Roman"/>
                <w:color w:val="auto"/>
              </w:rPr>
              <w:t>：苯酚、乙二胺、己二胺、多乙烯多胺、多聚甲醛-反应+混合+过滤工序-检测包装；</w:t>
            </w:r>
          </w:p>
          <w:p>
            <w:pPr>
              <w:pStyle w:val="13"/>
              <w:rPr>
                <w:rFonts w:ascii="Times New Roman" w:hAnsi="Times New Roman" w:cs="Times New Roman"/>
                <w:color w:val="auto"/>
              </w:rPr>
            </w:pPr>
            <w:r>
              <w:rPr>
                <w:rFonts w:hint="default" w:ascii="Times New Roman" w:hAnsi="Times New Roman" w:cs="Times New Roman"/>
                <w:color w:val="auto"/>
              </w:rPr>
              <w:t>3（1）、593系列改性胺改性胺：苯甲醇、环氧树脂、二乙烯三胺、壬基酚-反应工序-检测包装；</w:t>
            </w:r>
          </w:p>
          <w:p>
            <w:pPr>
              <w:pStyle w:val="13"/>
              <w:rPr>
                <w:rFonts w:ascii="Times New Roman" w:hAnsi="Times New Roman" w:cs="Times New Roman"/>
                <w:color w:val="auto"/>
              </w:rPr>
            </w:pPr>
            <w:r>
              <w:rPr>
                <w:rFonts w:hint="default" w:ascii="Times New Roman" w:hAnsi="Times New Roman" w:cs="Times New Roman"/>
                <w:color w:val="auto"/>
              </w:rPr>
              <w:t>3（2）、693系列改性胺：苯甲醇、环氧树脂、1，3-ABC、聚醚胺、壬基酚-反应工序-检测包装；</w:t>
            </w:r>
          </w:p>
          <w:p>
            <w:pPr>
              <w:pStyle w:val="13"/>
              <w:rPr>
                <w:rFonts w:ascii="Times New Roman" w:hAnsi="Times New Roman" w:cs="Times New Roman"/>
                <w:color w:val="auto"/>
              </w:rPr>
            </w:pPr>
            <w:r>
              <w:rPr>
                <w:rFonts w:hint="default" w:ascii="Times New Roman" w:hAnsi="Times New Roman" w:cs="Times New Roman"/>
                <w:color w:val="auto"/>
              </w:rPr>
              <w:t>4、聚酰胺固化剂：二乙烯三胺、二聚酸-反应工序+脱水-降温检测工序-包装工序。</w:t>
            </w:r>
          </w:p>
          <w:p>
            <w:pPr>
              <w:jc w:val="left"/>
              <w:rPr>
                <w:rFonts w:ascii="Times New Roman" w:hAnsi="Times New Roman" w:eastAsia="宋体" w:cs="Times New Roman"/>
                <w:bCs/>
                <w:color w:val="auto"/>
                <w:szCs w:val="21"/>
              </w:rPr>
            </w:pPr>
          </w:p>
        </w:tc>
        <w:tc>
          <w:tcPr>
            <w:tcW w:w="1886" w:type="dxa"/>
            <w:tcBorders>
              <w:tl2br w:val="nil"/>
              <w:tr2bl w:val="nil"/>
            </w:tcBorders>
            <w:vAlign w:val="center"/>
          </w:tcPr>
          <w:p>
            <w:pPr>
              <w:jc w:val="center"/>
              <w:rPr>
                <w:rFonts w:ascii="Times New Roman" w:hAnsi="Times New Roman" w:eastAsia="宋体" w:cs="Times New Roman"/>
                <w:bCs/>
                <w:color w:val="auto"/>
                <w:szCs w:val="21"/>
              </w:rPr>
            </w:pPr>
            <w:r>
              <w:rPr>
                <w:rFonts w:hint="default" w:ascii="Times New Roman" w:hAnsi="Times New Roman" w:eastAsia="宋体" w:cs="Times New Roman"/>
                <w:bCs/>
                <w:color w:val="auto"/>
                <w:szCs w:val="21"/>
              </w:rPr>
              <w:t>无变动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tcBorders>
              <w:tl2br w:val="nil"/>
              <w:tr2bl w:val="nil"/>
            </w:tcBorders>
            <w:vAlign w:val="center"/>
          </w:tcPr>
          <w:p>
            <w:pPr>
              <w:jc w:val="center"/>
              <w:rPr>
                <w:rFonts w:ascii="Times New Roman" w:hAnsi="Times New Roman" w:eastAsia="宋体" w:cs="Times New Roman"/>
                <w:bCs/>
                <w:color w:val="auto"/>
                <w:szCs w:val="21"/>
              </w:rPr>
            </w:pPr>
            <w:r>
              <w:rPr>
                <w:rFonts w:hint="default" w:ascii="Times New Roman" w:hAnsi="Times New Roman" w:eastAsia="宋体" w:cs="Times New Roman"/>
                <w:bCs/>
                <w:color w:val="auto"/>
                <w:szCs w:val="21"/>
              </w:rPr>
              <w:t>平面布局</w:t>
            </w:r>
          </w:p>
        </w:tc>
        <w:tc>
          <w:tcPr>
            <w:tcW w:w="2854" w:type="dxa"/>
            <w:tcBorders>
              <w:tl2br w:val="nil"/>
              <w:tr2bl w:val="nil"/>
            </w:tcBorders>
            <w:vAlign w:val="center"/>
          </w:tcPr>
          <w:p>
            <w:pPr>
              <w:adjustRightInd w:val="0"/>
              <w:snapToGrid w:val="0"/>
              <w:rPr>
                <w:rFonts w:ascii="Times New Roman" w:hAnsi="Times New Roman" w:cs="Times New Roman"/>
                <w:bCs/>
                <w:color w:val="auto"/>
                <w:szCs w:val="21"/>
              </w:rPr>
            </w:pPr>
            <w:r>
              <w:rPr>
                <w:rFonts w:hint="default" w:ascii="Times New Roman" w:hAnsi="Times New Roman" w:cs="Times New Roman"/>
                <w:bCs/>
                <w:color w:val="auto"/>
                <w:szCs w:val="21"/>
              </w:rPr>
              <w:t>本项目平面呈矩形，厂区东部分从北到南依次分布为甲类仓库（含危险废物车间）、丙类仓库、乙类仓库、甲类车间2栋、废水处理站。厂区西部分从北到南依次分布为办公楼、消防泵房、循环水池、动力车间、变配电间、热媒站、空压冷冻、丁类仓库、储罐区、事故水池。</w:t>
            </w:r>
          </w:p>
          <w:p>
            <w:pPr>
              <w:adjustRightInd w:val="0"/>
              <w:snapToGrid w:val="0"/>
              <w:rPr>
                <w:rFonts w:ascii="Times New Roman" w:hAnsi="Times New Roman" w:cs="Times New Roman"/>
                <w:bCs/>
                <w:color w:val="auto"/>
                <w:szCs w:val="21"/>
              </w:rPr>
            </w:pPr>
            <w:r>
              <w:rPr>
                <w:rFonts w:hint="default" w:ascii="Times New Roman" w:hAnsi="Times New Roman" w:cs="Times New Roman"/>
                <w:bCs/>
                <w:color w:val="auto"/>
                <w:szCs w:val="21"/>
              </w:rPr>
              <w:t>本项目拟设置3个排气筒，其中排气筒P1位于甲类仓库东侧；排气筒P2位于废水处理站东北侧，用于排放废水处理站废气；排气筒P3位于热媒站西侧，用于排放导热油炉废气。</w:t>
            </w:r>
          </w:p>
          <w:p>
            <w:pPr>
              <w:adjustRightInd w:val="0"/>
              <w:snapToGrid w:val="0"/>
              <w:rPr>
                <w:rFonts w:ascii="Times New Roman" w:hAnsi="Times New Roman" w:cs="Times New Roman"/>
                <w:color w:val="auto"/>
              </w:rPr>
            </w:pPr>
            <w:r>
              <w:rPr>
                <w:rFonts w:hint="default" w:ascii="Times New Roman" w:hAnsi="Times New Roman" w:cs="Times New Roman"/>
                <w:bCs/>
                <w:color w:val="auto"/>
                <w:szCs w:val="21"/>
              </w:rPr>
              <w:t>初期雨水池位于设置在厂区西北侧，废水处理设施、事故水池池拟设置在厂区南侧，危废暂存间拟设置在甲类仓库东南侧。</w:t>
            </w:r>
          </w:p>
        </w:tc>
        <w:tc>
          <w:tcPr>
            <w:tcW w:w="2852" w:type="dxa"/>
            <w:tcBorders>
              <w:tl2br w:val="nil"/>
              <w:tr2bl w:val="nil"/>
            </w:tcBorders>
            <w:vAlign w:val="center"/>
          </w:tcPr>
          <w:p>
            <w:pPr>
              <w:jc w:val="center"/>
              <w:rPr>
                <w:rFonts w:ascii="Times New Roman" w:hAnsi="Times New Roman" w:cs="Times New Roman"/>
                <w:bCs/>
                <w:color w:val="auto"/>
                <w:szCs w:val="21"/>
              </w:rPr>
            </w:pPr>
            <w:r>
              <w:rPr>
                <w:rFonts w:hint="default" w:ascii="Times New Roman" w:hAnsi="Times New Roman" w:cs="Times New Roman"/>
                <w:bCs/>
                <w:color w:val="auto"/>
                <w:szCs w:val="21"/>
              </w:rPr>
              <w:t>本项目平面呈矩形，厂区东部分从北到南依次分布为甲类仓库（含危险废物车间）、丙类仓库、乙类仓库、甲类车间2栋、废水处理站。厂区西部分从北到南依次分布为办公楼、消防泵房、循环水池、动力车间、变配电间、热媒站、空压冷冻、丁类仓库、储罐区、事故水池。</w:t>
            </w:r>
          </w:p>
          <w:p>
            <w:pPr>
              <w:jc w:val="center"/>
              <w:rPr>
                <w:rFonts w:ascii="Times New Roman" w:hAnsi="Times New Roman" w:cs="Times New Roman"/>
                <w:bCs/>
                <w:color w:val="auto"/>
                <w:szCs w:val="21"/>
              </w:rPr>
            </w:pPr>
            <w:r>
              <w:rPr>
                <w:rFonts w:hint="default" w:ascii="Times New Roman" w:hAnsi="Times New Roman" w:cs="Times New Roman"/>
                <w:bCs/>
                <w:color w:val="auto"/>
                <w:szCs w:val="21"/>
              </w:rPr>
              <w:t>本项目</w:t>
            </w:r>
            <w:r>
              <w:rPr>
                <w:rFonts w:hint="eastAsia" w:ascii="Times New Roman" w:hAnsi="Times New Roman" w:cs="Times New Roman"/>
                <w:bCs/>
                <w:color w:val="auto"/>
                <w:szCs w:val="21"/>
                <w:lang w:val="en-US" w:eastAsia="zh-CN"/>
              </w:rPr>
              <w:t>实际</w:t>
            </w:r>
            <w:r>
              <w:rPr>
                <w:rFonts w:hint="default" w:ascii="Times New Roman" w:hAnsi="Times New Roman" w:cs="Times New Roman"/>
                <w:bCs/>
                <w:color w:val="auto"/>
                <w:szCs w:val="21"/>
              </w:rPr>
              <w:t>设置2个排气筒，其中排气筒P1位于甲类</w:t>
            </w:r>
            <w:r>
              <w:rPr>
                <w:rFonts w:hint="eastAsia" w:ascii="Times New Roman" w:hAnsi="Times New Roman" w:cs="Times New Roman"/>
                <w:bCs/>
                <w:color w:val="auto"/>
                <w:szCs w:val="21"/>
                <w:lang w:val="en-US" w:eastAsia="zh-CN"/>
              </w:rPr>
              <w:t>车间楼顶</w:t>
            </w:r>
            <w:r>
              <w:rPr>
                <w:rFonts w:hint="default" w:ascii="Times New Roman" w:hAnsi="Times New Roman" w:cs="Times New Roman"/>
                <w:bCs/>
                <w:color w:val="auto"/>
                <w:szCs w:val="21"/>
              </w:rPr>
              <w:t>；排气筒P2位于废水处理站</w:t>
            </w:r>
            <w:r>
              <w:rPr>
                <w:rFonts w:hint="eastAsia" w:ascii="Times New Roman" w:hAnsi="Times New Roman" w:cs="Times New Roman"/>
                <w:bCs/>
                <w:color w:val="auto"/>
                <w:szCs w:val="21"/>
                <w:lang w:val="en-US" w:eastAsia="zh-CN"/>
              </w:rPr>
              <w:t>西</w:t>
            </w:r>
            <w:r>
              <w:rPr>
                <w:rFonts w:hint="default" w:ascii="Times New Roman" w:hAnsi="Times New Roman" w:cs="Times New Roman"/>
                <w:bCs/>
                <w:color w:val="auto"/>
                <w:szCs w:val="21"/>
              </w:rPr>
              <w:t>侧，用于排放废水处理站废气。</w:t>
            </w:r>
          </w:p>
          <w:p>
            <w:pPr>
              <w:jc w:val="center"/>
              <w:rPr>
                <w:rFonts w:ascii="Times New Roman" w:hAnsi="Times New Roman" w:eastAsia="宋体" w:cs="Times New Roman"/>
                <w:bCs/>
                <w:color w:val="auto"/>
                <w:szCs w:val="21"/>
              </w:rPr>
            </w:pPr>
            <w:r>
              <w:rPr>
                <w:rFonts w:hint="default" w:ascii="Times New Roman" w:hAnsi="Times New Roman" w:cs="Times New Roman"/>
                <w:bCs/>
                <w:color w:val="auto"/>
                <w:szCs w:val="21"/>
              </w:rPr>
              <w:t>初期雨水池位于设置在厂区西北侧，废水处理设施、事故水池池拟设置在厂区南侧，危废暂存间设置在甲类仓库东南侧。</w:t>
            </w:r>
          </w:p>
        </w:tc>
        <w:tc>
          <w:tcPr>
            <w:tcW w:w="1886" w:type="dxa"/>
            <w:tcBorders>
              <w:tl2br w:val="nil"/>
              <w:tr2bl w:val="nil"/>
            </w:tcBorders>
            <w:vAlign w:val="center"/>
          </w:tcPr>
          <w:p>
            <w:pPr>
              <w:jc w:val="center"/>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bCs/>
                <w:color w:val="auto"/>
                <w:szCs w:val="21"/>
              </w:rPr>
              <w:t>由于天然气导热油炉换为电导热油炉，故</w:t>
            </w:r>
            <w:r>
              <w:rPr>
                <w:rFonts w:hint="default" w:ascii="Times New Roman" w:hAnsi="Times New Roman" w:cs="Times New Roman"/>
                <w:bCs/>
                <w:color w:val="auto"/>
                <w:szCs w:val="21"/>
              </w:rPr>
              <w:t>导热油炉废气排气筒</w:t>
            </w:r>
            <w:r>
              <w:rPr>
                <w:rFonts w:hint="default" w:ascii="Times New Roman" w:hAnsi="Times New Roman" w:eastAsia="宋体" w:cs="Times New Roman"/>
                <w:bCs/>
                <w:color w:val="auto"/>
                <w:szCs w:val="21"/>
              </w:rPr>
              <w:t>P3取消。</w:t>
            </w:r>
            <w:r>
              <w:rPr>
                <w:rFonts w:hint="eastAsia" w:ascii="Times New Roman" w:hAnsi="Times New Roman" w:eastAsia="宋体" w:cs="Times New Roman"/>
                <w:bCs/>
                <w:color w:val="auto"/>
                <w:szCs w:val="21"/>
                <w:lang w:val="en-US" w:eastAsia="zh-CN"/>
              </w:rPr>
              <w:t>增加了实验室废气排气筒15米。</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tcBorders>
              <w:tl2br w:val="nil"/>
              <w:tr2bl w:val="nil"/>
            </w:tcBorders>
            <w:vAlign w:val="center"/>
          </w:tcPr>
          <w:p>
            <w:pPr>
              <w:jc w:val="center"/>
              <w:rPr>
                <w:rFonts w:ascii="Times New Roman" w:hAnsi="Times New Roman" w:eastAsia="宋体" w:cs="Times New Roman"/>
                <w:bCs/>
                <w:color w:val="auto"/>
                <w:szCs w:val="21"/>
              </w:rPr>
            </w:pPr>
            <w:r>
              <w:rPr>
                <w:rFonts w:hint="default" w:ascii="Times New Roman" w:hAnsi="Times New Roman" w:eastAsia="宋体" w:cs="Times New Roman"/>
                <w:bCs/>
                <w:color w:val="auto"/>
                <w:szCs w:val="21"/>
              </w:rPr>
              <w:t>生产设备</w:t>
            </w:r>
          </w:p>
        </w:tc>
        <w:tc>
          <w:tcPr>
            <w:tcW w:w="2854" w:type="dxa"/>
            <w:tcBorders>
              <w:tl2br w:val="nil"/>
              <w:tr2bl w:val="nil"/>
            </w:tcBorders>
            <w:vAlign w:val="center"/>
          </w:tcPr>
          <w:p>
            <w:pPr>
              <w:numPr>
                <w:ilvl w:val="0"/>
                <w:numId w:val="4"/>
              </w:numPr>
              <w:rPr>
                <w:rFonts w:ascii="Times New Roman" w:hAnsi="Times New Roman" w:cs="Times New Roman"/>
                <w:color w:val="auto"/>
                <w:szCs w:val="21"/>
              </w:rPr>
            </w:pPr>
            <w:r>
              <w:rPr>
                <w:rFonts w:hint="default" w:ascii="Times New Roman" w:hAnsi="Times New Roman" w:cs="Times New Roman"/>
                <w:color w:val="auto"/>
                <w:kern w:val="0"/>
                <w:szCs w:val="21"/>
              </w:rPr>
              <w:t>DMP-30生产线：</w:t>
            </w:r>
            <w:r>
              <w:rPr>
                <w:rFonts w:hint="default" w:ascii="Times New Roman" w:hAnsi="Times New Roman" w:cs="Times New Roman"/>
                <w:color w:val="auto"/>
                <w:szCs w:val="21"/>
              </w:rPr>
              <w:t>反应釜（带搅拌）、回收釜、反应釜冷却器、精馏塔冷却器、回收釜换热器、二甲胺接受槽、废水接收罐、循环泵、水环真空泵；</w:t>
            </w:r>
          </w:p>
          <w:p>
            <w:pPr>
              <w:pStyle w:val="13"/>
              <w:numPr>
                <w:ilvl w:val="0"/>
                <w:numId w:val="4"/>
              </w:numPr>
              <w:rPr>
                <w:rFonts w:ascii="Times New Roman" w:hAnsi="Times New Roman" w:cs="Times New Roman"/>
                <w:color w:val="auto"/>
              </w:rPr>
            </w:pPr>
            <w:r>
              <w:rPr>
                <w:rFonts w:hint="default" w:ascii="Times New Roman" w:hAnsi="Times New Roman" w:cs="Times New Roman"/>
                <w:color w:val="auto"/>
              </w:rPr>
              <w:t>PPA固化剂生产线：</w:t>
            </w:r>
            <w:r>
              <w:rPr>
                <w:rFonts w:ascii="Times New Roman" w:hAnsi="Times New Roman" w:cs="Times New Roman"/>
                <w:color w:val="auto"/>
                <w:szCs w:val="21"/>
              </w:rPr>
              <w:t>反应釜（带搅拌）</w:t>
            </w:r>
            <w:r>
              <w:rPr>
                <w:rFonts w:hint="default" w:ascii="Times New Roman" w:hAnsi="Times New Roman" w:cs="Times New Roman"/>
                <w:color w:val="auto"/>
                <w:szCs w:val="21"/>
              </w:rPr>
              <w:t>、</w:t>
            </w:r>
            <w:r>
              <w:rPr>
                <w:rFonts w:ascii="Times New Roman" w:hAnsi="Times New Roman" w:cs="Times New Roman"/>
                <w:color w:val="auto"/>
                <w:kern w:val="0"/>
                <w:szCs w:val="21"/>
              </w:rPr>
              <w:t>冷却器</w:t>
            </w:r>
            <w:r>
              <w:rPr>
                <w:rFonts w:hint="default" w:ascii="Times New Roman" w:hAnsi="Times New Roman" w:cs="Times New Roman"/>
                <w:color w:val="auto"/>
                <w:kern w:val="0"/>
                <w:szCs w:val="21"/>
              </w:rPr>
              <w:t>、</w:t>
            </w:r>
            <w:r>
              <w:rPr>
                <w:rFonts w:ascii="Times New Roman" w:hAnsi="Times New Roman" w:cs="Times New Roman"/>
                <w:color w:val="auto"/>
                <w:kern w:val="0"/>
                <w:szCs w:val="21"/>
              </w:rPr>
              <w:t>水环真空泵</w:t>
            </w:r>
            <w:r>
              <w:rPr>
                <w:rFonts w:hint="default" w:ascii="Times New Roman" w:hAnsi="Times New Roman" w:cs="Times New Roman"/>
                <w:color w:val="auto"/>
                <w:kern w:val="0"/>
                <w:szCs w:val="21"/>
              </w:rPr>
              <w:t>、</w:t>
            </w:r>
            <w:r>
              <w:rPr>
                <w:rFonts w:ascii="Times New Roman" w:hAnsi="Times New Roman" w:cs="Times New Roman"/>
                <w:color w:val="auto"/>
                <w:kern w:val="0"/>
                <w:szCs w:val="21"/>
              </w:rPr>
              <w:t>多聚甲醛进料机</w:t>
            </w:r>
            <w:r>
              <w:rPr>
                <w:rFonts w:hint="default" w:ascii="Times New Roman" w:hAnsi="Times New Roman" w:cs="Times New Roman"/>
                <w:color w:val="auto"/>
                <w:kern w:val="0"/>
                <w:szCs w:val="21"/>
              </w:rPr>
              <w:t>、</w:t>
            </w:r>
            <w:r>
              <w:rPr>
                <w:rFonts w:ascii="Times New Roman" w:hAnsi="Times New Roman" w:cs="Times New Roman"/>
                <w:color w:val="auto"/>
                <w:szCs w:val="21"/>
              </w:rPr>
              <w:t>高位槽</w:t>
            </w:r>
            <w:r>
              <w:rPr>
                <w:rFonts w:hint="default" w:ascii="Times New Roman" w:hAnsi="Times New Roman" w:cs="Times New Roman"/>
                <w:color w:val="auto"/>
                <w:szCs w:val="21"/>
              </w:rPr>
              <w:t>、</w:t>
            </w:r>
            <w:r>
              <w:rPr>
                <w:rFonts w:ascii="Times New Roman" w:hAnsi="Times New Roman" w:cs="Times New Roman"/>
                <w:color w:val="auto"/>
                <w:szCs w:val="21"/>
              </w:rPr>
              <w:t>废水接收罐</w:t>
            </w:r>
            <w:r>
              <w:rPr>
                <w:rFonts w:hint="default" w:ascii="Times New Roman" w:hAnsi="Times New Roman" w:cs="Times New Roman"/>
                <w:color w:val="auto"/>
                <w:szCs w:val="21"/>
              </w:rPr>
              <w:t>；</w:t>
            </w:r>
          </w:p>
          <w:p>
            <w:pPr>
              <w:numPr>
                <w:ilvl w:val="0"/>
                <w:numId w:val="4"/>
              </w:numPr>
              <w:rPr>
                <w:rFonts w:ascii="Times New Roman" w:hAnsi="Times New Roman" w:cs="Times New Roman"/>
                <w:color w:val="auto"/>
                <w:kern w:val="0"/>
                <w:szCs w:val="21"/>
              </w:rPr>
            </w:pPr>
            <w:r>
              <w:rPr>
                <w:rFonts w:hint="default" w:ascii="Times New Roman" w:hAnsi="Times New Roman" w:cs="Times New Roman"/>
                <w:color w:val="auto"/>
                <w:kern w:val="0"/>
                <w:szCs w:val="21"/>
              </w:rPr>
              <w:t>改性胺固化剂生产线：主反应釜、混合釜、主反应釜冷却器、高位槽；</w:t>
            </w:r>
          </w:p>
          <w:p>
            <w:pPr>
              <w:numPr>
                <w:ilvl w:val="0"/>
                <w:numId w:val="4"/>
              </w:numPr>
              <w:rPr>
                <w:rFonts w:ascii="Times New Roman" w:hAnsi="Times New Roman" w:cs="Times New Roman"/>
                <w:color w:val="auto"/>
                <w:kern w:val="0"/>
                <w:szCs w:val="21"/>
              </w:rPr>
            </w:pPr>
            <w:r>
              <w:rPr>
                <w:rFonts w:hint="default" w:ascii="Times New Roman" w:hAnsi="Times New Roman" w:cs="Times New Roman"/>
                <w:color w:val="auto"/>
                <w:kern w:val="0"/>
                <w:szCs w:val="21"/>
              </w:rPr>
              <w:t>聚酰胺固化剂生产线：反应釜（带搅拌）、高位槽、冷却器、水环真空泵；</w:t>
            </w:r>
          </w:p>
          <w:p>
            <w:pPr>
              <w:numPr>
                <w:ilvl w:val="0"/>
                <w:numId w:val="4"/>
              </w:numPr>
              <w:rPr>
                <w:rFonts w:ascii="Times New Roman" w:hAnsi="Times New Roman" w:eastAsia="宋体" w:cs="Times New Roman"/>
                <w:bCs/>
                <w:color w:val="auto"/>
                <w:szCs w:val="21"/>
              </w:rPr>
            </w:pPr>
            <w:r>
              <w:rPr>
                <w:rFonts w:hint="default" w:ascii="Times New Roman" w:hAnsi="Times New Roman" w:cs="Times New Roman"/>
                <w:color w:val="auto"/>
                <w:kern w:val="0"/>
                <w:szCs w:val="21"/>
              </w:rPr>
              <w:t>罐区：苯酚储罐、37%甲醛储罐、乙二胺储罐、苯甲醇储罐、环氧树脂、二甲胺储罐、液氮、苯酚泵、甲醛泵、二甲胺泵。</w:t>
            </w:r>
          </w:p>
        </w:tc>
        <w:tc>
          <w:tcPr>
            <w:tcW w:w="2852" w:type="dxa"/>
            <w:tcBorders>
              <w:tl2br w:val="nil"/>
              <w:tr2bl w:val="nil"/>
            </w:tcBorders>
            <w:vAlign w:val="center"/>
          </w:tcPr>
          <w:p>
            <w:pPr>
              <w:rPr>
                <w:rFonts w:ascii="Times New Roman" w:hAnsi="Times New Roman" w:cs="Times New Roman"/>
                <w:color w:val="auto"/>
                <w:szCs w:val="21"/>
              </w:rPr>
            </w:pPr>
            <w:r>
              <w:rPr>
                <w:rFonts w:hint="default" w:ascii="Times New Roman" w:hAnsi="Times New Roman" w:cs="Times New Roman"/>
                <w:color w:val="auto"/>
                <w:kern w:val="0"/>
                <w:szCs w:val="21"/>
              </w:rPr>
              <w:t>1、DMP-30生产线：</w:t>
            </w:r>
            <w:r>
              <w:rPr>
                <w:rFonts w:hint="default" w:ascii="Times New Roman" w:hAnsi="Times New Roman" w:cs="Times New Roman"/>
                <w:color w:val="auto"/>
                <w:szCs w:val="21"/>
              </w:rPr>
              <w:t>反应釜（带搅拌）、蒸发釜、反应釜冷却器、精馏塔冷却器、回收釜换热器、二甲胺接受槽、废水接收罐、循环泵、水环真空泵；</w:t>
            </w:r>
          </w:p>
          <w:p>
            <w:pPr>
              <w:pStyle w:val="13"/>
              <w:rPr>
                <w:rFonts w:ascii="Times New Roman" w:hAnsi="Times New Roman" w:cs="Times New Roman"/>
                <w:color w:val="auto"/>
              </w:rPr>
            </w:pPr>
            <w:r>
              <w:rPr>
                <w:rFonts w:hint="default" w:ascii="Times New Roman" w:hAnsi="Times New Roman" w:cs="Times New Roman"/>
                <w:color w:val="auto"/>
              </w:rPr>
              <w:t>2、PPA固化剂生产线：</w:t>
            </w:r>
            <w:r>
              <w:rPr>
                <w:rFonts w:ascii="Times New Roman" w:hAnsi="Times New Roman" w:cs="Times New Roman"/>
                <w:color w:val="auto"/>
                <w:szCs w:val="21"/>
              </w:rPr>
              <w:t>反应釜（带搅拌）</w:t>
            </w:r>
            <w:r>
              <w:rPr>
                <w:rFonts w:hint="default" w:ascii="Times New Roman" w:hAnsi="Times New Roman" w:cs="Times New Roman"/>
                <w:color w:val="auto"/>
                <w:szCs w:val="21"/>
              </w:rPr>
              <w:t>、</w:t>
            </w:r>
            <w:r>
              <w:rPr>
                <w:rFonts w:ascii="Times New Roman" w:hAnsi="Times New Roman" w:cs="Times New Roman"/>
                <w:color w:val="auto"/>
                <w:kern w:val="0"/>
                <w:szCs w:val="21"/>
              </w:rPr>
              <w:t>冷却器</w:t>
            </w:r>
            <w:r>
              <w:rPr>
                <w:rFonts w:hint="default" w:ascii="Times New Roman" w:hAnsi="Times New Roman" w:cs="Times New Roman"/>
                <w:color w:val="auto"/>
                <w:kern w:val="0"/>
                <w:szCs w:val="21"/>
              </w:rPr>
              <w:t>、</w:t>
            </w:r>
            <w:r>
              <w:rPr>
                <w:rFonts w:ascii="Times New Roman" w:hAnsi="Times New Roman" w:cs="Times New Roman"/>
                <w:color w:val="auto"/>
                <w:kern w:val="0"/>
                <w:szCs w:val="21"/>
              </w:rPr>
              <w:t>水环真空泵</w:t>
            </w:r>
            <w:r>
              <w:rPr>
                <w:rFonts w:hint="default" w:ascii="Times New Roman" w:hAnsi="Times New Roman" w:cs="Times New Roman"/>
                <w:color w:val="auto"/>
                <w:kern w:val="0"/>
                <w:szCs w:val="21"/>
              </w:rPr>
              <w:t>、</w:t>
            </w:r>
            <w:r>
              <w:rPr>
                <w:rFonts w:ascii="Times New Roman" w:hAnsi="Times New Roman" w:cs="Times New Roman"/>
                <w:color w:val="auto"/>
                <w:kern w:val="0"/>
                <w:szCs w:val="21"/>
              </w:rPr>
              <w:t>多聚甲醛进料机</w:t>
            </w:r>
            <w:r>
              <w:rPr>
                <w:rFonts w:hint="default" w:ascii="Times New Roman" w:hAnsi="Times New Roman" w:cs="Times New Roman"/>
                <w:color w:val="auto"/>
                <w:kern w:val="0"/>
                <w:szCs w:val="21"/>
              </w:rPr>
              <w:t>、</w:t>
            </w:r>
            <w:r>
              <w:rPr>
                <w:rFonts w:ascii="Times New Roman" w:hAnsi="Times New Roman" w:cs="Times New Roman"/>
                <w:color w:val="auto"/>
                <w:szCs w:val="21"/>
              </w:rPr>
              <w:t>高位槽</w:t>
            </w:r>
            <w:r>
              <w:rPr>
                <w:rFonts w:hint="default" w:ascii="Times New Roman" w:hAnsi="Times New Roman" w:cs="Times New Roman"/>
                <w:color w:val="auto"/>
                <w:szCs w:val="21"/>
              </w:rPr>
              <w:t>、</w:t>
            </w:r>
            <w:r>
              <w:rPr>
                <w:rFonts w:ascii="Times New Roman" w:hAnsi="Times New Roman" w:cs="Times New Roman"/>
                <w:color w:val="auto"/>
                <w:szCs w:val="21"/>
              </w:rPr>
              <w:t>废水接收罐</w:t>
            </w:r>
            <w:r>
              <w:rPr>
                <w:rFonts w:hint="default" w:ascii="Times New Roman" w:hAnsi="Times New Roman" w:cs="Times New Roman"/>
                <w:color w:val="auto"/>
                <w:szCs w:val="21"/>
              </w:rPr>
              <w:t>；</w:t>
            </w:r>
          </w:p>
          <w:p>
            <w:pPr>
              <w:rPr>
                <w:rFonts w:ascii="Times New Roman" w:hAnsi="Times New Roman" w:cs="Times New Roman"/>
                <w:color w:val="auto"/>
                <w:kern w:val="0"/>
                <w:szCs w:val="21"/>
              </w:rPr>
            </w:pPr>
            <w:r>
              <w:rPr>
                <w:rFonts w:hint="default" w:ascii="Times New Roman" w:hAnsi="Times New Roman" w:cs="Times New Roman"/>
                <w:color w:val="auto"/>
                <w:kern w:val="0"/>
                <w:szCs w:val="21"/>
              </w:rPr>
              <w:t>2、改性胺固化剂生产线：主反应釜、混合釜、主反应釜冷却器、高位槽；</w:t>
            </w:r>
          </w:p>
          <w:p>
            <w:pPr>
              <w:rPr>
                <w:rFonts w:ascii="Times New Roman" w:hAnsi="Times New Roman" w:cs="Times New Roman"/>
                <w:color w:val="auto"/>
                <w:kern w:val="0"/>
                <w:szCs w:val="21"/>
              </w:rPr>
            </w:pPr>
            <w:r>
              <w:rPr>
                <w:rFonts w:hint="default" w:ascii="Times New Roman" w:hAnsi="Times New Roman" w:cs="Times New Roman"/>
                <w:color w:val="auto"/>
                <w:kern w:val="0"/>
                <w:szCs w:val="21"/>
              </w:rPr>
              <w:t>4、聚酰胺固化剂生产线：反应釜（带搅拌）、高位槽、冷却器、水环真空泵；</w:t>
            </w:r>
          </w:p>
          <w:p>
            <w:pPr>
              <w:rPr>
                <w:rFonts w:ascii="Times New Roman" w:hAnsi="Times New Roman" w:eastAsia="宋体" w:cs="Times New Roman"/>
                <w:bCs/>
                <w:color w:val="auto"/>
                <w:szCs w:val="21"/>
              </w:rPr>
            </w:pPr>
            <w:r>
              <w:rPr>
                <w:rFonts w:hint="default" w:ascii="Times New Roman" w:hAnsi="Times New Roman" w:cs="Times New Roman"/>
                <w:color w:val="auto"/>
                <w:kern w:val="0"/>
                <w:szCs w:val="21"/>
              </w:rPr>
              <w:t>5、罐区：苯酚储罐、37%甲醛储罐、乙二胺储罐、苯甲醇储罐、环氧树脂、二甲胺储罐、液氮、苯酚泵、甲醛泵、二甲胺泵。</w:t>
            </w:r>
          </w:p>
        </w:tc>
        <w:tc>
          <w:tcPr>
            <w:tcW w:w="1886" w:type="dxa"/>
            <w:tcBorders>
              <w:tl2br w:val="nil"/>
              <w:tr2bl w:val="nil"/>
            </w:tcBorders>
            <w:vAlign w:val="center"/>
          </w:tcPr>
          <w:p>
            <w:pPr>
              <w:jc w:val="center"/>
              <w:rPr>
                <w:rFonts w:ascii="Times New Roman" w:hAnsi="Times New Roman" w:eastAsia="宋体" w:cs="Times New Roman"/>
                <w:bCs/>
                <w:color w:val="auto"/>
                <w:kern w:val="0"/>
                <w:szCs w:val="21"/>
              </w:rPr>
            </w:pPr>
            <w:r>
              <w:rPr>
                <w:rFonts w:hint="default" w:ascii="Times New Roman" w:hAnsi="Times New Roman" w:cs="Times New Roman"/>
                <w:color w:val="auto"/>
                <w:kern w:val="0"/>
                <w:szCs w:val="21"/>
              </w:rPr>
              <w:t>DMP-30生产线</w:t>
            </w:r>
            <w:r>
              <w:rPr>
                <w:rFonts w:hint="eastAsia" w:ascii="Times New Roman" w:hAnsi="Times New Roman" w:cs="Times New Roman"/>
                <w:color w:val="auto"/>
                <w:kern w:val="0"/>
                <w:szCs w:val="21"/>
                <w:lang w:val="en-US" w:eastAsia="zh-CN"/>
              </w:rPr>
              <w:t>设备</w:t>
            </w:r>
            <w:r>
              <w:rPr>
                <w:rFonts w:hint="default" w:ascii="Times New Roman" w:hAnsi="Times New Roman" w:cs="Times New Roman"/>
                <w:color w:val="auto"/>
                <w:kern w:val="0"/>
                <w:szCs w:val="21"/>
              </w:rPr>
              <w:t>回收釜变成蒸馏釜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tcBorders>
              <w:tl2br w:val="nil"/>
              <w:tr2bl w:val="nil"/>
            </w:tcBorders>
            <w:vAlign w:val="center"/>
          </w:tcPr>
          <w:p>
            <w:pPr>
              <w:jc w:val="center"/>
              <w:rPr>
                <w:rFonts w:ascii="Times New Roman" w:hAnsi="Times New Roman" w:eastAsia="宋体" w:cs="Times New Roman"/>
                <w:bCs/>
                <w:color w:val="auto"/>
                <w:szCs w:val="21"/>
              </w:rPr>
            </w:pPr>
            <w:r>
              <w:rPr>
                <w:rFonts w:hint="default" w:ascii="Times New Roman" w:hAnsi="Times New Roman" w:eastAsia="宋体" w:cs="Times New Roman"/>
                <w:bCs/>
                <w:color w:val="auto"/>
                <w:szCs w:val="21"/>
              </w:rPr>
              <w:t>废水</w:t>
            </w:r>
          </w:p>
        </w:tc>
        <w:tc>
          <w:tcPr>
            <w:tcW w:w="2854" w:type="dxa"/>
            <w:tcBorders>
              <w:tl2br w:val="nil"/>
              <w:tr2bl w:val="nil"/>
            </w:tcBorders>
            <w:vAlign w:val="center"/>
          </w:tcPr>
          <w:p>
            <w:pPr>
              <w:rPr>
                <w:rFonts w:ascii="Times New Roman" w:hAnsi="Times New Roman" w:cs="Times New Roman"/>
                <w:bCs/>
                <w:color w:val="auto"/>
                <w:szCs w:val="21"/>
              </w:rPr>
            </w:pPr>
            <w:r>
              <w:rPr>
                <w:rFonts w:hint="default" w:ascii="Times New Roman" w:hAnsi="Times New Roman" w:cs="Times New Roman"/>
                <w:color w:val="auto"/>
                <w:kern w:val="0"/>
                <w:szCs w:val="21"/>
              </w:rPr>
              <w:t>工艺废水：厂区自建污水处理站（调节+水解酸化+AO+沉淀）</w:t>
            </w:r>
            <w:r>
              <w:rPr>
                <w:rFonts w:ascii="Times New Roman" w:hAnsi="Times New Roman" w:cs="Times New Roman"/>
                <w:color w:val="auto"/>
                <w:kern w:val="0"/>
                <w:szCs w:val="21"/>
              </w:rPr>
              <w:t>处理后</w:t>
            </w:r>
            <w:r>
              <w:rPr>
                <w:rFonts w:hint="default" w:ascii="Times New Roman" w:hAnsi="Times New Roman" w:cs="Times New Roman"/>
                <w:color w:val="auto"/>
                <w:kern w:val="0"/>
                <w:szCs w:val="21"/>
              </w:rPr>
              <w:t>、排入</w:t>
            </w:r>
            <w:r>
              <w:rPr>
                <w:rFonts w:hint="default" w:ascii="Times New Roman" w:hAnsi="Times New Roman" w:cs="Times New Roman"/>
                <w:bCs/>
                <w:color w:val="auto"/>
                <w:szCs w:val="21"/>
              </w:rPr>
              <w:t>云溪污水处理厂处理；</w:t>
            </w:r>
          </w:p>
          <w:p>
            <w:pPr>
              <w:rPr>
                <w:rFonts w:ascii="Times New Roman" w:hAnsi="Times New Roman" w:eastAsia="宋体" w:cs="Times New Roman"/>
                <w:bCs/>
                <w:color w:val="auto"/>
                <w:szCs w:val="21"/>
              </w:rPr>
            </w:pPr>
            <w:r>
              <w:rPr>
                <w:rFonts w:ascii="Times New Roman" w:hAnsi="Times New Roman" w:cs="Times New Roman"/>
                <w:color w:val="auto"/>
                <w:kern w:val="0"/>
                <w:szCs w:val="21"/>
              </w:rPr>
              <w:t>生活污水</w:t>
            </w:r>
            <w:r>
              <w:rPr>
                <w:rFonts w:hint="default" w:ascii="Times New Roman" w:hAnsi="Times New Roman" w:cs="Times New Roman"/>
                <w:color w:val="auto"/>
                <w:kern w:val="0"/>
                <w:szCs w:val="21"/>
              </w:rPr>
              <w:t>：</w:t>
            </w:r>
            <w:r>
              <w:rPr>
                <w:rFonts w:ascii="Times New Roman" w:hAnsi="Times New Roman" w:cs="Times New Roman"/>
                <w:color w:val="auto"/>
                <w:kern w:val="0"/>
                <w:szCs w:val="21"/>
              </w:rPr>
              <w:t>通过</w:t>
            </w:r>
            <w:r>
              <w:rPr>
                <w:rFonts w:hint="default" w:ascii="Times New Roman" w:hAnsi="Times New Roman" w:cs="Times New Roman"/>
                <w:color w:val="auto"/>
                <w:kern w:val="0"/>
                <w:szCs w:val="21"/>
              </w:rPr>
              <w:t>隔油池+</w:t>
            </w:r>
            <w:r>
              <w:rPr>
                <w:rFonts w:ascii="Times New Roman" w:hAnsi="Times New Roman" w:cs="Times New Roman"/>
                <w:color w:val="auto"/>
                <w:kern w:val="0"/>
                <w:szCs w:val="21"/>
              </w:rPr>
              <w:t>化粪池</w:t>
            </w:r>
            <w:r>
              <w:rPr>
                <w:rFonts w:hint="default" w:ascii="Times New Roman" w:hAnsi="Times New Roman" w:cs="Times New Roman"/>
                <w:color w:val="auto"/>
                <w:kern w:val="0"/>
                <w:szCs w:val="21"/>
              </w:rPr>
              <w:t>+厂区自建污水处理站（调节+水解酸化+AO+沉淀）</w:t>
            </w:r>
            <w:r>
              <w:rPr>
                <w:rFonts w:ascii="Times New Roman" w:hAnsi="Times New Roman" w:cs="Times New Roman"/>
                <w:color w:val="auto"/>
                <w:kern w:val="0"/>
                <w:szCs w:val="21"/>
              </w:rPr>
              <w:t>处理后</w:t>
            </w:r>
            <w:r>
              <w:rPr>
                <w:rFonts w:hint="default" w:ascii="Times New Roman" w:hAnsi="Times New Roman" w:cs="Times New Roman"/>
                <w:color w:val="auto"/>
                <w:kern w:val="0"/>
                <w:szCs w:val="21"/>
              </w:rPr>
              <w:t>、排入</w:t>
            </w:r>
            <w:r>
              <w:rPr>
                <w:rFonts w:hint="default" w:ascii="Times New Roman" w:hAnsi="Times New Roman" w:cs="Times New Roman"/>
                <w:bCs/>
                <w:color w:val="auto"/>
                <w:szCs w:val="21"/>
              </w:rPr>
              <w:t>云溪污水处理厂处理</w:t>
            </w:r>
          </w:p>
        </w:tc>
        <w:tc>
          <w:tcPr>
            <w:tcW w:w="2852" w:type="dxa"/>
            <w:tcBorders>
              <w:tl2br w:val="nil"/>
              <w:tr2bl w:val="nil"/>
            </w:tcBorders>
            <w:vAlign w:val="center"/>
          </w:tcPr>
          <w:p>
            <w:pPr>
              <w:rPr>
                <w:rFonts w:ascii="Times New Roman" w:hAnsi="Times New Roman" w:cs="Times New Roman"/>
                <w:bCs/>
                <w:color w:val="auto"/>
                <w:szCs w:val="21"/>
              </w:rPr>
            </w:pPr>
            <w:r>
              <w:rPr>
                <w:rFonts w:hint="default" w:ascii="Times New Roman" w:hAnsi="Times New Roman" w:cs="Times New Roman"/>
                <w:color w:val="auto"/>
                <w:kern w:val="0"/>
                <w:szCs w:val="21"/>
              </w:rPr>
              <w:t>工艺废水：厂区自建污水处理站（调节+水解酸化+AO+沉淀）</w:t>
            </w:r>
            <w:r>
              <w:rPr>
                <w:rFonts w:ascii="Times New Roman" w:hAnsi="Times New Roman" w:cs="Times New Roman"/>
                <w:color w:val="auto"/>
                <w:kern w:val="0"/>
                <w:szCs w:val="21"/>
              </w:rPr>
              <w:t>处理后</w:t>
            </w:r>
            <w:r>
              <w:rPr>
                <w:rFonts w:hint="default" w:ascii="Times New Roman" w:hAnsi="Times New Roman" w:cs="Times New Roman"/>
                <w:color w:val="auto"/>
                <w:kern w:val="0"/>
                <w:szCs w:val="21"/>
              </w:rPr>
              <w:t>、排入</w:t>
            </w:r>
            <w:r>
              <w:rPr>
                <w:rFonts w:hint="default" w:ascii="Times New Roman" w:hAnsi="Times New Roman" w:cs="Times New Roman"/>
                <w:bCs/>
                <w:color w:val="auto"/>
                <w:szCs w:val="21"/>
              </w:rPr>
              <w:t>云溪污水处理厂处理；</w:t>
            </w:r>
          </w:p>
          <w:p>
            <w:pPr>
              <w:rPr>
                <w:rFonts w:ascii="Times New Roman" w:hAnsi="Times New Roman" w:eastAsia="宋体" w:cs="Times New Roman"/>
                <w:bCs/>
                <w:color w:val="auto"/>
                <w:szCs w:val="21"/>
              </w:rPr>
            </w:pPr>
            <w:r>
              <w:rPr>
                <w:rFonts w:ascii="Times New Roman" w:hAnsi="Times New Roman" w:cs="Times New Roman"/>
                <w:color w:val="auto"/>
                <w:kern w:val="0"/>
                <w:szCs w:val="21"/>
              </w:rPr>
              <w:t>生活污水</w:t>
            </w:r>
            <w:r>
              <w:rPr>
                <w:rFonts w:hint="default" w:ascii="Times New Roman" w:hAnsi="Times New Roman" w:cs="Times New Roman"/>
                <w:color w:val="auto"/>
                <w:kern w:val="0"/>
                <w:szCs w:val="21"/>
              </w:rPr>
              <w:t>：</w:t>
            </w:r>
            <w:r>
              <w:rPr>
                <w:rFonts w:ascii="Times New Roman" w:hAnsi="Times New Roman" w:cs="Times New Roman"/>
                <w:color w:val="auto"/>
                <w:kern w:val="0"/>
                <w:szCs w:val="21"/>
              </w:rPr>
              <w:t>通过</w:t>
            </w:r>
            <w:r>
              <w:rPr>
                <w:rFonts w:hint="default" w:ascii="Times New Roman" w:hAnsi="Times New Roman" w:cs="Times New Roman"/>
                <w:color w:val="auto"/>
                <w:kern w:val="0"/>
                <w:szCs w:val="21"/>
              </w:rPr>
              <w:t>隔油池+</w:t>
            </w:r>
            <w:r>
              <w:rPr>
                <w:rFonts w:ascii="Times New Roman" w:hAnsi="Times New Roman" w:cs="Times New Roman"/>
                <w:color w:val="auto"/>
                <w:kern w:val="0"/>
                <w:szCs w:val="21"/>
              </w:rPr>
              <w:t>化粪池</w:t>
            </w:r>
            <w:r>
              <w:rPr>
                <w:rFonts w:hint="default" w:ascii="Times New Roman" w:hAnsi="Times New Roman" w:cs="Times New Roman"/>
                <w:color w:val="auto"/>
                <w:kern w:val="0"/>
                <w:szCs w:val="21"/>
              </w:rPr>
              <w:t>+厂区自建污水处理站（调节+水解酸化+AO+沉淀）</w:t>
            </w:r>
            <w:r>
              <w:rPr>
                <w:rFonts w:ascii="Times New Roman" w:hAnsi="Times New Roman" w:cs="Times New Roman"/>
                <w:color w:val="auto"/>
                <w:kern w:val="0"/>
                <w:szCs w:val="21"/>
              </w:rPr>
              <w:t>处理后</w:t>
            </w:r>
            <w:r>
              <w:rPr>
                <w:rFonts w:hint="default" w:ascii="Times New Roman" w:hAnsi="Times New Roman" w:cs="Times New Roman"/>
                <w:color w:val="auto"/>
                <w:kern w:val="0"/>
                <w:szCs w:val="21"/>
              </w:rPr>
              <w:t>、排入</w:t>
            </w:r>
            <w:r>
              <w:rPr>
                <w:rFonts w:hint="default" w:ascii="Times New Roman" w:hAnsi="Times New Roman" w:cs="Times New Roman"/>
                <w:bCs/>
                <w:color w:val="auto"/>
                <w:szCs w:val="21"/>
              </w:rPr>
              <w:t>云溪污水处理厂处理</w:t>
            </w:r>
          </w:p>
        </w:tc>
        <w:tc>
          <w:tcPr>
            <w:tcW w:w="1886" w:type="dxa"/>
            <w:tcBorders>
              <w:tl2br w:val="nil"/>
              <w:tr2bl w:val="nil"/>
            </w:tcBorders>
            <w:vAlign w:val="center"/>
          </w:tcPr>
          <w:p>
            <w:pPr>
              <w:jc w:val="center"/>
              <w:rPr>
                <w:rFonts w:hint="default" w:ascii="Times New Roman" w:hAnsi="Times New Roman" w:eastAsia="宋体" w:cs="Times New Roman"/>
                <w:bCs/>
                <w:color w:val="auto"/>
                <w:szCs w:val="21"/>
                <w:lang w:val="en-US" w:eastAsia="zh-CN"/>
              </w:rPr>
            </w:pPr>
            <w:r>
              <w:rPr>
                <w:rFonts w:hint="eastAsia" w:ascii="Times New Roman" w:hAnsi="Times New Roman" w:eastAsia="宋体" w:cs="Times New Roman"/>
                <w:bCs/>
                <w:color w:val="auto"/>
                <w:szCs w:val="21"/>
                <w:lang w:val="en-US" w:eastAsia="zh-CN"/>
              </w:rPr>
              <w:t>增加了三个厌氧罐，一个原水收集罐和一个废水储存罐。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tcBorders>
              <w:tl2br w:val="nil"/>
              <w:tr2bl w:val="nil"/>
            </w:tcBorders>
            <w:vAlign w:val="center"/>
          </w:tcPr>
          <w:p>
            <w:pPr>
              <w:jc w:val="center"/>
              <w:rPr>
                <w:rFonts w:ascii="Times New Roman" w:hAnsi="Times New Roman" w:eastAsia="宋体" w:cs="Times New Roman"/>
                <w:bCs/>
                <w:color w:val="auto"/>
                <w:szCs w:val="21"/>
              </w:rPr>
            </w:pPr>
            <w:r>
              <w:rPr>
                <w:rFonts w:hint="default" w:ascii="Times New Roman" w:hAnsi="Times New Roman" w:eastAsia="宋体" w:cs="Times New Roman"/>
                <w:bCs/>
                <w:color w:val="auto"/>
                <w:szCs w:val="21"/>
              </w:rPr>
              <w:t>废气</w:t>
            </w:r>
          </w:p>
        </w:tc>
        <w:tc>
          <w:tcPr>
            <w:tcW w:w="2854" w:type="dxa"/>
            <w:tcBorders>
              <w:tl2br w:val="nil"/>
              <w:tr2bl w:val="nil"/>
            </w:tcBorders>
            <w:vAlign w:val="center"/>
          </w:tcPr>
          <w:p>
            <w:pPr>
              <w:rPr>
                <w:rFonts w:ascii="Times New Roman" w:hAnsi="Times New Roman" w:cs="Times New Roman"/>
                <w:color w:val="auto"/>
              </w:rPr>
            </w:pPr>
            <w:r>
              <w:rPr>
                <w:rFonts w:hint="default" w:ascii="Times New Roman" w:hAnsi="Times New Roman" w:cs="Times New Roman"/>
                <w:color w:val="auto"/>
              </w:rPr>
              <w:t>工艺废气：</w:t>
            </w:r>
            <w:r>
              <w:rPr>
                <w:rFonts w:ascii="Times New Roman" w:hAnsi="Times New Roman" w:cs="Times New Roman"/>
                <w:color w:val="auto"/>
              </w:rPr>
              <w:t>强制冷凝+水吸收+酸吸收+水吸收+除雾板+UV光解+30m排气筒</w:t>
            </w:r>
            <w:r>
              <w:rPr>
                <w:rFonts w:hint="default" w:ascii="Times New Roman" w:hAnsi="Times New Roman" w:cs="Times New Roman"/>
                <w:color w:val="auto"/>
              </w:rPr>
              <w:t>；</w:t>
            </w:r>
          </w:p>
          <w:p>
            <w:pPr>
              <w:pStyle w:val="13"/>
              <w:rPr>
                <w:rFonts w:ascii="Times New Roman" w:hAnsi="Times New Roman" w:cs="Times New Roman"/>
                <w:color w:val="auto"/>
              </w:rPr>
            </w:pPr>
            <w:r>
              <w:rPr>
                <w:rFonts w:hint="default" w:ascii="Times New Roman" w:hAnsi="Times New Roman" w:cs="Times New Roman"/>
                <w:snapToGrid w:val="0"/>
                <w:color w:val="auto"/>
                <w:szCs w:val="21"/>
              </w:rPr>
              <w:t>污水处理站废气：生物除臭喷淋+15m高排气筒</w:t>
            </w:r>
          </w:p>
        </w:tc>
        <w:tc>
          <w:tcPr>
            <w:tcW w:w="2852" w:type="dxa"/>
            <w:tcBorders>
              <w:tl2br w:val="nil"/>
              <w:tr2bl w:val="nil"/>
            </w:tcBorders>
            <w:vAlign w:val="center"/>
          </w:tcPr>
          <w:p>
            <w:pPr>
              <w:rPr>
                <w:rFonts w:ascii="Times New Roman" w:hAnsi="Times New Roman" w:cs="Times New Roman"/>
                <w:color w:val="auto"/>
              </w:rPr>
            </w:pPr>
            <w:r>
              <w:rPr>
                <w:rFonts w:hint="default" w:ascii="Times New Roman" w:hAnsi="Times New Roman" w:cs="Times New Roman"/>
                <w:color w:val="auto"/>
              </w:rPr>
              <w:t>工艺废气：</w:t>
            </w:r>
            <w:r>
              <w:rPr>
                <w:rFonts w:ascii="Times New Roman" w:hAnsi="Times New Roman" w:cs="Times New Roman"/>
                <w:color w:val="auto"/>
                <w:szCs w:val="21"/>
              </w:rPr>
              <w:t>强制冷凝+水吸收+酸吸收+</w:t>
            </w:r>
            <w:r>
              <w:rPr>
                <w:rFonts w:hint="eastAsia" w:ascii="Times New Roman" w:hAnsi="Times New Roman" w:cs="Times New Roman"/>
                <w:color w:val="auto"/>
                <w:szCs w:val="21"/>
                <w:lang w:val="en-US" w:eastAsia="zh-CN"/>
              </w:rPr>
              <w:t>酸</w:t>
            </w:r>
            <w:r>
              <w:rPr>
                <w:rFonts w:ascii="Times New Roman" w:hAnsi="Times New Roman" w:cs="Times New Roman"/>
                <w:color w:val="auto"/>
                <w:szCs w:val="21"/>
              </w:rPr>
              <w:t>吸收+除雾板+</w:t>
            </w:r>
            <w:r>
              <w:rPr>
                <w:rFonts w:hint="eastAsia" w:ascii="Times New Roman" w:hAnsi="Times New Roman" w:cs="Times New Roman"/>
                <w:color w:val="auto"/>
                <w:szCs w:val="21"/>
                <w:lang w:val="en-US" w:eastAsia="zh-CN"/>
              </w:rPr>
              <w:t>酸吸收+活性炭吸附+</w:t>
            </w:r>
            <w:r>
              <w:rPr>
                <w:rFonts w:ascii="Times New Roman" w:hAnsi="Times New Roman" w:cs="Times New Roman"/>
                <w:color w:val="auto"/>
                <w:szCs w:val="21"/>
              </w:rPr>
              <w:t>30m排气筒</w:t>
            </w:r>
            <w:r>
              <w:rPr>
                <w:rFonts w:hint="default" w:ascii="Times New Roman" w:hAnsi="Times New Roman" w:cs="Times New Roman"/>
                <w:color w:val="auto"/>
              </w:rPr>
              <w:t>；</w:t>
            </w:r>
          </w:p>
          <w:p>
            <w:pPr>
              <w:rPr>
                <w:rFonts w:ascii="Times New Roman" w:hAnsi="Times New Roman" w:eastAsia="宋体" w:cs="Times New Roman"/>
                <w:bCs/>
                <w:color w:val="auto"/>
                <w:szCs w:val="21"/>
              </w:rPr>
            </w:pPr>
            <w:r>
              <w:rPr>
                <w:rFonts w:hint="default" w:ascii="Times New Roman" w:hAnsi="Times New Roman" w:cs="Times New Roman"/>
                <w:snapToGrid w:val="0"/>
                <w:color w:val="auto"/>
                <w:szCs w:val="21"/>
              </w:rPr>
              <w:t>污水处理站废气：</w:t>
            </w:r>
            <w:r>
              <w:rPr>
                <w:rFonts w:hint="eastAsia" w:ascii="Times New Roman" w:hAnsi="Times New Roman" w:cs="Times New Roman"/>
                <w:snapToGrid w:val="0"/>
                <w:color w:val="auto"/>
                <w:szCs w:val="21"/>
                <w:lang w:val="en-US" w:eastAsia="zh-CN"/>
              </w:rPr>
              <w:t>水吸收+酸吸收+生物除臭</w:t>
            </w:r>
            <w:r>
              <w:rPr>
                <w:rFonts w:hint="default" w:ascii="Times New Roman" w:hAnsi="Times New Roman" w:cs="Times New Roman"/>
                <w:snapToGrid w:val="0"/>
                <w:color w:val="auto"/>
                <w:szCs w:val="21"/>
              </w:rPr>
              <w:t>喷淋+15m高排气筒</w:t>
            </w:r>
          </w:p>
        </w:tc>
        <w:tc>
          <w:tcPr>
            <w:tcW w:w="1886" w:type="dxa"/>
            <w:tcBorders>
              <w:tl2br w:val="nil"/>
              <w:tr2bl w:val="nil"/>
            </w:tcBorders>
            <w:vAlign w:val="center"/>
          </w:tcPr>
          <w:p>
            <w:pPr>
              <w:jc w:val="center"/>
              <w:rPr>
                <w:rFonts w:hint="default" w:ascii="Times New Roman" w:hAnsi="Times New Roman" w:eastAsia="宋体" w:cs="Times New Roman"/>
                <w:bCs/>
                <w:color w:val="auto"/>
                <w:szCs w:val="21"/>
                <w:lang w:val="en-US" w:eastAsia="zh-CN"/>
              </w:rPr>
            </w:pPr>
            <w:r>
              <w:rPr>
                <w:rFonts w:hint="eastAsia" w:ascii="Times New Roman" w:hAnsi="Times New Roman" w:eastAsia="宋体" w:cs="Times New Roman"/>
                <w:bCs/>
                <w:color w:val="auto"/>
                <w:szCs w:val="21"/>
                <w:lang w:val="en-US" w:eastAsia="zh-CN"/>
              </w:rPr>
              <w:t>增加了水吸收，酸吸收两道工序。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tcBorders>
              <w:tl2br w:val="nil"/>
              <w:tr2bl w:val="nil"/>
            </w:tcBorders>
            <w:vAlign w:val="center"/>
          </w:tcPr>
          <w:p>
            <w:pPr>
              <w:jc w:val="center"/>
              <w:rPr>
                <w:rFonts w:ascii="Times New Roman" w:hAnsi="Times New Roman" w:eastAsia="宋体" w:cs="Times New Roman"/>
                <w:bCs/>
                <w:color w:val="auto"/>
                <w:szCs w:val="21"/>
              </w:rPr>
            </w:pPr>
            <w:r>
              <w:rPr>
                <w:rFonts w:hint="default" w:ascii="Times New Roman" w:hAnsi="Times New Roman" w:eastAsia="宋体" w:cs="Times New Roman"/>
                <w:bCs/>
                <w:color w:val="auto"/>
                <w:szCs w:val="21"/>
              </w:rPr>
              <w:t>固废</w:t>
            </w:r>
          </w:p>
        </w:tc>
        <w:tc>
          <w:tcPr>
            <w:tcW w:w="2854" w:type="dxa"/>
            <w:tcBorders>
              <w:tl2br w:val="nil"/>
              <w:tr2bl w:val="nil"/>
            </w:tcBorders>
            <w:vAlign w:val="center"/>
          </w:tcPr>
          <w:p>
            <w:pPr>
              <w:rPr>
                <w:rFonts w:ascii="Times New Roman" w:hAnsi="Times New Roman" w:eastAsia="宋体" w:cs="Times New Roman"/>
                <w:bCs/>
                <w:color w:val="auto"/>
                <w:szCs w:val="21"/>
              </w:rPr>
            </w:pPr>
            <w:r>
              <w:rPr>
                <w:rFonts w:ascii="Times New Roman" w:hAnsi="Times New Roman" w:eastAsia="宋体" w:cs="Times New Roman"/>
                <w:bCs/>
                <w:color w:val="auto"/>
                <w:szCs w:val="21"/>
              </w:rPr>
              <w:t>设置垃圾桶，生活垃圾由环卫部门定期清理</w:t>
            </w:r>
            <w:r>
              <w:rPr>
                <w:rFonts w:hint="default" w:ascii="Times New Roman" w:hAnsi="Times New Roman" w:eastAsia="宋体" w:cs="Times New Roman"/>
                <w:bCs/>
                <w:color w:val="auto"/>
                <w:szCs w:val="21"/>
              </w:rPr>
              <w:t>；危废设置危废暂存间</w:t>
            </w:r>
          </w:p>
        </w:tc>
        <w:tc>
          <w:tcPr>
            <w:tcW w:w="2852" w:type="dxa"/>
            <w:tcBorders>
              <w:tl2br w:val="nil"/>
              <w:tr2bl w:val="nil"/>
            </w:tcBorders>
            <w:vAlign w:val="center"/>
          </w:tcPr>
          <w:p>
            <w:pPr>
              <w:rPr>
                <w:rFonts w:ascii="Times New Roman" w:hAnsi="Times New Roman" w:eastAsia="宋体" w:cs="Times New Roman"/>
                <w:bCs/>
                <w:color w:val="auto"/>
                <w:szCs w:val="21"/>
              </w:rPr>
            </w:pPr>
            <w:r>
              <w:rPr>
                <w:rFonts w:ascii="Times New Roman" w:hAnsi="Times New Roman" w:eastAsia="宋体" w:cs="Times New Roman"/>
                <w:bCs/>
                <w:color w:val="auto"/>
                <w:szCs w:val="21"/>
              </w:rPr>
              <w:t>设置垃圾桶，生活垃圾由环卫部门定期清理</w:t>
            </w:r>
            <w:r>
              <w:rPr>
                <w:rFonts w:hint="default" w:ascii="Times New Roman" w:hAnsi="Times New Roman" w:eastAsia="宋体" w:cs="Times New Roman"/>
                <w:bCs/>
                <w:color w:val="auto"/>
                <w:szCs w:val="21"/>
              </w:rPr>
              <w:t>；危废设置危废暂存间</w:t>
            </w:r>
          </w:p>
        </w:tc>
        <w:tc>
          <w:tcPr>
            <w:tcW w:w="1886" w:type="dxa"/>
            <w:tcBorders>
              <w:tl2br w:val="nil"/>
              <w:tr2bl w:val="nil"/>
            </w:tcBorders>
            <w:vAlign w:val="center"/>
          </w:tcPr>
          <w:p>
            <w:pPr>
              <w:jc w:val="center"/>
              <w:rPr>
                <w:rFonts w:ascii="Times New Roman" w:hAnsi="Times New Roman" w:eastAsia="宋体" w:cs="Times New Roman"/>
                <w:bCs/>
                <w:color w:val="auto"/>
                <w:szCs w:val="21"/>
              </w:rPr>
            </w:pPr>
            <w:r>
              <w:rPr>
                <w:rFonts w:hint="default" w:ascii="Times New Roman" w:hAnsi="Times New Roman" w:eastAsia="宋体" w:cs="Times New Roman"/>
                <w:bCs/>
                <w:color w:val="auto"/>
                <w:szCs w:val="21"/>
              </w:rPr>
              <w:t>无变动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tcBorders>
              <w:tl2br w:val="nil"/>
              <w:tr2bl w:val="nil"/>
            </w:tcBorders>
            <w:vAlign w:val="center"/>
          </w:tcPr>
          <w:p>
            <w:pPr>
              <w:jc w:val="center"/>
              <w:rPr>
                <w:rFonts w:ascii="Times New Roman" w:hAnsi="Times New Roman" w:eastAsia="宋体" w:cs="Times New Roman"/>
                <w:bCs/>
                <w:color w:val="auto"/>
                <w:szCs w:val="21"/>
              </w:rPr>
            </w:pPr>
            <w:r>
              <w:rPr>
                <w:rFonts w:hint="default" w:ascii="Times New Roman" w:hAnsi="Times New Roman" w:eastAsia="宋体" w:cs="Times New Roman"/>
                <w:bCs/>
                <w:color w:val="auto"/>
                <w:szCs w:val="21"/>
              </w:rPr>
              <w:t>噪声</w:t>
            </w:r>
          </w:p>
        </w:tc>
        <w:tc>
          <w:tcPr>
            <w:tcW w:w="2854" w:type="dxa"/>
            <w:tcBorders>
              <w:tl2br w:val="nil"/>
              <w:tr2bl w:val="nil"/>
            </w:tcBorders>
            <w:vAlign w:val="center"/>
          </w:tcPr>
          <w:p>
            <w:pPr>
              <w:rPr>
                <w:rFonts w:ascii="Times New Roman" w:hAnsi="Times New Roman" w:eastAsia="宋体" w:cs="Times New Roman"/>
                <w:bCs/>
                <w:color w:val="auto"/>
                <w:szCs w:val="21"/>
              </w:rPr>
            </w:pPr>
            <w:r>
              <w:rPr>
                <w:rFonts w:ascii="Times New Roman" w:hAnsi="Times New Roman" w:cs="Times New Roman"/>
                <w:bCs/>
                <w:color w:val="auto"/>
                <w:szCs w:val="21"/>
              </w:rPr>
              <w:t>基础减震、厂房隔声等</w:t>
            </w:r>
          </w:p>
        </w:tc>
        <w:tc>
          <w:tcPr>
            <w:tcW w:w="2852" w:type="dxa"/>
            <w:tcBorders>
              <w:tl2br w:val="nil"/>
              <w:tr2bl w:val="nil"/>
            </w:tcBorders>
            <w:vAlign w:val="center"/>
          </w:tcPr>
          <w:p>
            <w:pPr>
              <w:rPr>
                <w:rFonts w:ascii="Times New Roman" w:hAnsi="Times New Roman" w:eastAsia="宋体" w:cs="Times New Roman"/>
                <w:bCs/>
                <w:color w:val="auto"/>
                <w:szCs w:val="21"/>
              </w:rPr>
            </w:pPr>
            <w:r>
              <w:rPr>
                <w:rFonts w:ascii="Times New Roman" w:hAnsi="Times New Roman" w:cs="Times New Roman"/>
                <w:bCs/>
                <w:color w:val="auto"/>
                <w:szCs w:val="21"/>
              </w:rPr>
              <w:t>基础减震、厂房隔声等</w:t>
            </w:r>
          </w:p>
        </w:tc>
        <w:tc>
          <w:tcPr>
            <w:tcW w:w="1886" w:type="dxa"/>
            <w:tcBorders>
              <w:tl2br w:val="nil"/>
              <w:tr2bl w:val="nil"/>
            </w:tcBorders>
            <w:vAlign w:val="center"/>
          </w:tcPr>
          <w:p>
            <w:pPr>
              <w:jc w:val="center"/>
              <w:rPr>
                <w:rFonts w:ascii="Times New Roman" w:hAnsi="Times New Roman" w:eastAsia="宋体" w:cs="Times New Roman"/>
                <w:bCs/>
                <w:color w:val="auto"/>
                <w:szCs w:val="21"/>
              </w:rPr>
            </w:pPr>
            <w:r>
              <w:rPr>
                <w:rFonts w:hint="default" w:ascii="Times New Roman" w:hAnsi="Times New Roman" w:eastAsia="宋体" w:cs="Times New Roman"/>
                <w:bCs/>
                <w:color w:val="auto"/>
                <w:szCs w:val="21"/>
              </w:rPr>
              <w:t>无变动</w:t>
            </w:r>
          </w:p>
        </w:tc>
      </w:tr>
    </w:tbl>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根据</w:t>
      </w:r>
      <w:r>
        <w:rPr>
          <w:rFonts w:hint="default" w:ascii="Times New Roman" w:hAnsi="Times New Roman" w:cs="Times New Roman"/>
          <w:color w:val="auto"/>
          <w:sz w:val="24"/>
          <w:szCs w:val="24"/>
        </w:rPr>
        <w:t>《污染影响类建设项目重大变动清单（试行）》可知</w:t>
      </w:r>
      <w:r>
        <w:rPr>
          <w:rFonts w:ascii="Times New Roman" w:hAnsi="Times New Roman" w:cs="Times New Roman"/>
          <w:color w:val="auto"/>
          <w:sz w:val="24"/>
          <w:szCs w:val="24"/>
        </w:rPr>
        <w:t>，</w:t>
      </w:r>
      <w:r>
        <w:rPr>
          <w:rFonts w:hint="default" w:ascii="Times New Roman" w:hAnsi="Times New Roman" w:cs="Times New Roman"/>
          <w:color w:val="auto"/>
          <w:sz w:val="24"/>
          <w:szCs w:val="24"/>
        </w:rPr>
        <w:t>本项目不属于重大变动</w:t>
      </w:r>
      <w:r>
        <w:rPr>
          <w:rFonts w:ascii="Times New Roman" w:hAnsi="Times New Roman" w:cs="Times New Roman"/>
          <w:color w:val="auto"/>
          <w:sz w:val="24"/>
          <w:szCs w:val="24"/>
        </w:rPr>
        <w:t>。</w:t>
      </w:r>
    </w:p>
    <w:p>
      <w:pPr>
        <w:spacing w:line="360" w:lineRule="auto"/>
        <w:ind w:firstLine="480" w:firstLineChars="200"/>
        <w:rPr>
          <w:rFonts w:ascii="Times New Roman" w:hAnsi="Times New Roman" w:cs="Times New Roman"/>
          <w:color w:val="auto"/>
          <w:sz w:val="24"/>
          <w:szCs w:val="24"/>
        </w:rPr>
      </w:pPr>
    </w:p>
    <w:p>
      <w:pPr>
        <w:spacing w:line="360" w:lineRule="auto"/>
        <w:outlineLvl w:val="0"/>
        <w:rPr>
          <w:rFonts w:ascii="Times New Roman" w:hAnsi="Times New Roman" w:cs="Times New Roman"/>
          <w:b/>
          <w:color w:val="auto"/>
          <w:sz w:val="32"/>
          <w:szCs w:val="32"/>
        </w:rPr>
      </w:pPr>
      <w:bookmarkStart w:id="35" w:name="_Toc19394"/>
      <w:bookmarkStart w:id="36" w:name="_Toc85120879"/>
      <w:r>
        <w:rPr>
          <w:rFonts w:hint="default" w:ascii="Times New Roman" w:hAnsi="Times New Roman" w:cs="Times New Roman"/>
          <w:b/>
          <w:color w:val="auto"/>
          <w:sz w:val="32"/>
          <w:szCs w:val="32"/>
        </w:rPr>
        <w:t>4、环境保护设施</w:t>
      </w:r>
      <w:bookmarkEnd w:id="35"/>
      <w:bookmarkEnd w:id="36"/>
    </w:p>
    <w:p>
      <w:pPr>
        <w:spacing w:line="360" w:lineRule="auto"/>
        <w:outlineLvl w:val="1"/>
        <w:rPr>
          <w:rFonts w:ascii="Times New Roman" w:hAnsi="Times New Roman" w:cs="Times New Roman"/>
          <w:b/>
          <w:color w:val="auto"/>
          <w:sz w:val="30"/>
          <w:szCs w:val="30"/>
        </w:rPr>
      </w:pPr>
      <w:bookmarkStart w:id="37" w:name="_Toc85120880"/>
      <w:bookmarkStart w:id="38" w:name="_Toc25664"/>
      <w:r>
        <w:rPr>
          <w:rFonts w:hint="default" w:ascii="Times New Roman" w:hAnsi="Times New Roman" w:cs="Times New Roman"/>
          <w:b/>
          <w:color w:val="auto"/>
          <w:sz w:val="30"/>
          <w:szCs w:val="30"/>
        </w:rPr>
        <w:t>4.1  废气</w:t>
      </w:r>
      <w:bookmarkEnd w:id="37"/>
      <w:bookmarkEnd w:id="38"/>
    </w:p>
    <w:p>
      <w:pPr>
        <w:spacing w:line="360" w:lineRule="auto"/>
        <w:ind w:firstLine="480" w:firstLineChars="200"/>
        <w:rPr>
          <w:rFonts w:ascii="Times New Roman" w:hAnsi="Times New Roman" w:cs="Times New Roman"/>
          <w:color w:val="auto"/>
          <w:sz w:val="24"/>
          <w:szCs w:val="24"/>
        </w:rPr>
      </w:pPr>
      <w:bookmarkStart w:id="39" w:name="_Hlk92353242"/>
      <w:r>
        <w:rPr>
          <w:rFonts w:hint="default" w:ascii="Times New Roman" w:hAnsi="Times New Roman" w:cs="Times New Roman"/>
          <w:color w:val="auto"/>
          <w:sz w:val="24"/>
          <w:szCs w:val="24"/>
        </w:rPr>
        <w:t>本公司废气主要包括各反应釜和回收釜物料冷凝及脱水冷凝后的不凝气（含真空尾气）、包装过程废气、储罐区大小呼吸废气；装置区和储存区常期运行的无组织废气；污水处理站废气。</w:t>
      </w:r>
    </w:p>
    <w:p>
      <w:pPr>
        <w:spacing w:line="360" w:lineRule="auto"/>
        <w:ind w:firstLine="480" w:firstLineChars="200"/>
        <w:rPr>
          <w:rFonts w:ascii="Times New Roman" w:hAnsi="Times New Roman" w:cs="Times New Roman"/>
          <w:color w:val="auto"/>
          <w:sz w:val="24"/>
          <w:szCs w:val="24"/>
        </w:rPr>
      </w:pPr>
      <w:r>
        <w:rPr>
          <w:rFonts w:hint="default" w:ascii="Times New Roman" w:hAnsi="Times New Roman" w:cs="Times New Roman"/>
          <w:color w:val="auto"/>
          <w:sz w:val="24"/>
          <w:szCs w:val="24"/>
        </w:rPr>
        <w:t>废气主要污染物及治理措施见表</w:t>
      </w:r>
      <w:r>
        <w:rPr>
          <w:rFonts w:ascii="Times New Roman" w:hAnsi="Times New Roman" w:cs="Times New Roman"/>
          <w:color w:val="auto"/>
          <w:sz w:val="24"/>
          <w:szCs w:val="24"/>
        </w:rPr>
        <w:t>4</w:t>
      </w:r>
      <w:r>
        <w:rPr>
          <w:rFonts w:hint="default" w:ascii="Times New Roman" w:hAnsi="Times New Roman" w:cs="Times New Roman"/>
          <w:color w:val="auto"/>
          <w:sz w:val="24"/>
          <w:szCs w:val="24"/>
        </w:rPr>
        <w:t>.</w:t>
      </w:r>
      <w:r>
        <w:rPr>
          <w:rFonts w:ascii="Times New Roman" w:hAnsi="Times New Roman" w:cs="Times New Roman"/>
          <w:color w:val="auto"/>
          <w:sz w:val="24"/>
          <w:szCs w:val="24"/>
        </w:rPr>
        <w:t>1</w:t>
      </w:r>
      <w:r>
        <w:rPr>
          <w:rFonts w:hint="default" w:ascii="Times New Roman" w:hAnsi="Times New Roman" w:cs="Times New Roman"/>
          <w:color w:val="auto"/>
          <w:sz w:val="24"/>
          <w:szCs w:val="24"/>
        </w:rPr>
        <w:t>-1。</w:t>
      </w:r>
    </w:p>
    <w:p>
      <w:pPr>
        <w:jc w:val="center"/>
        <w:rPr>
          <w:rFonts w:ascii="Times New Roman" w:hAnsi="Times New Roman" w:cs="Times New Roman"/>
          <w:b/>
          <w:bCs/>
          <w:color w:val="auto"/>
          <w:szCs w:val="21"/>
        </w:rPr>
      </w:pPr>
      <w:r>
        <w:rPr>
          <w:rFonts w:ascii="Times New Roman" w:hAnsi="Times New Roman" w:cs="Times New Roman"/>
          <w:b/>
          <w:bCs/>
          <w:color w:val="auto"/>
          <w:szCs w:val="21"/>
        </w:rPr>
        <w:t>表</w:t>
      </w:r>
      <w:r>
        <w:rPr>
          <w:rFonts w:hint="default" w:ascii="Times New Roman" w:hAnsi="Times New Roman" w:cs="Times New Roman"/>
          <w:b/>
          <w:bCs/>
          <w:color w:val="auto"/>
          <w:szCs w:val="21"/>
        </w:rPr>
        <w:t>4.1</w:t>
      </w:r>
      <w:r>
        <w:rPr>
          <w:rFonts w:ascii="Times New Roman" w:hAnsi="Times New Roman" w:cs="Times New Roman"/>
          <w:b/>
          <w:bCs/>
          <w:color w:val="auto"/>
          <w:szCs w:val="21"/>
        </w:rPr>
        <w:t>-1  废气主要污染物及治理措施</w:t>
      </w:r>
    </w:p>
    <w:tbl>
      <w:tblPr>
        <w:tblStyle w:val="29"/>
        <w:tblW w:w="852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130"/>
        <w:gridCol w:w="1930"/>
        <w:gridCol w:w="2222"/>
        <w:gridCol w:w="224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30" w:type="dxa"/>
            <w:vAlign w:val="center"/>
          </w:tcPr>
          <w:p>
            <w:pPr>
              <w:jc w:val="center"/>
              <w:rPr>
                <w:rFonts w:ascii="Times New Roman" w:hAnsi="Times New Roman" w:eastAsia="宋体" w:cs="Times New Roman"/>
                <w:b/>
                <w:bCs/>
                <w:color w:val="auto"/>
                <w:kern w:val="0"/>
                <w:szCs w:val="21"/>
              </w:rPr>
            </w:pPr>
            <w:r>
              <w:rPr>
                <w:rFonts w:hint="default" w:ascii="Times New Roman" w:hAnsi="Times New Roman" w:eastAsia="宋体" w:cs="Times New Roman"/>
                <w:b/>
                <w:bCs/>
                <w:color w:val="auto"/>
                <w:kern w:val="0"/>
                <w:szCs w:val="21"/>
              </w:rPr>
              <w:t>污染源</w:t>
            </w:r>
          </w:p>
        </w:tc>
        <w:tc>
          <w:tcPr>
            <w:tcW w:w="1930" w:type="dxa"/>
            <w:vAlign w:val="center"/>
          </w:tcPr>
          <w:p>
            <w:pPr>
              <w:jc w:val="center"/>
              <w:rPr>
                <w:rFonts w:ascii="Times New Roman" w:hAnsi="Times New Roman" w:eastAsia="宋体" w:cs="Times New Roman"/>
                <w:b/>
                <w:bCs/>
                <w:color w:val="auto"/>
                <w:kern w:val="0"/>
                <w:szCs w:val="21"/>
              </w:rPr>
            </w:pPr>
            <w:r>
              <w:rPr>
                <w:rFonts w:hint="default" w:ascii="Times New Roman" w:hAnsi="Times New Roman" w:eastAsia="宋体" w:cs="Times New Roman"/>
                <w:b/>
                <w:bCs/>
                <w:color w:val="auto"/>
                <w:kern w:val="0"/>
                <w:szCs w:val="21"/>
              </w:rPr>
              <w:t>主要污染物</w:t>
            </w:r>
          </w:p>
        </w:tc>
        <w:tc>
          <w:tcPr>
            <w:tcW w:w="2222" w:type="dxa"/>
            <w:vAlign w:val="center"/>
          </w:tcPr>
          <w:p>
            <w:pPr>
              <w:jc w:val="center"/>
              <w:rPr>
                <w:rFonts w:hint="default" w:ascii="Times New Roman" w:hAnsi="Times New Roman" w:eastAsia="宋体" w:cs="Times New Roman"/>
                <w:b/>
                <w:bCs/>
                <w:color w:val="auto"/>
                <w:kern w:val="0"/>
                <w:szCs w:val="21"/>
                <w:lang w:val="en-US" w:eastAsia="zh-CN"/>
              </w:rPr>
            </w:pPr>
            <w:r>
              <w:rPr>
                <w:rFonts w:hint="eastAsia" w:ascii="Times New Roman" w:hAnsi="Times New Roman" w:eastAsia="宋体" w:cs="Times New Roman"/>
                <w:b/>
                <w:bCs/>
                <w:color w:val="auto"/>
                <w:kern w:val="0"/>
                <w:szCs w:val="21"/>
                <w:lang w:val="en-US" w:eastAsia="zh-CN"/>
              </w:rPr>
              <w:t>环评</w:t>
            </w:r>
            <w:r>
              <w:rPr>
                <w:rFonts w:hint="default" w:ascii="Times New Roman" w:hAnsi="Times New Roman" w:eastAsia="宋体" w:cs="Times New Roman"/>
                <w:b/>
                <w:bCs/>
                <w:color w:val="auto"/>
                <w:kern w:val="0"/>
                <w:szCs w:val="21"/>
              </w:rPr>
              <w:t>处理措施</w:t>
            </w:r>
            <w:r>
              <w:rPr>
                <w:rFonts w:hint="eastAsia" w:ascii="Times New Roman" w:hAnsi="Times New Roman" w:eastAsia="宋体" w:cs="Times New Roman"/>
                <w:b/>
                <w:bCs/>
                <w:color w:val="auto"/>
                <w:kern w:val="0"/>
                <w:szCs w:val="21"/>
                <w:lang w:eastAsia="zh-CN"/>
              </w:rPr>
              <w:t>、</w:t>
            </w:r>
            <w:r>
              <w:rPr>
                <w:rFonts w:hint="eastAsia" w:ascii="Times New Roman" w:hAnsi="Times New Roman" w:eastAsia="宋体" w:cs="Times New Roman"/>
                <w:b/>
                <w:bCs/>
                <w:color w:val="auto"/>
                <w:kern w:val="0"/>
                <w:szCs w:val="21"/>
                <w:lang w:val="en-US" w:eastAsia="zh-CN"/>
              </w:rPr>
              <w:t>排放方式</w:t>
            </w:r>
          </w:p>
        </w:tc>
        <w:tc>
          <w:tcPr>
            <w:tcW w:w="2240" w:type="dxa"/>
            <w:vAlign w:val="center"/>
          </w:tcPr>
          <w:p>
            <w:pPr>
              <w:jc w:val="center"/>
              <w:rPr>
                <w:rFonts w:ascii="Times New Roman" w:hAnsi="Times New Roman" w:eastAsia="宋体" w:cs="Times New Roman"/>
                <w:b/>
                <w:bCs/>
                <w:color w:val="auto"/>
                <w:kern w:val="0"/>
                <w:szCs w:val="21"/>
              </w:rPr>
            </w:pPr>
            <w:r>
              <w:rPr>
                <w:rFonts w:hint="eastAsia" w:ascii="Times New Roman" w:hAnsi="Times New Roman" w:eastAsia="宋体" w:cs="Times New Roman"/>
                <w:b/>
                <w:bCs/>
                <w:color w:val="auto"/>
                <w:kern w:val="0"/>
                <w:szCs w:val="21"/>
                <w:lang w:val="en-US" w:eastAsia="zh-CN"/>
              </w:rPr>
              <w:t>实际处理措施、</w:t>
            </w:r>
            <w:r>
              <w:rPr>
                <w:rFonts w:hint="default" w:ascii="Times New Roman" w:hAnsi="Times New Roman" w:eastAsia="宋体" w:cs="Times New Roman"/>
                <w:b/>
                <w:bCs/>
                <w:color w:val="auto"/>
                <w:kern w:val="0"/>
                <w:szCs w:val="21"/>
              </w:rPr>
              <w:t>排放方式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30" w:type="dxa"/>
            <w:vAlign w:val="center"/>
          </w:tcPr>
          <w:p>
            <w:pPr>
              <w:jc w:val="center"/>
              <w:rPr>
                <w:rFonts w:ascii="Times New Roman" w:hAnsi="Times New Roman" w:eastAsia="宋体" w:cs="Times New Roman"/>
                <w:color w:val="auto"/>
                <w:kern w:val="0"/>
                <w:szCs w:val="21"/>
              </w:rPr>
            </w:pPr>
            <w:r>
              <w:rPr>
                <w:rFonts w:hint="default" w:ascii="Times New Roman" w:hAnsi="Times New Roman" w:cs="Times New Roman"/>
                <w:color w:val="auto"/>
                <w:szCs w:val="21"/>
              </w:rPr>
              <w:t>反应釜和回收釜物料冷凝及脱水冷凝后的不凝气（含真空尾气）、包装过程废气、储罐区大小呼吸废气</w:t>
            </w:r>
          </w:p>
        </w:tc>
        <w:tc>
          <w:tcPr>
            <w:tcW w:w="1930" w:type="dxa"/>
            <w:vAlign w:val="center"/>
          </w:tcPr>
          <w:p>
            <w:pPr>
              <w:jc w:val="center"/>
              <w:rPr>
                <w:rFonts w:ascii="Times New Roman" w:hAnsi="Times New Roman" w:eastAsia="宋体" w:cs="Times New Roman"/>
                <w:color w:val="auto"/>
                <w:kern w:val="0"/>
                <w:szCs w:val="21"/>
              </w:rPr>
            </w:pPr>
            <w:r>
              <w:rPr>
                <w:rFonts w:hint="default" w:ascii="Times New Roman" w:hAnsi="Times New Roman" w:cs="Times New Roman"/>
                <w:color w:val="auto"/>
                <w:szCs w:val="21"/>
              </w:rPr>
              <w:t>氨气、甲醛、甲醇、酚类、VOCs</w:t>
            </w:r>
          </w:p>
        </w:tc>
        <w:tc>
          <w:tcPr>
            <w:tcW w:w="2222" w:type="dxa"/>
            <w:vAlign w:val="center"/>
          </w:tcPr>
          <w:p>
            <w:pPr>
              <w:jc w:val="center"/>
              <w:rPr>
                <w:rFonts w:ascii="Times New Roman" w:hAnsi="Times New Roman" w:eastAsia="宋体" w:cs="Times New Roman"/>
                <w:color w:val="auto"/>
                <w:kern w:val="0"/>
                <w:szCs w:val="21"/>
              </w:rPr>
            </w:pPr>
            <w:r>
              <w:rPr>
                <w:rFonts w:hint="default" w:ascii="Times New Roman" w:hAnsi="Times New Roman" w:cs="Times New Roman"/>
                <w:color w:val="auto"/>
                <w:szCs w:val="21"/>
              </w:rPr>
              <w:t>强制冷凝+水吸收+酸吸收+水吸收+除雾板</w:t>
            </w:r>
            <w:r>
              <w:rPr>
                <w:rFonts w:hint="eastAsia" w:ascii="Times New Roman" w:hAnsi="Times New Roman" w:cs="Times New Roman"/>
                <w:color w:val="auto"/>
                <w:szCs w:val="21"/>
                <w:lang w:val="en-US" w:eastAsia="zh-CN"/>
              </w:rPr>
              <w:t>+UV光解+30m排气筒排放</w:t>
            </w:r>
          </w:p>
        </w:tc>
        <w:tc>
          <w:tcPr>
            <w:tcW w:w="2240" w:type="dxa"/>
            <w:vAlign w:val="center"/>
          </w:tcPr>
          <w:p>
            <w:pPr>
              <w:jc w:val="center"/>
              <w:rPr>
                <w:rFonts w:ascii="Times New Roman" w:hAnsi="Times New Roman" w:eastAsia="宋体" w:cs="Times New Roman"/>
                <w:color w:val="auto"/>
                <w:kern w:val="0"/>
                <w:szCs w:val="21"/>
              </w:rPr>
            </w:pPr>
            <w:r>
              <w:rPr>
                <w:rFonts w:ascii="Times New Roman" w:hAnsi="Times New Roman" w:cs="Times New Roman"/>
                <w:color w:val="auto"/>
                <w:szCs w:val="21"/>
              </w:rPr>
              <w:t>强制冷凝+水吸收+酸吸收+</w:t>
            </w:r>
            <w:r>
              <w:rPr>
                <w:rFonts w:hint="eastAsia" w:ascii="Times New Roman" w:hAnsi="Times New Roman" w:cs="Times New Roman"/>
                <w:color w:val="auto"/>
                <w:szCs w:val="21"/>
                <w:lang w:val="en-US" w:eastAsia="zh-CN"/>
              </w:rPr>
              <w:t>酸</w:t>
            </w:r>
            <w:r>
              <w:rPr>
                <w:rFonts w:ascii="Times New Roman" w:hAnsi="Times New Roman" w:cs="Times New Roman"/>
                <w:color w:val="auto"/>
                <w:szCs w:val="21"/>
              </w:rPr>
              <w:t>吸收+除雾板+</w:t>
            </w:r>
            <w:r>
              <w:rPr>
                <w:rFonts w:hint="eastAsia" w:ascii="Times New Roman" w:hAnsi="Times New Roman" w:cs="Times New Roman"/>
                <w:color w:val="auto"/>
                <w:szCs w:val="21"/>
                <w:lang w:val="en-US" w:eastAsia="zh-CN"/>
              </w:rPr>
              <w:t>酸吸收+活性炭吸附+</w:t>
            </w:r>
            <w:r>
              <w:rPr>
                <w:rFonts w:ascii="Times New Roman" w:hAnsi="Times New Roman" w:cs="Times New Roman"/>
                <w:color w:val="auto"/>
                <w:szCs w:val="21"/>
              </w:rPr>
              <w:t>30m排气筒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30" w:type="dxa"/>
            <w:vAlign w:val="center"/>
          </w:tcPr>
          <w:p>
            <w:pPr>
              <w:jc w:val="center"/>
              <w:rPr>
                <w:rFonts w:ascii="Times New Roman" w:hAnsi="Times New Roman" w:cs="Times New Roman"/>
                <w:color w:val="auto"/>
                <w:szCs w:val="21"/>
              </w:rPr>
            </w:pPr>
            <w:r>
              <w:rPr>
                <w:rFonts w:hint="default" w:ascii="Times New Roman" w:hAnsi="Times New Roman" w:cs="Times New Roman"/>
                <w:color w:val="auto"/>
                <w:szCs w:val="21"/>
              </w:rPr>
              <w:t>污水处理站废气</w:t>
            </w:r>
          </w:p>
        </w:tc>
        <w:tc>
          <w:tcPr>
            <w:tcW w:w="1930" w:type="dxa"/>
            <w:vAlign w:val="center"/>
          </w:tcPr>
          <w:p>
            <w:pPr>
              <w:jc w:val="center"/>
              <w:rPr>
                <w:rFonts w:ascii="Times New Roman" w:hAnsi="Times New Roman" w:cs="Times New Roman"/>
                <w:color w:val="auto"/>
                <w:szCs w:val="21"/>
              </w:rPr>
            </w:pPr>
            <w:r>
              <w:rPr>
                <w:rFonts w:hint="default" w:ascii="Times New Roman" w:hAnsi="Times New Roman" w:cs="Times New Roman"/>
                <w:color w:val="auto"/>
                <w:szCs w:val="21"/>
              </w:rPr>
              <w:t>氨气、硫化氢、VOCs</w:t>
            </w:r>
          </w:p>
        </w:tc>
        <w:tc>
          <w:tcPr>
            <w:tcW w:w="2222" w:type="dxa"/>
            <w:vAlign w:val="center"/>
          </w:tcPr>
          <w:p>
            <w:pPr>
              <w:jc w:val="center"/>
              <w:rPr>
                <w:rFonts w:hint="eastAsia" w:ascii="Times New Roman" w:hAnsi="Times New Roman" w:cs="Times New Roman" w:eastAsiaTheme="minorEastAsia"/>
                <w:color w:val="auto"/>
                <w:szCs w:val="21"/>
                <w:lang w:val="en-US" w:eastAsia="zh-CN"/>
              </w:rPr>
            </w:pPr>
            <w:r>
              <w:rPr>
                <w:rFonts w:hint="default" w:ascii="Times New Roman" w:hAnsi="Times New Roman" w:cs="Times New Roman"/>
                <w:color w:val="auto"/>
                <w:szCs w:val="21"/>
              </w:rPr>
              <w:t>生物除臭喷淋</w:t>
            </w:r>
            <w:r>
              <w:rPr>
                <w:rFonts w:hint="eastAsia" w:ascii="Times New Roman" w:hAnsi="Times New Roman" w:cs="Times New Roman"/>
                <w:color w:val="auto"/>
                <w:szCs w:val="21"/>
                <w:lang w:val="en-US" w:eastAsia="zh-CN"/>
              </w:rPr>
              <w:t>+</w:t>
            </w:r>
            <w:r>
              <w:rPr>
                <w:rFonts w:hint="default" w:ascii="Times New Roman" w:hAnsi="Times New Roman" w:eastAsia="宋体" w:cs="Times New Roman"/>
                <w:color w:val="auto"/>
                <w:szCs w:val="21"/>
              </w:rPr>
              <w:t>15m排气筒排放</w:t>
            </w:r>
          </w:p>
        </w:tc>
        <w:tc>
          <w:tcPr>
            <w:tcW w:w="2240" w:type="dxa"/>
            <w:vAlign w:val="center"/>
          </w:tcPr>
          <w:p>
            <w:pPr>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水吸收+酸吸收+生物除臭喷淋+</w:t>
            </w:r>
            <w:r>
              <w:rPr>
                <w:rFonts w:hint="default" w:ascii="Times New Roman" w:hAnsi="Times New Roman" w:eastAsia="宋体" w:cs="Times New Roman"/>
                <w:color w:val="auto"/>
                <w:szCs w:val="21"/>
              </w:rPr>
              <w:t>15m排气筒排放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30" w:type="dxa"/>
            <w:vAlign w:val="center"/>
          </w:tcPr>
          <w:p>
            <w:pPr>
              <w:jc w:val="center"/>
              <w:rPr>
                <w:rFonts w:ascii="Times New Roman" w:hAnsi="Times New Roman" w:cs="Times New Roman"/>
                <w:color w:val="auto"/>
                <w:szCs w:val="21"/>
              </w:rPr>
            </w:pPr>
            <w:r>
              <w:rPr>
                <w:rFonts w:hint="default" w:ascii="Times New Roman" w:hAnsi="Times New Roman" w:cs="Times New Roman"/>
                <w:color w:val="auto"/>
                <w:szCs w:val="21"/>
              </w:rPr>
              <w:t>装置区和储存区常期运行的无组织废气</w:t>
            </w:r>
          </w:p>
        </w:tc>
        <w:tc>
          <w:tcPr>
            <w:tcW w:w="1930" w:type="dxa"/>
            <w:vAlign w:val="center"/>
          </w:tcPr>
          <w:p>
            <w:pPr>
              <w:jc w:val="center"/>
              <w:rPr>
                <w:rFonts w:ascii="Times New Roman" w:hAnsi="Times New Roman" w:cs="Times New Roman"/>
                <w:color w:val="auto"/>
                <w:szCs w:val="21"/>
              </w:rPr>
            </w:pPr>
            <w:r>
              <w:rPr>
                <w:rFonts w:hint="default" w:ascii="Times New Roman" w:hAnsi="Times New Roman" w:cs="Times New Roman"/>
                <w:color w:val="auto"/>
                <w:szCs w:val="21"/>
              </w:rPr>
              <w:t>氨气、甲醛、甲醇、酚类、VOCs</w:t>
            </w:r>
          </w:p>
        </w:tc>
        <w:tc>
          <w:tcPr>
            <w:tcW w:w="2222" w:type="dxa"/>
            <w:vAlign w:val="center"/>
          </w:tcPr>
          <w:p>
            <w:pPr>
              <w:jc w:val="center"/>
              <w:rPr>
                <w:rFonts w:hint="eastAsia" w:ascii="Times New Roman" w:hAnsi="Times New Roman" w:eastAsia="宋体" w:cs="Times New Roman"/>
                <w:color w:val="auto"/>
                <w:szCs w:val="21"/>
                <w:lang w:eastAsia="zh-CN"/>
              </w:rPr>
            </w:pPr>
            <w:r>
              <w:rPr>
                <w:rFonts w:hint="default" w:ascii="Times New Roman" w:hAnsi="Times New Roman" w:eastAsia="宋体" w:cs="Times New Roman"/>
                <w:color w:val="auto"/>
                <w:szCs w:val="21"/>
              </w:rPr>
              <w:t>定期检查、加强管理</w:t>
            </w:r>
            <w:r>
              <w:rPr>
                <w:rFonts w:hint="eastAsia"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rPr>
              <w:t>无组织排放</w:t>
            </w:r>
          </w:p>
        </w:tc>
        <w:tc>
          <w:tcPr>
            <w:tcW w:w="2240" w:type="dxa"/>
            <w:vAlign w:val="center"/>
          </w:tcPr>
          <w:p>
            <w:pPr>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原辅材料、成品密闭管道运输，定期检查、加强管理；</w:t>
            </w:r>
            <w:r>
              <w:rPr>
                <w:rFonts w:hint="default" w:ascii="Times New Roman" w:hAnsi="Times New Roman" w:eastAsia="宋体" w:cs="Times New Roman"/>
                <w:color w:val="auto"/>
                <w:szCs w:val="21"/>
              </w:rPr>
              <w:t>无组织排放</w:t>
            </w:r>
          </w:p>
        </w:tc>
      </w:tr>
      <w:bookmarkEnd w:id="39"/>
    </w:tbl>
    <w:p>
      <w:pPr>
        <w:spacing w:line="360" w:lineRule="auto"/>
        <w:outlineLvl w:val="1"/>
        <w:rPr>
          <w:rFonts w:ascii="Times New Roman" w:hAnsi="Times New Roman" w:cs="Times New Roman"/>
          <w:b/>
          <w:color w:val="auto"/>
          <w:sz w:val="30"/>
          <w:szCs w:val="30"/>
        </w:rPr>
      </w:pPr>
      <w:bookmarkStart w:id="40" w:name="_Toc25148"/>
      <w:bookmarkStart w:id="41" w:name="_Toc85120881"/>
      <w:r>
        <w:rPr>
          <w:rFonts w:hint="default" w:ascii="Times New Roman" w:hAnsi="Times New Roman" w:cs="Times New Roman"/>
          <w:b/>
          <w:color w:val="auto"/>
          <w:sz w:val="30"/>
          <w:szCs w:val="30"/>
        </w:rPr>
        <w:t>4.2  废水</w:t>
      </w:r>
      <w:bookmarkEnd w:id="40"/>
      <w:bookmarkEnd w:id="41"/>
    </w:p>
    <w:p>
      <w:pPr>
        <w:snapToGrid w:val="0"/>
        <w:spacing w:line="360" w:lineRule="auto"/>
        <w:ind w:firstLine="480" w:firstLineChars="200"/>
        <w:rPr>
          <w:rFonts w:ascii="Times New Roman" w:hAnsi="Times New Roman" w:cs="Times New Roman"/>
          <w:bCs/>
          <w:color w:val="auto"/>
          <w:sz w:val="24"/>
        </w:rPr>
      </w:pPr>
      <w:bookmarkStart w:id="42" w:name="_Hlk92353269"/>
      <w:r>
        <w:rPr>
          <w:rFonts w:hint="default" w:ascii="Times New Roman" w:hAnsi="Times New Roman" w:cs="Times New Roman"/>
          <w:color w:val="auto"/>
          <w:sz w:val="24"/>
          <w:szCs w:val="24"/>
        </w:rPr>
        <w:t>本公司</w:t>
      </w:r>
      <w:r>
        <w:rPr>
          <w:rFonts w:ascii="Times New Roman" w:hAnsi="Times New Roman" w:cs="Times New Roman"/>
          <w:bCs/>
          <w:color w:val="auto"/>
          <w:sz w:val="24"/>
        </w:rPr>
        <w:t>外排废水主要是</w:t>
      </w:r>
      <w:r>
        <w:rPr>
          <w:rFonts w:hint="default" w:ascii="Times New Roman" w:hAnsi="Times New Roman" w:cs="Times New Roman"/>
          <w:bCs/>
          <w:color w:val="auto"/>
          <w:sz w:val="24"/>
        </w:rPr>
        <w:t>工艺废水、</w:t>
      </w:r>
      <w:r>
        <w:rPr>
          <w:rFonts w:ascii="Times New Roman" w:hAnsi="Times New Roman" w:cs="Times New Roman"/>
          <w:bCs/>
          <w:color w:val="auto"/>
          <w:sz w:val="24"/>
        </w:rPr>
        <w:t>生活污水</w:t>
      </w:r>
      <w:r>
        <w:rPr>
          <w:rFonts w:hint="default" w:ascii="Times New Roman" w:hAnsi="Times New Roman" w:cs="Times New Roman"/>
          <w:bCs/>
          <w:color w:val="auto"/>
          <w:sz w:val="24"/>
        </w:rPr>
        <w:t>，工艺废水经厂区自建污水处理站处理后、排入云溪污水处理厂处理；生活污水通过隔油池+化粪池+厂区自建污水处理站处理后、排入云溪污水处理厂处理。</w:t>
      </w:r>
    </w:p>
    <w:p>
      <w:pPr>
        <w:spacing w:line="360" w:lineRule="auto"/>
        <w:ind w:firstLine="480" w:firstLineChars="200"/>
        <w:rPr>
          <w:rFonts w:ascii="Times New Roman" w:hAnsi="Times New Roman" w:cs="Times New Roman"/>
          <w:b/>
          <w:color w:val="auto"/>
          <w:sz w:val="24"/>
          <w:szCs w:val="24"/>
        </w:rPr>
      </w:pPr>
      <w:r>
        <w:rPr>
          <w:rFonts w:hint="default" w:ascii="Times New Roman" w:hAnsi="Times New Roman" w:cs="Times New Roman"/>
          <w:color w:val="auto"/>
          <w:sz w:val="24"/>
          <w:szCs w:val="24"/>
        </w:rPr>
        <w:t>废水污染物及治理措施见表</w:t>
      </w:r>
      <w:r>
        <w:rPr>
          <w:rFonts w:ascii="Times New Roman" w:hAnsi="Times New Roman" w:cs="Times New Roman"/>
          <w:color w:val="auto"/>
          <w:sz w:val="24"/>
          <w:szCs w:val="24"/>
        </w:rPr>
        <w:t>4</w:t>
      </w:r>
      <w:r>
        <w:rPr>
          <w:rFonts w:hint="default" w:ascii="Times New Roman" w:hAnsi="Times New Roman" w:cs="Times New Roman"/>
          <w:color w:val="auto"/>
          <w:sz w:val="24"/>
          <w:szCs w:val="24"/>
        </w:rPr>
        <w:t>.</w:t>
      </w:r>
      <w:r>
        <w:rPr>
          <w:rFonts w:ascii="Times New Roman" w:hAnsi="Times New Roman" w:cs="Times New Roman"/>
          <w:color w:val="auto"/>
          <w:sz w:val="24"/>
          <w:szCs w:val="24"/>
        </w:rPr>
        <w:t>2</w:t>
      </w:r>
      <w:r>
        <w:rPr>
          <w:rFonts w:hint="default" w:ascii="Times New Roman" w:hAnsi="Times New Roman" w:cs="Times New Roman"/>
          <w:color w:val="auto"/>
          <w:sz w:val="24"/>
          <w:szCs w:val="24"/>
        </w:rPr>
        <w:t>-</w:t>
      </w:r>
      <w:r>
        <w:rPr>
          <w:rFonts w:ascii="Times New Roman" w:hAnsi="Times New Roman" w:cs="Times New Roman"/>
          <w:color w:val="auto"/>
          <w:sz w:val="24"/>
          <w:szCs w:val="24"/>
        </w:rPr>
        <w:t>1</w:t>
      </w:r>
      <w:r>
        <w:rPr>
          <w:rFonts w:hint="default" w:ascii="Times New Roman" w:hAnsi="Times New Roman" w:cs="Times New Roman"/>
          <w:color w:val="auto"/>
          <w:sz w:val="24"/>
          <w:szCs w:val="24"/>
        </w:rPr>
        <w:t>。</w:t>
      </w:r>
    </w:p>
    <w:p>
      <w:pPr>
        <w:pStyle w:val="41"/>
        <w:spacing w:line="240" w:lineRule="auto"/>
        <w:ind w:firstLine="0" w:firstLineChars="0"/>
        <w:rPr>
          <w:rFonts w:ascii="Times New Roman" w:hAnsi="Times New Roman" w:cs="Times New Roman"/>
          <w:color w:val="auto"/>
          <w:spacing w:val="10"/>
          <w:kern w:val="24"/>
          <w:szCs w:val="21"/>
        </w:rPr>
      </w:pPr>
      <w:r>
        <w:rPr>
          <w:rFonts w:ascii="Times New Roman" w:hAnsi="Times New Roman" w:cs="Times New Roman"/>
          <w:color w:val="auto"/>
          <w:spacing w:val="10"/>
          <w:kern w:val="24"/>
          <w:szCs w:val="21"/>
        </w:rPr>
        <w:t>表</w:t>
      </w:r>
      <w:r>
        <w:rPr>
          <w:rFonts w:hint="default" w:ascii="Times New Roman" w:hAnsi="Times New Roman" w:cs="Times New Roman"/>
          <w:color w:val="auto"/>
          <w:spacing w:val="10"/>
          <w:kern w:val="24"/>
          <w:szCs w:val="21"/>
        </w:rPr>
        <w:t>4.2</w:t>
      </w:r>
      <w:r>
        <w:rPr>
          <w:rFonts w:ascii="Times New Roman" w:hAnsi="Times New Roman" w:cs="Times New Roman"/>
          <w:color w:val="auto"/>
          <w:spacing w:val="10"/>
          <w:kern w:val="24"/>
          <w:szCs w:val="21"/>
        </w:rPr>
        <w:t>-</w:t>
      </w:r>
      <w:r>
        <w:rPr>
          <w:rFonts w:hint="default" w:ascii="Times New Roman" w:hAnsi="Times New Roman" w:cs="Times New Roman"/>
          <w:color w:val="auto"/>
          <w:spacing w:val="10"/>
          <w:kern w:val="24"/>
          <w:szCs w:val="21"/>
        </w:rPr>
        <w:t>1</w:t>
      </w:r>
      <w:r>
        <w:rPr>
          <w:rFonts w:ascii="Times New Roman" w:hAnsi="Times New Roman" w:cs="Times New Roman"/>
          <w:color w:val="auto"/>
          <w:spacing w:val="10"/>
          <w:kern w:val="24"/>
          <w:szCs w:val="21"/>
        </w:rPr>
        <w:t xml:space="preserve">  废水主要污染物及治理措施</w:t>
      </w:r>
    </w:p>
    <w:tbl>
      <w:tblPr>
        <w:tblStyle w:val="28"/>
        <w:tblW w:w="4997" w:type="pct"/>
        <w:jc w:val="center"/>
        <w:tblBorders>
          <w:top w:val="single" w:color="000000" w:sz="12" w:space="0"/>
          <w:left w:val="single" w:color="auto" w:sz="12" w:space="0"/>
          <w:bottom w:val="single" w:color="000000" w:sz="12" w:space="0"/>
          <w:right w:val="single" w:color="auto" w:sz="12" w:space="0"/>
          <w:insideH w:val="single" w:color="000000" w:sz="4" w:space="0"/>
          <w:insideV w:val="single" w:color="000000" w:sz="4" w:space="0"/>
        </w:tblBorders>
        <w:tblLayout w:type="autofit"/>
        <w:tblCellMar>
          <w:top w:w="0" w:type="dxa"/>
          <w:left w:w="108" w:type="dxa"/>
          <w:bottom w:w="0" w:type="dxa"/>
          <w:right w:w="108" w:type="dxa"/>
        </w:tblCellMar>
      </w:tblPr>
      <w:tblGrid>
        <w:gridCol w:w="918"/>
        <w:gridCol w:w="1416"/>
        <w:gridCol w:w="1721"/>
        <w:gridCol w:w="1440"/>
        <w:gridCol w:w="1435"/>
        <w:gridCol w:w="1587"/>
      </w:tblGrid>
      <w:tr>
        <w:tblPrEx>
          <w:tblBorders>
            <w:top w:val="single" w:color="000000" w:sz="12" w:space="0"/>
            <w:left w:val="single" w:color="auto" w:sz="12" w:space="0"/>
            <w:bottom w:val="single" w:color="000000"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blHeader/>
          <w:jc w:val="center"/>
        </w:trPr>
        <w:tc>
          <w:tcPr>
            <w:tcW w:w="539" w:type="pct"/>
            <w:vAlign w:val="center"/>
          </w:tcPr>
          <w:p>
            <w:pPr>
              <w:jc w:val="center"/>
              <w:rPr>
                <w:rFonts w:ascii="Times New Roman" w:hAnsi="Times New Roman" w:cs="Times New Roman"/>
                <w:b/>
                <w:bCs/>
                <w:color w:val="auto"/>
                <w:szCs w:val="21"/>
              </w:rPr>
            </w:pPr>
            <w:r>
              <w:rPr>
                <w:rFonts w:ascii="Times New Roman" w:hAnsi="Times New Roman" w:eastAsia="宋体" w:cs="Times New Roman"/>
                <w:b/>
                <w:bCs/>
                <w:color w:val="auto"/>
                <w:szCs w:val="21"/>
              </w:rPr>
              <w:t>污染源</w:t>
            </w:r>
          </w:p>
        </w:tc>
        <w:tc>
          <w:tcPr>
            <w:tcW w:w="831" w:type="pct"/>
            <w:vAlign w:val="center"/>
          </w:tcPr>
          <w:p>
            <w:pPr>
              <w:jc w:val="center"/>
              <w:rPr>
                <w:rFonts w:hint="eastAsia" w:ascii="Times New Roman" w:hAnsi="Times New Roman" w:cs="Times New Roman" w:eastAsiaTheme="minorEastAsia"/>
                <w:b/>
                <w:bCs/>
                <w:color w:val="auto"/>
                <w:szCs w:val="21"/>
                <w:lang w:val="en-US" w:eastAsia="zh-CN"/>
              </w:rPr>
            </w:pPr>
            <w:r>
              <w:rPr>
                <w:rFonts w:hint="eastAsia" w:ascii="Times New Roman" w:hAnsi="Times New Roman" w:eastAsia="宋体" w:cs="Times New Roman"/>
                <w:b/>
                <w:bCs/>
                <w:color w:val="auto"/>
                <w:szCs w:val="21"/>
                <w:lang w:val="en-US" w:eastAsia="zh-CN"/>
              </w:rPr>
              <w:t>产生量</w:t>
            </w:r>
            <w:r>
              <w:rPr>
                <w:rFonts w:ascii="Times New Roman" w:hAnsi="Times New Roman" w:cs="Times New Roman"/>
                <w:color w:val="auto"/>
                <w:sz w:val="20"/>
                <w:szCs w:val="20"/>
              </w:rPr>
              <w:t>（m</w:t>
            </w:r>
            <w:r>
              <w:rPr>
                <w:rFonts w:ascii="Times New Roman" w:hAnsi="Times New Roman" w:cs="Times New Roman"/>
                <w:color w:val="auto"/>
                <w:sz w:val="20"/>
                <w:szCs w:val="20"/>
                <w:vertAlign w:val="superscript"/>
              </w:rPr>
              <w:t>3</w:t>
            </w:r>
            <w:r>
              <w:rPr>
                <w:rFonts w:ascii="Times New Roman" w:hAnsi="Times New Roman" w:cs="Times New Roman"/>
                <w:color w:val="auto"/>
                <w:sz w:val="20"/>
                <w:szCs w:val="20"/>
              </w:rPr>
              <w:t>/a</w:t>
            </w:r>
            <w:r>
              <w:rPr>
                <w:rFonts w:hint="eastAsia" w:ascii="Times New Roman" w:hAnsi="Times New Roman" w:cs="Times New Roman"/>
                <w:color w:val="auto"/>
                <w:sz w:val="20"/>
                <w:szCs w:val="20"/>
                <w:lang w:eastAsia="zh-CN"/>
              </w:rPr>
              <w:t>）</w:t>
            </w:r>
          </w:p>
        </w:tc>
        <w:tc>
          <w:tcPr>
            <w:tcW w:w="1010" w:type="pct"/>
            <w:vAlign w:val="center"/>
          </w:tcPr>
          <w:p>
            <w:pPr>
              <w:jc w:val="center"/>
              <w:rPr>
                <w:rFonts w:ascii="Times New Roman" w:hAnsi="Times New Roman" w:cs="Times New Roman"/>
                <w:b/>
                <w:bCs/>
                <w:color w:val="auto"/>
                <w:szCs w:val="21"/>
              </w:rPr>
            </w:pPr>
            <w:r>
              <w:rPr>
                <w:rFonts w:ascii="Times New Roman" w:hAnsi="Times New Roman" w:cs="Times New Roman"/>
                <w:b/>
                <w:bCs/>
                <w:color w:val="auto"/>
                <w:szCs w:val="21"/>
              </w:rPr>
              <w:t>主要污染物</w:t>
            </w:r>
          </w:p>
        </w:tc>
        <w:tc>
          <w:tcPr>
            <w:tcW w:w="845" w:type="pct"/>
            <w:vAlign w:val="center"/>
          </w:tcPr>
          <w:p>
            <w:pPr>
              <w:jc w:val="center"/>
              <w:rPr>
                <w:rFonts w:ascii="Times New Roman" w:hAnsi="Times New Roman" w:cs="Times New Roman"/>
                <w:b/>
                <w:bCs/>
                <w:color w:val="auto"/>
                <w:szCs w:val="21"/>
              </w:rPr>
            </w:pPr>
            <w:r>
              <w:rPr>
                <w:rFonts w:hint="eastAsia" w:ascii="Times New Roman" w:hAnsi="Times New Roman" w:eastAsia="宋体" w:cs="Times New Roman"/>
                <w:b/>
                <w:bCs/>
                <w:color w:val="auto"/>
                <w:kern w:val="0"/>
                <w:szCs w:val="21"/>
                <w:lang w:val="en-US" w:eastAsia="zh-CN"/>
              </w:rPr>
              <w:t>环评</w:t>
            </w:r>
            <w:r>
              <w:rPr>
                <w:rFonts w:hint="default" w:ascii="Times New Roman" w:hAnsi="Times New Roman" w:eastAsia="宋体" w:cs="Times New Roman"/>
                <w:b/>
                <w:bCs/>
                <w:color w:val="auto"/>
                <w:kern w:val="0"/>
                <w:szCs w:val="21"/>
              </w:rPr>
              <w:t>处理措施</w:t>
            </w:r>
            <w:r>
              <w:rPr>
                <w:rFonts w:hint="eastAsia" w:ascii="Times New Roman" w:hAnsi="Times New Roman" w:eastAsia="宋体" w:cs="Times New Roman"/>
                <w:b/>
                <w:bCs/>
                <w:color w:val="auto"/>
                <w:kern w:val="0"/>
                <w:szCs w:val="21"/>
                <w:lang w:eastAsia="zh-CN"/>
              </w:rPr>
              <w:t>、</w:t>
            </w:r>
            <w:r>
              <w:rPr>
                <w:rFonts w:hint="eastAsia" w:ascii="Times New Roman" w:hAnsi="Times New Roman" w:eastAsia="宋体" w:cs="Times New Roman"/>
                <w:b/>
                <w:bCs/>
                <w:color w:val="auto"/>
                <w:kern w:val="0"/>
                <w:szCs w:val="21"/>
                <w:lang w:val="en-US" w:eastAsia="zh-CN"/>
              </w:rPr>
              <w:t>排放方式</w:t>
            </w:r>
          </w:p>
        </w:tc>
        <w:tc>
          <w:tcPr>
            <w:tcW w:w="842" w:type="pct"/>
            <w:vAlign w:val="center"/>
          </w:tcPr>
          <w:p>
            <w:pPr>
              <w:jc w:val="center"/>
              <w:rPr>
                <w:rFonts w:ascii="Times New Roman" w:hAnsi="Times New Roman" w:cs="Times New Roman"/>
                <w:b/>
                <w:bCs/>
                <w:color w:val="auto"/>
                <w:szCs w:val="21"/>
              </w:rPr>
            </w:pPr>
            <w:r>
              <w:rPr>
                <w:rFonts w:hint="eastAsia" w:ascii="Times New Roman" w:hAnsi="Times New Roman" w:eastAsia="宋体" w:cs="Times New Roman"/>
                <w:b/>
                <w:bCs/>
                <w:color w:val="auto"/>
                <w:kern w:val="0"/>
                <w:szCs w:val="21"/>
                <w:lang w:val="en-US" w:eastAsia="zh-CN"/>
              </w:rPr>
              <w:t>实际处理措施、</w:t>
            </w:r>
            <w:r>
              <w:rPr>
                <w:rFonts w:hint="default" w:ascii="Times New Roman" w:hAnsi="Times New Roman" w:eastAsia="宋体" w:cs="Times New Roman"/>
                <w:b/>
                <w:bCs/>
                <w:color w:val="auto"/>
                <w:kern w:val="0"/>
                <w:szCs w:val="21"/>
              </w:rPr>
              <w:t>排放方式</w:t>
            </w:r>
          </w:p>
        </w:tc>
        <w:tc>
          <w:tcPr>
            <w:tcW w:w="931" w:type="pct"/>
            <w:vAlign w:val="center"/>
          </w:tcPr>
          <w:p>
            <w:pPr>
              <w:jc w:val="center"/>
              <w:rPr>
                <w:rFonts w:ascii="Times New Roman" w:hAnsi="Times New Roman" w:cs="Times New Roman"/>
                <w:b/>
                <w:bCs/>
                <w:color w:val="auto"/>
                <w:szCs w:val="21"/>
              </w:rPr>
            </w:pPr>
            <w:r>
              <w:rPr>
                <w:rFonts w:ascii="Times New Roman" w:hAnsi="Times New Roman" w:eastAsia="宋体" w:cs="Times New Roman"/>
                <w:b/>
                <w:bCs/>
                <w:color w:val="auto"/>
                <w:szCs w:val="21"/>
              </w:rPr>
              <w:t>排放情况</w:t>
            </w:r>
          </w:p>
        </w:tc>
      </w:tr>
      <w:tr>
        <w:tblPrEx>
          <w:tblBorders>
            <w:top w:val="single" w:color="000000" w:sz="12" w:space="0"/>
            <w:left w:val="single" w:color="auto" w:sz="12" w:space="0"/>
            <w:bottom w:val="single" w:color="000000"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39" w:type="pct"/>
            <w:vAlign w:val="center"/>
          </w:tcPr>
          <w:p>
            <w:pPr>
              <w:jc w:val="center"/>
              <w:rPr>
                <w:rFonts w:ascii="Times New Roman" w:hAnsi="Times New Roman" w:cs="Times New Roman"/>
                <w:color w:val="auto"/>
                <w:szCs w:val="21"/>
              </w:rPr>
            </w:pPr>
            <w:r>
              <w:rPr>
                <w:rFonts w:hint="default" w:ascii="Times New Roman" w:hAnsi="Times New Roman" w:cs="Times New Roman"/>
                <w:color w:val="auto"/>
                <w:szCs w:val="21"/>
              </w:rPr>
              <w:t>工艺废水</w:t>
            </w:r>
          </w:p>
        </w:tc>
        <w:tc>
          <w:tcPr>
            <w:tcW w:w="831" w:type="pct"/>
            <w:vAlign w:val="center"/>
          </w:tcPr>
          <w:p>
            <w:pPr>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val="en-US" w:eastAsia="zh-CN"/>
              </w:rPr>
              <w:t>28138.6</w:t>
            </w:r>
          </w:p>
        </w:tc>
        <w:tc>
          <w:tcPr>
            <w:tcW w:w="1010" w:type="pct"/>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rPr>
              <w:t>pH、COD</w:t>
            </w:r>
            <w:r>
              <w:rPr>
                <w:rFonts w:ascii="Times New Roman" w:hAnsi="Times New Roman" w:eastAsia="宋体" w:cs="Times New Roman"/>
                <w:color w:val="auto"/>
                <w:vertAlign w:val="subscript"/>
              </w:rPr>
              <w:t>Cr</w:t>
            </w:r>
            <w:r>
              <w:rPr>
                <w:rFonts w:ascii="Times New Roman" w:hAnsi="Times New Roman" w:eastAsia="宋体" w:cs="Times New Roman"/>
                <w:color w:val="auto"/>
              </w:rPr>
              <w:t>、BOD</w:t>
            </w:r>
            <w:r>
              <w:rPr>
                <w:rFonts w:ascii="Times New Roman" w:hAnsi="Times New Roman" w:eastAsia="宋体" w:cs="Times New Roman"/>
                <w:color w:val="auto"/>
                <w:vertAlign w:val="subscript"/>
              </w:rPr>
              <w:t>5</w:t>
            </w:r>
            <w:r>
              <w:rPr>
                <w:rFonts w:ascii="Times New Roman" w:hAnsi="Times New Roman" w:eastAsia="宋体" w:cs="Times New Roman"/>
                <w:color w:val="auto"/>
              </w:rPr>
              <w:t>、SS、NH</w:t>
            </w:r>
            <w:r>
              <w:rPr>
                <w:rFonts w:ascii="Times New Roman" w:hAnsi="Times New Roman" w:eastAsia="宋体" w:cs="Times New Roman"/>
                <w:color w:val="auto"/>
                <w:vertAlign w:val="subscript"/>
              </w:rPr>
              <w:t>3</w:t>
            </w:r>
            <w:r>
              <w:rPr>
                <w:rFonts w:ascii="Times New Roman" w:hAnsi="Times New Roman" w:eastAsia="宋体" w:cs="Times New Roman"/>
                <w:color w:val="auto"/>
              </w:rPr>
              <w:t>-N、</w:t>
            </w:r>
            <w:r>
              <w:rPr>
                <w:rFonts w:hint="default" w:ascii="Times New Roman" w:hAnsi="Times New Roman" w:eastAsia="宋体" w:cs="Times New Roman"/>
                <w:color w:val="auto"/>
              </w:rPr>
              <w:t>苯酚、甲醛</w:t>
            </w:r>
          </w:p>
        </w:tc>
        <w:tc>
          <w:tcPr>
            <w:tcW w:w="845" w:type="pct"/>
            <w:vAlign w:val="center"/>
          </w:tcPr>
          <w:p>
            <w:pPr>
              <w:jc w:val="center"/>
              <w:rPr>
                <w:rFonts w:ascii="Times New Roman" w:hAnsi="Times New Roman" w:eastAsia="宋体" w:cs="Times New Roman"/>
                <w:color w:val="auto"/>
              </w:rPr>
            </w:pPr>
            <w:r>
              <w:rPr>
                <w:rFonts w:hint="default" w:ascii="Times New Roman" w:hAnsi="Times New Roman" w:cs="Times New Roman"/>
                <w:color w:val="auto"/>
                <w:szCs w:val="21"/>
              </w:rPr>
              <w:t>自建污水处理站（调节+水解酸化+AO+沉淀）</w:t>
            </w:r>
          </w:p>
        </w:tc>
        <w:tc>
          <w:tcPr>
            <w:tcW w:w="842" w:type="pct"/>
            <w:vAlign w:val="center"/>
          </w:tcPr>
          <w:p>
            <w:pPr>
              <w:jc w:val="center"/>
              <w:rPr>
                <w:rFonts w:ascii="Times New Roman" w:hAnsi="Times New Roman" w:cs="Times New Roman"/>
                <w:color w:val="auto"/>
                <w:szCs w:val="21"/>
              </w:rPr>
            </w:pPr>
            <w:r>
              <w:rPr>
                <w:rFonts w:hint="default" w:ascii="Times New Roman" w:hAnsi="Times New Roman" w:cs="Times New Roman"/>
                <w:color w:val="auto"/>
                <w:szCs w:val="21"/>
              </w:rPr>
              <w:t>自建污水处理站（调节+水解酸化+AO+沉淀）</w:t>
            </w:r>
          </w:p>
        </w:tc>
        <w:tc>
          <w:tcPr>
            <w:tcW w:w="931" w:type="pct"/>
            <w:vAlign w:val="center"/>
          </w:tcPr>
          <w:p>
            <w:pPr>
              <w:jc w:val="center"/>
              <w:rPr>
                <w:rFonts w:ascii="Times New Roman" w:hAnsi="Times New Roman" w:cs="Times New Roman"/>
                <w:color w:val="auto"/>
                <w:szCs w:val="21"/>
              </w:rPr>
            </w:pPr>
            <w:r>
              <w:rPr>
                <w:rFonts w:hint="default" w:ascii="Times New Roman" w:hAnsi="Times New Roman" w:cs="Times New Roman"/>
                <w:color w:val="auto"/>
                <w:szCs w:val="21"/>
              </w:rPr>
              <w:t>经厂区自建污水处理站处理后、排入云溪污水处理厂处理</w:t>
            </w:r>
          </w:p>
        </w:tc>
      </w:tr>
      <w:tr>
        <w:tblPrEx>
          <w:tblBorders>
            <w:top w:val="single" w:color="000000" w:sz="12" w:space="0"/>
            <w:left w:val="single" w:color="auto" w:sz="12" w:space="0"/>
            <w:bottom w:val="single" w:color="000000"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39" w:type="pct"/>
            <w:vAlign w:val="center"/>
          </w:tcPr>
          <w:p>
            <w:pPr>
              <w:jc w:val="center"/>
              <w:rPr>
                <w:rFonts w:ascii="Times New Roman" w:hAnsi="Times New Roman" w:cs="Times New Roman"/>
                <w:color w:val="auto"/>
                <w:szCs w:val="21"/>
              </w:rPr>
            </w:pPr>
            <w:r>
              <w:rPr>
                <w:rFonts w:ascii="Times New Roman" w:hAnsi="Times New Roman" w:eastAsia="宋体" w:cs="Times New Roman"/>
                <w:color w:val="auto"/>
                <w:szCs w:val="21"/>
              </w:rPr>
              <w:t>生活污水</w:t>
            </w:r>
          </w:p>
        </w:tc>
        <w:tc>
          <w:tcPr>
            <w:tcW w:w="831" w:type="pct"/>
            <w:vAlign w:val="center"/>
          </w:tcPr>
          <w:p>
            <w:pPr>
              <w:jc w:val="center"/>
              <w:rPr>
                <w:rFonts w:ascii="Times New Roman" w:hAnsi="Times New Roman" w:eastAsia="宋体" w:cs="Times New Roman"/>
                <w:color w:val="auto"/>
                <w:szCs w:val="21"/>
              </w:rPr>
            </w:pPr>
            <w:r>
              <w:rPr>
                <w:rFonts w:ascii="Times New Roman" w:hAnsi="Times New Roman" w:cs="Times New Roman"/>
                <w:color w:val="auto"/>
                <w:sz w:val="20"/>
                <w:szCs w:val="20"/>
              </w:rPr>
              <w:t>1278.72</w:t>
            </w:r>
          </w:p>
        </w:tc>
        <w:tc>
          <w:tcPr>
            <w:tcW w:w="1010" w:type="pct"/>
            <w:vAlign w:val="center"/>
          </w:tcPr>
          <w:p>
            <w:pPr>
              <w:jc w:val="center"/>
              <w:rPr>
                <w:rFonts w:ascii="Times New Roman" w:hAnsi="Times New Roman" w:cs="Times New Roman"/>
                <w:color w:val="auto"/>
                <w:szCs w:val="21"/>
              </w:rPr>
            </w:pPr>
            <w:r>
              <w:rPr>
                <w:rFonts w:ascii="Times New Roman" w:hAnsi="Times New Roman" w:eastAsia="宋体" w:cs="Times New Roman"/>
                <w:color w:val="auto"/>
              </w:rPr>
              <w:t>pH、COD</w:t>
            </w:r>
            <w:r>
              <w:rPr>
                <w:rFonts w:ascii="Times New Roman" w:hAnsi="Times New Roman" w:eastAsia="宋体" w:cs="Times New Roman"/>
                <w:color w:val="auto"/>
                <w:vertAlign w:val="subscript"/>
              </w:rPr>
              <w:t>Cr</w:t>
            </w:r>
            <w:r>
              <w:rPr>
                <w:rFonts w:ascii="Times New Roman" w:hAnsi="Times New Roman" w:eastAsia="宋体" w:cs="Times New Roman"/>
                <w:color w:val="auto"/>
              </w:rPr>
              <w:t>、BOD</w:t>
            </w:r>
            <w:r>
              <w:rPr>
                <w:rFonts w:ascii="Times New Roman" w:hAnsi="Times New Roman" w:eastAsia="宋体" w:cs="Times New Roman"/>
                <w:color w:val="auto"/>
                <w:vertAlign w:val="subscript"/>
              </w:rPr>
              <w:t>5</w:t>
            </w:r>
            <w:r>
              <w:rPr>
                <w:rFonts w:ascii="Times New Roman" w:hAnsi="Times New Roman" w:eastAsia="宋体" w:cs="Times New Roman"/>
                <w:color w:val="auto"/>
              </w:rPr>
              <w:t>、SS、NH</w:t>
            </w:r>
            <w:r>
              <w:rPr>
                <w:rFonts w:ascii="Times New Roman" w:hAnsi="Times New Roman" w:eastAsia="宋体" w:cs="Times New Roman"/>
                <w:color w:val="auto"/>
                <w:vertAlign w:val="subscript"/>
              </w:rPr>
              <w:t>3</w:t>
            </w:r>
            <w:r>
              <w:rPr>
                <w:rFonts w:ascii="Times New Roman" w:hAnsi="Times New Roman" w:eastAsia="宋体" w:cs="Times New Roman"/>
                <w:color w:val="auto"/>
              </w:rPr>
              <w:t>-N、动植物油</w:t>
            </w:r>
          </w:p>
        </w:tc>
        <w:tc>
          <w:tcPr>
            <w:tcW w:w="845" w:type="pct"/>
            <w:vAlign w:val="center"/>
          </w:tcPr>
          <w:p>
            <w:pPr>
              <w:jc w:val="center"/>
              <w:rPr>
                <w:rFonts w:ascii="Times New Roman" w:hAnsi="Times New Roman" w:eastAsia="宋体" w:cs="Times New Roman"/>
                <w:color w:val="auto"/>
              </w:rPr>
            </w:pPr>
            <w:r>
              <w:rPr>
                <w:rFonts w:hint="default" w:ascii="Times New Roman" w:hAnsi="Times New Roman" w:eastAsia="宋体" w:cs="Times New Roman"/>
                <w:color w:val="auto"/>
                <w:szCs w:val="21"/>
              </w:rPr>
              <w:t>隔油池+</w:t>
            </w:r>
            <w:r>
              <w:rPr>
                <w:rFonts w:ascii="Times New Roman" w:hAnsi="Times New Roman" w:eastAsia="宋体" w:cs="Times New Roman"/>
                <w:color w:val="auto"/>
                <w:szCs w:val="21"/>
              </w:rPr>
              <w:t>化粪池</w:t>
            </w:r>
            <w:r>
              <w:rPr>
                <w:rFonts w:hint="default" w:ascii="Times New Roman" w:hAnsi="Times New Roman" w:eastAsia="宋体" w:cs="Times New Roman"/>
                <w:color w:val="auto"/>
                <w:szCs w:val="21"/>
              </w:rPr>
              <w:t>预+</w:t>
            </w:r>
            <w:r>
              <w:rPr>
                <w:rFonts w:hint="default" w:ascii="Times New Roman" w:hAnsi="Times New Roman" w:cs="Times New Roman"/>
                <w:color w:val="auto"/>
                <w:szCs w:val="21"/>
              </w:rPr>
              <w:t>自建污水处理站（调节+水解酸化+AO+沉淀）</w:t>
            </w:r>
          </w:p>
        </w:tc>
        <w:tc>
          <w:tcPr>
            <w:tcW w:w="842" w:type="pct"/>
            <w:vAlign w:val="center"/>
          </w:tcPr>
          <w:p>
            <w:pPr>
              <w:jc w:val="center"/>
              <w:rPr>
                <w:rFonts w:ascii="Times New Roman" w:hAnsi="Times New Roman" w:eastAsia="宋体" w:cs="Times New Roman"/>
                <w:color w:val="auto"/>
                <w:szCs w:val="21"/>
              </w:rPr>
            </w:pPr>
            <w:r>
              <w:rPr>
                <w:rFonts w:hint="default" w:ascii="Times New Roman" w:hAnsi="Times New Roman" w:eastAsia="宋体" w:cs="Times New Roman"/>
                <w:color w:val="auto"/>
                <w:szCs w:val="21"/>
              </w:rPr>
              <w:t>隔油池+</w:t>
            </w:r>
            <w:r>
              <w:rPr>
                <w:rFonts w:ascii="Times New Roman" w:hAnsi="Times New Roman" w:eastAsia="宋体" w:cs="Times New Roman"/>
                <w:color w:val="auto"/>
                <w:szCs w:val="21"/>
              </w:rPr>
              <w:t>化粪池</w:t>
            </w:r>
            <w:r>
              <w:rPr>
                <w:rFonts w:hint="default" w:ascii="Times New Roman" w:hAnsi="Times New Roman" w:eastAsia="宋体" w:cs="Times New Roman"/>
                <w:color w:val="auto"/>
                <w:szCs w:val="21"/>
              </w:rPr>
              <w:t>预+</w:t>
            </w:r>
            <w:r>
              <w:rPr>
                <w:rFonts w:hint="default" w:ascii="Times New Roman" w:hAnsi="Times New Roman" w:cs="Times New Roman"/>
                <w:color w:val="auto"/>
                <w:szCs w:val="21"/>
              </w:rPr>
              <w:t>自建污水处理站（调节+水解酸化+AO+沉淀）</w:t>
            </w:r>
          </w:p>
        </w:tc>
        <w:tc>
          <w:tcPr>
            <w:tcW w:w="931" w:type="pct"/>
            <w:vAlign w:val="center"/>
          </w:tcPr>
          <w:p>
            <w:pPr>
              <w:jc w:val="center"/>
              <w:rPr>
                <w:rFonts w:ascii="Times New Roman" w:hAnsi="Times New Roman" w:cs="Times New Roman"/>
                <w:color w:val="auto"/>
                <w:szCs w:val="21"/>
              </w:rPr>
            </w:pPr>
            <w:r>
              <w:rPr>
                <w:rFonts w:hint="default" w:ascii="Times New Roman" w:hAnsi="Times New Roman" w:cs="Times New Roman"/>
                <w:color w:val="auto"/>
                <w:szCs w:val="21"/>
              </w:rPr>
              <w:t>通过隔油池+化粪池+厂区自建污水处理站处理后、排入云溪污水处理厂处理</w:t>
            </w:r>
          </w:p>
        </w:tc>
      </w:tr>
      <w:bookmarkEnd w:id="42"/>
    </w:tbl>
    <w:p>
      <w:pPr>
        <w:widowControl w:val="0"/>
        <w:spacing w:line="360" w:lineRule="auto"/>
        <w:ind w:firstLine="480" w:firstLineChars="200"/>
        <w:jc w:val="both"/>
        <w:rPr>
          <w:rFonts w:ascii="Times New Roman" w:hAnsi="Times New Roman" w:cs="Times New Roman"/>
          <w:color w:val="auto"/>
          <w:kern w:val="2"/>
          <w:sz w:val="24"/>
          <w:szCs w:val="24"/>
        </w:rPr>
      </w:pPr>
      <w:bookmarkStart w:id="43" w:name="_Toc85120882"/>
      <w:r>
        <w:rPr>
          <w:rFonts w:ascii="Times New Roman" w:hAnsi="Times New Roman" w:cs="Times New Roman"/>
          <w:color w:val="auto"/>
          <w:sz w:val="24"/>
          <w:szCs w:val="24"/>
        </w:rPr>
        <w:t>本项目污水站处理规模为100m</w:t>
      </w:r>
      <w:r>
        <w:rPr>
          <w:rFonts w:ascii="Times New Roman" w:hAnsi="Times New Roman" w:cs="Times New Roman"/>
          <w:color w:val="auto"/>
          <w:sz w:val="24"/>
          <w:szCs w:val="24"/>
          <w:vertAlign w:val="superscript"/>
        </w:rPr>
        <w:t>3</w:t>
      </w:r>
      <w:r>
        <w:rPr>
          <w:rFonts w:ascii="Times New Roman" w:hAnsi="Times New Roman" w:cs="Times New Roman"/>
          <w:color w:val="auto"/>
          <w:sz w:val="24"/>
          <w:szCs w:val="24"/>
        </w:rPr>
        <w:t>/d，具体处理</w:t>
      </w:r>
      <w:r>
        <w:rPr>
          <w:rFonts w:ascii="Times New Roman" w:hAnsi="Times New Roman" w:cs="Times New Roman"/>
          <w:color w:val="auto"/>
          <w:kern w:val="2"/>
          <w:sz w:val="24"/>
          <w:szCs w:val="24"/>
        </w:rPr>
        <w:t>工艺流程如下：</w:t>
      </w:r>
    </w:p>
    <w:p>
      <w:pPr>
        <w:pStyle w:val="9"/>
        <w:autoSpaceDE/>
        <w:autoSpaceDN/>
        <w:adjustRightInd/>
        <w:spacing w:line="240" w:lineRule="auto"/>
        <w:ind w:firstLine="0"/>
        <w:rPr>
          <w:color w:val="auto"/>
        </w:rPr>
      </w:pPr>
      <w:r>
        <w:rPr>
          <w:color w:val="auto"/>
        </w:rPr>
        <w:object>
          <v:shape id="_x0000_i1032" o:spt="75" type="#_x0000_t75" style="height:187.75pt;width:411.4pt;" o:ole="t" filled="f" o:preferrelative="t" stroked="f" coordsize="21600,21600">
            <v:path/>
            <v:fill on="f" focussize="0,0"/>
            <v:stroke on="f"/>
            <v:imagedata r:id="rId25" o:title=""/>
            <o:lock v:ext="edit" aspectratio="t"/>
            <w10:wrap type="none"/>
            <w10:anchorlock/>
          </v:shape>
          <o:OLEObject Type="Embed" ProgID="Visio.Drawing.11" ShapeID="_x0000_i1032" DrawAspect="Content" ObjectID="_1468075732" r:id="rId24">
            <o:LockedField>false</o:LockedField>
          </o:OLEObject>
        </w:object>
      </w:r>
    </w:p>
    <w:p>
      <w:pPr>
        <w:pStyle w:val="9"/>
        <w:autoSpaceDE/>
        <w:autoSpaceDN/>
        <w:adjustRightInd/>
        <w:spacing w:line="240" w:lineRule="auto"/>
        <w:ind w:firstLine="2520" w:firstLineChars="1200"/>
        <w:rPr>
          <w:rFonts w:ascii="Times New Roman" w:hAnsi="Times New Roman" w:eastAsia="黑体" w:cs="Times New Roman"/>
          <w:color w:val="auto"/>
        </w:rPr>
      </w:pPr>
      <w:r>
        <w:rPr>
          <w:rFonts w:ascii="Times New Roman" w:hAnsi="Times New Roman" w:eastAsia="黑体" w:cs="Times New Roman"/>
          <w:color w:val="auto"/>
          <w:sz w:val="21"/>
          <w:szCs w:val="21"/>
        </w:rPr>
        <w:t>图</w:t>
      </w:r>
      <w:r>
        <w:rPr>
          <w:rFonts w:hint="eastAsia" w:ascii="Times New Roman" w:hAnsi="Times New Roman" w:eastAsia="黑体" w:cs="Times New Roman"/>
          <w:color w:val="auto"/>
          <w:sz w:val="21"/>
          <w:szCs w:val="21"/>
          <w:lang w:val="en-US" w:eastAsia="zh-CN"/>
        </w:rPr>
        <w:t>4.2</w:t>
      </w:r>
      <w:r>
        <w:rPr>
          <w:rFonts w:ascii="Times New Roman" w:hAnsi="Times New Roman" w:eastAsia="黑体" w:cs="Times New Roman"/>
          <w:color w:val="auto"/>
          <w:sz w:val="21"/>
          <w:szCs w:val="21"/>
        </w:rPr>
        <w:t>-1  废水处理工艺流程图</w:t>
      </w:r>
    </w:p>
    <w:p>
      <w:pPr>
        <w:spacing w:line="360" w:lineRule="auto"/>
        <w:outlineLvl w:val="1"/>
        <w:rPr>
          <w:rFonts w:ascii="Times New Roman" w:hAnsi="Times New Roman" w:cs="Times New Roman"/>
          <w:b/>
          <w:color w:val="auto"/>
          <w:sz w:val="30"/>
          <w:szCs w:val="30"/>
        </w:rPr>
      </w:pPr>
      <w:bookmarkStart w:id="44" w:name="_Toc25108"/>
      <w:r>
        <w:rPr>
          <w:rFonts w:hint="default" w:ascii="Times New Roman" w:hAnsi="Times New Roman" w:cs="Times New Roman"/>
          <w:b/>
          <w:color w:val="auto"/>
          <w:sz w:val="30"/>
          <w:szCs w:val="30"/>
        </w:rPr>
        <w:t>4.3  固体废物</w:t>
      </w:r>
      <w:bookmarkEnd w:id="43"/>
      <w:bookmarkEnd w:id="44"/>
    </w:p>
    <w:p>
      <w:pPr>
        <w:spacing w:line="360" w:lineRule="auto"/>
        <w:ind w:firstLine="480" w:firstLineChars="200"/>
        <w:rPr>
          <w:rFonts w:ascii="Times New Roman" w:hAnsi="Times New Roman" w:cs="Times New Roman"/>
          <w:color w:val="auto"/>
          <w:kern w:val="0"/>
          <w:sz w:val="24"/>
          <w:szCs w:val="24"/>
        </w:rPr>
      </w:pPr>
      <w:r>
        <w:rPr>
          <w:rFonts w:hint="default" w:ascii="Times New Roman" w:hAnsi="Times New Roman" w:cs="Times New Roman"/>
          <w:color w:val="auto"/>
          <w:sz w:val="24"/>
          <w:szCs w:val="24"/>
        </w:rPr>
        <w:t>本公司</w:t>
      </w:r>
      <w:bookmarkStart w:id="45" w:name="_Hlk92353302"/>
      <w:r>
        <w:rPr>
          <w:rFonts w:hint="default" w:ascii="Times New Roman" w:hAnsi="Times New Roman" w:cs="Times New Roman"/>
          <w:color w:val="auto"/>
          <w:sz w:val="24"/>
          <w:szCs w:val="24"/>
        </w:rPr>
        <w:t>营运期间产生的固体废物</w:t>
      </w:r>
      <w:r>
        <w:rPr>
          <w:rFonts w:hint="default" w:ascii="Times New Roman" w:hAnsi="Times New Roman" w:cs="Times New Roman"/>
          <w:color w:val="auto"/>
          <w:kern w:val="0"/>
          <w:sz w:val="24"/>
          <w:szCs w:val="24"/>
        </w:rPr>
        <w:t>主要为废包装、废包装桶、生活垃圾、废过滤渣及滤网、污水站生化污泥、实验室废试剂瓶。</w:t>
      </w:r>
    </w:p>
    <w:p>
      <w:pPr>
        <w:jc w:val="center"/>
        <w:rPr>
          <w:rFonts w:ascii="Times New Roman" w:hAnsi="Times New Roman" w:eastAsia="宋体" w:cs="Times New Roman"/>
          <w:b/>
          <w:bCs/>
          <w:color w:val="auto"/>
          <w:szCs w:val="21"/>
        </w:rPr>
      </w:pPr>
    </w:p>
    <w:p>
      <w:pPr>
        <w:jc w:val="center"/>
        <w:rPr>
          <w:rFonts w:ascii="Times New Roman" w:hAnsi="Times New Roman" w:eastAsia="宋体" w:cs="Times New Roman"/>
          <w:b/>
          <w:bCs/>
          <w:color w:val="auto"/>
          <w:szCs w:val="21"/>
        </w:rPr>
      </w:pPr>
      <w:r>
        <w:rPr>
          <w:rFonts w:ascii="Times New Roman" w:hAnsi="Times New Roman" w:eastAsia="宋体" w:cs="Times New Roman"/>
          <w:b/>
          <w:bCs/>
          <w:color w:val="auto"/>
          <w:szCs w:val="21"/>
        </w:rPr>
        <w:t>表</w:t>
      </w:r>
      <w:r>
        <w:rPr>
          <w:rFonts w:hint="default" w:ascii="Times New Roman" w:hAnsi="Times New Roman" w:eastAsia="宋体" w:cs="Times New Roman"/>
          <w:b/>
          <w:bCs/>
          <w:color w:val="auto"/>
          <w:szCs w:val="21"/>
        </w:rPr>
        <w:t>4.3</w:t>
      </w:r>
      <w:r>
        <w:rPr>
          <w:rFonts w:ascii="Times New Roman" w:hAnsi="Times New Roman" w:eastAsia="宋体" w:cs="Times New Roman"/>
          <w:b/>
          <w:bCs/>
          <w:color w:val="auto"/>
          <w:szCs w:val="21"/>
        </w:rPr>
        <w:t>-</w:t>
      </w:r>
      <w:r>
        <w:rPr>
          <w:rFonts w:hint="default" w:ascii="Times New Roman" w:hAnsi="Times New Roman" w:eastAsia="宋体" w:cs="Times New Roman"/>
          <w:b/>
          <w:bCs/>
          <w:color w:val="auto"/>
          <w:szCs w:val="21"/>
        </w:rPr>
        <w:t>1</w:t>
      </w:r>
      <w:r>
        <w:rPr>
          <w:rFonts w:ascii="Times New Roman" w:hAnsi="Times New Roman" w:eastAsia="宋体" w:cs="Times New Roman"/>
          <w:b/>
          <w:bCs/>
          <w:color w:val="auto"/>
          <w:szCs w:val="21"/>
        </w:rPr>
        <w:t xml:space="preserve">   </w:t>
      </w:r>
      <w:r>
        <w:rPr>
          <w:rFonts w:hint="default" w:ascii="Times New Roman" w:hAnsi="Times New Roman" w:eastAsia="宋体" w:cs="Times New Roman"/>
          <w:b/>
          <w:bCs/>
          <w:color w:val="auto"/>
          <w:szCs w:val="21"/>
        </w:rPr>
        <w:t>固体废物</w:t>
      </w:r>
      <w:r>
        <w:rPr>
          <w:rFonts w:ascii="Times New Roman" w:hAnsi="Times New Roman" w:eastAsia="宋体" w:cs="Times New Roman"/>
          <w:b/>
          <w:bCs/>
          <w:color w:val="auto"/>
          <w:szCs w:val="21"/>
        </w:rPr>
        <w:t>防治措施一览表</w:t>
      </w:r>
    </w:p>
    <w:tbl>
      <w:tblPr>
        <w:tblStyle w:val="2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49"/>
        <w:gridCol w:w="2995"/>
        <w:gridCol w:w="2005"/>
        <w:gridCol w:w="287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381" w:type="pct"/>
            <w:tcBorders>
              <w:tl2br w:val="nil"/>
              <w:tr2bl w:val="nil"/>
            </w:tcBorders>
            <w:noWrap/>
            <w:vAlign w:val="center"/>
          </w:tcPr>
          <w:p>
            <w:pPr>
              <w:ind w:left="-105" w:leftChars="-50" w:right="-105" w:rightChars="-50"/>
              <w:jc w:val="center"/>
              <w:rPr>
                <w:rFonts w:ascii="Times New Roman" w:hAnsi="Times New Roman" w:cs="Times New Roman"/>
                <w:b/>
                <w:color w:val="auto"/>
                <w:szCs w:val="21"/>
              </w:rPr>
            </w:pPr>
            <w:r>
              <w:rPr>
                <w:rFonts w:ascii="Times New Roman" w:hAnsi="Times New Roman" w:cs="Times New Roman"/>
                <w:b/>
                <w:color w:val="auto"/>
                <w:szCs w:val="21"/>
              </w:rPr>
              <w:t>序号</w:t>
            </w:r>
          </w:p>
        </w:tc>
        <w:tc>
          <w:tcPr>
            <w:tcW w:w="1757" w:type="pct"/>
            <w:tcBorders>
              <w:tl2br w:val="nil"/>
              <w:tr2bl w:val="nil"/>
            </w:tcBorders>
            <w:vAlign w:val="center"/>
          </w:tcPr>
          <w:p>
            <w:pPr>
              <w:jc w:val="center"/>
              <w:rPr>
                <w:rFonts w:ascii="Times New Roman" w:hAnsi="Times New Roman" w:cs="Times New Roman"/>
                <w:b/>
                <w:color w:val="auto"/>
                <w:szCs w:val="21"/>
              </w:rPr>
            </w:pPr>
            <w:r>
              <w:rPr>
                <w:rFonts w:ascii="Times New Roman" w:hAnsi="Times New Roman" w:cs="Times New Roman"/>
                <w:b/>
                <w:color w:val="auto"/>
                <w:szCs w:val="21"/>
              </w:rPr>
              <w:t>名称</w:t>
            </w:r>
          </w:p>
        </w:tc>
        <w:tc>
          <w:tcPr>
            <w:tcW w:w="1176" w:type="pct"/>
            <w:tcBorders>
              <w:tl2br w:val="nil"/>
              <w:tr2bl w:val="nil"/>
            </w:tcBorders>
            <w:vAlign w:val="center"/>
          </w:tcPr>
          <w:p>
            <w:pPr>
              <w:jc w:val="center"/>
              <w:rPr>
                <w:rFonts w:ascii="Times New Roman" w:hAnsi="Times New Roman" w:cs="Times New Roman"/>
                <w:b/>
                <w:color w:val="auto"/>
                <w:szCs w:val="21"/>
              </w:rPr>
            </w:pPr>
            <w:r>
              <w:rPr>
                <w:rFonts w:ascii="Times New Roman" w:hAnsi="Times New Roman" w:cs="Times New Roman"/>
                <w:b/>
                <w:color w:val="auto"/>
                <w:szCs w:val="21"/>
              </w:rPr>
              <w:t>属性</w:t>
            </w:r>
          </w:p>
        </w:tc>
        <w:tc>
          <w:tcPr>
            <w:tcW w:w="1685" w:type="pct"/>
            <w:tcBorders>
              <w:tl2br w:val="nil"/>
              <w:tr2bl w:val="nil"/>
            </w:tcBorders>
            <w:vAlign w:val="center"/>
          </w:tcPr>
          <w:p>
            <w:pPr>
              <w:jc w:val="center"/>
              <w:rPr>
                <w:rFonts w:ascii="Times New Roman" w:hAnsi="Times New Roman" w:cs="Times New Roman"/>
                <w:b/>
                <w:color w:val="auto"/>
                <w:szCs w:val="21"/>
              </w:rPr>
            </w:pPr>
            <w:r>
              <w:rPr>
                <w:rFonts w:ascii="Times New Roman" w:hAnsi="Times New Roman" w:cs="Times New Roman"/>
                <w:b/>
                <w:color w:val="auto"/>
                <w:szCs w:val="21"/>
              </w:rPr>
              <w:t>处理处置措施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1" w:type="pct"/>
            <w:tcBorders>
              <w:tl2br w:val="nil"/>
              <w:tr2bl w:val="nil"/>
            </w:tcBorders>
            <w:noWrap/>
            <w:vAlign w:val="center"/>
          </w:tcPr>
          <w:p>
            <w:pPr>
              <w:jc w:val="center"/>
              <w:rPr>
                <w:rFonts w:ascii="Times New Roman" w:hAnsi="Times New Roman" w:cs="Times New Roman"/>
                <w:color w:val="auto"/>
                <w:szCs w:val="21"/>
              </w:rPr>
            </w:pPr>
            <w:r>
              <w:rPr>
                <w:rFonts w:ascii="Times New Roman" w:hAnsi="Times New Roman" w:cs="Times New Roman"/>
                <w:color w:val="auto"/>
                <w:szCs w:val="21"/>
              </w:rPr>
              <w:t>1</w:t>
            </w:r>
          </w:p>
        </w:tc>
        <w:tc>
          <w:tcPr>
            <w:tcW w:w="1757"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废包装、废包装桶、实验室废试剂瓶</w:t>
            </w:r>
          </w:p>
        </w:tc>
        <w:tc>
          <w:tcPr>
            <w:tcW w:w="1176"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危险固废</w:t>
            </w:r>
          </w:p>
        </w:tc>
        <w:tc>
          <w:tcPr>
            <w:tcW w:w="1685" w:type="pct"/>
            <w:tcBorders>
              <w:tl2br w:val="nil"/>
              <w:tr2bl w:val="nil"/>
            </w:tcBorders>
            <w:vAlign w:val="center"/>
          </w:tcPr>
          <w:p>
            <w:pPr>
              <w:jc w:val="center"/>
              <w:rPr>
                <w:rFonts w:ascii="Times New Roman" w:hAnsi="Times New Roman" w:cs="Times New Roman"/>
                <w:color w:val="auto"/>
                <w:szCs w:val="21"/>
              </w:rPr>
            </w:pPr>
            <w:r>
              <w:rPr>
                <w:rFonts w:hint="eastAsia" w:ascii="Times New Roman" w:hAnsi="Times New Roman" w:cs="Times New Roman"/>
                <w:color w:val="auto"/>
                <w:szCs w:val="21"/>
                <w:lang w:val="en-US" w:eastAsia="zh-CN"/>
              </w:rPr>
              <w:t>交由湖南瀚洋环保科技有限公司</w:t>
            </w:r>
            <w:r>
              <w:rPr>
                <w:rFonts w:ascii="Times New Roman" w:hAnsi="Times New Roman" w:cs="Times New Roman"/>
                <w:color w:val="auto"/>
                <w:szCs w:val="21"/>
              </w:rPr>
              <w:t>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1" w:type="pct"/>
            <w:tcBorders>
              <w:tl2br w:val="nil"/>
              <w:tr2bl w:val="nil"/>
            </w:tcBorders>
            <w:noWrap/>
            <w:vAlign w:val="center"/>
          </w:tcPr>
          <w:p>
            <w:pPr>
              <w:jc w:val="center"/>
              <w:rPr>
                <w:rFonts w:ascii="Times New Roman" w:hAnsi="Times New Roman" w:cs="Times New Roman"/>
                <w:color w:val="auto"/>
                <w:szCs w:val="21"/>
              </w:rPr>
            </w:pPr>
            <w:r>
              <w:rPr>
                <w:rFonts w:ascii="Times New Roman" w:hAnsi="Times New Roman" w:cs="Times New Roman"/>
                <w:color w:val="auto"/>
                <w:szCs w:val="21"/>
              </w:rPr>
              <w:t>2</w:t>
            </w:r>
          </w:p>
        </w:tc>
        <w:tc>
          <w:tcPr>
            <w:tcW w:w="1757" w:type="pct"/>
            <w:tcBorders>
              <w:tl2br w:val="nil"/>
              <w:tr2bl w:val="nil"/>
            </w:tcBorders>
            <w:vAlign w:val="center"/>
          </w:tcPr>
          <w:p>
            <w:pPr>
              <w:ind w:left="-105" w:leftChars="-50" w:right="-105" w:rightChars="-50"/>
              <w:jc w:val="center"/>
              <w:rPr>
                <w:rFonts w:ascii="Times New Roman" w:hAnsi="Times New Roman" w:cs="Times New Roman"/>
                <w:color w:val="auto"/>
                <w:szCs w:val="21"/>
              </w:rPr>
            </w:pPr>
            <w:r>
              <w:rPr>
                <w:rFonts w:ascii="Times New Roman" w:hAnsi="Times New Roman" w:cs="Times New Roman"/>
                <w:color w:val="auto"/>
                <w:szCs w:val="21"/>
              </w:rPr>
              <w:t>废过滤渣及滤网</w:t>
            </w:r>
          </w:p>
        </w:tc>
        <w:tc>
          <w:tcPr>
            <w:tcW w:w="1176"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危险固废</w:t>
            </w:r>
          </w:p>
        </w:tc>
        <w:tc>
          <w:tcPr>
            <w:tcW w:w="1685" w:type="pct"/>
            <w:tcBorders>
              <w:tl2br w:val="nil"/>
              <w:tr2bl w:val="nil"/>
            </w:tcBorders>
            <w:vAlign w:val="center"/>
          </w:tcPr>
          <w:p>
            <w:pPr>
              <w:ind w:left="-105" w:leftChars="-50" w:right="-105" w:rightChars="-50"/>
              <w:jc w:val="center"/>
              <w:rPr>
                <w:rFonts w:hint="default" w:ascii="Times New Roman" w:hAnsi="Times New Roman" w:cs="Times New Roman"/>
                <w:color w:val="auto"/>
                <w:szCs w:val="21"/>
              </w:rPr>
            </w:pPr>
            <w:r>
              <w:rPr>
                <w:rFonts w:hint="eastAsia" w:ascii="Times New Roman" w:hAnsi="Times New Roman" w:cs="Times New Roman"/>
                <w:color w:val="auto"/>
                <w:szCs w:val="21"/>
                <w:lang w:val="en-US" w:eastAsia="zh-CN"/>
              </w:rPr>
              <w:t>湖南瀚洋环保科技有限公司</w:t>
            </w:r>
            <w:r>
              <w:rPr>
                <w:rFonts w:ascii="Times New Roman" w:hAnsi="Times New Roman" w:cs="Times New Roman"/>
                <w:color w:val="auto"/>
                <w:szCs w:val="21"/>
              </w:rPr>
              <w:t>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1" w:type="pct"/>
            <w:tcBorders>
              <w:tl2br w:val="nil"/>
              <w:tr2bl w:val="nil"/>
            </w:tcBorders>
            <w:noWrap/>
            <w:vAlign w:val="center"/>
          </w:tcPr>
          <w:p>
            <w:pPr>
              <w:jc w:val="center"/>
              <w:rPr>
                <w:rFonts w:ascii="Times New Roman" w:hAnsi="Times New Roman" w:cs="Times New Roman"/>
                <w:color w:val="auto"/>
                <w:szCs w:val="21"/>
              </w:rPr>
            </w:pPr>
            <w:r>
              <w:rPr>
                <w:rFonts w:ascii="Times New Roman" w:hAnsi="Times New Roman" w:cs="Times New Roman"/>
                <w:color w:val="auto"/>
                <w:szCs w:val="21"/>
              </w:rPr>
              <w:t>3</w:t>
            </w:r>
          </w:p>
        </w:tc>
        <w:tc>
          <w:tcPr>
            <w:tcW w:w="1757"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废水处理产生的</w:t>
            </w:r>
            <w:r>
              <w:rPr>
                <w:rFonts w:hint="default" w:ascii="Times New Roman" w:hAnsi="Times New Roman" w:cs="Times New Roman"/>
                <w:color w:val="auto"/>
                <w:szCs w:val="21"/>
              </w:rPr>
              <w:t>生化</w:t>
            </w:r>
            <w:r>
              <w:rPr>
                <w:rFonts w:ascii="Times New Roman" w:hAnsi="Times New Roman" w:cs="Times New Roman"/>
                <w:color w:val="auto"/>
                <w:szCs w:val="21"/>
              </w:rPr>
              <w:t>污泥</w:t>
            </w:r>
          </w:p>
        </w:tc>
        <w:tc>
          <w:tcPr>
            <w:tcW w:w="1176" w:type="pct"/>
            <w:tcBorders>
              <w:tl2br w:val="nil"/>
              <w:tr2bl w:val="nil"/>
            </w:tcBorders>
            <w:vAlign w:val="center"/>
          </w:tcPr>
          <w:p>
            <w:pPr>
              <w:jc w:val="center"/>
              <w:rPr>
                <w:rFonts w:ascii="Times New Roman" w:hAnsi="Times New Roman" w:eastAsia="宋体" w:cs="Times New Roman"/>
                <w:color w:val="auto"/>
                <w:szCs w:val="21"/>
              </w:rPr>
            </w:pPr>
            <w:r>
              <w:rPr>
                <w:rFonts w:hint="eastAsia" w:ascii="Times New Roman" w:hAnsi="Times New Roman" w:cs="Times New Roman"/>
                <w:color w:val="auto"/>
                <w:szCs w:val="21"/>
              </w:rPr>
              <w:t>危险固废</w:t>
            </w:r>
          </w:p>
        </w:tc>
        <w:tc>
          <w:tcPr>
            <w:tcW w:w="1685" w:type="pct"/>
            <w:tcBorders>
              <w:tl2br w:val="nil"/>
              <w:tr2bl w:val="nil"/>
            </w:tcBorders>
            <w:vAlign w:val="center"/>
          </w:tcPr>
          <w:p>
            <w:pPr>
              <w:jc w:val="center"/>
              <w:rPr>
                <w:rFonts w:ascii="Times New Roman" w:hAnsi="Times New Roman" w:cs="Times New Roman"/>
                <w:color w:val="auto"/>
                <w:szCs w:val="21"/>
              </w:rPr>
            </w:pPr>
            <w:r>
              <w:rPr>
                <w:rFonts w:hint="eastAsia" w:ascii="Times New Roman" w:hAnsi="Times New Roman" w:cs="Times New Roman"/>
                <w:color w:val="auto"/>
                <w:szCs w:val="21"/>
                <w:lang w:val="en-US" w:eastAsia="zh-CN"/>
              </w:rPr>
              <w:t>湖南瀚洋环保科技有限公司</w:t>
            </w:r>
            <w:r>
              <w:rPr>
                <w:rFonts w:ascii="Times New Roman" w:hAnsi="Times New Roman" w:cs="Times New Roman"/>
                <w:color w:val="auto"/>
                <w:szCs w:val="21"/>
              </w:rPr>
              <w:t>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81" w:type="pct"/>
            <w:tcBorders>
              <w:tl2br w:val="nil"/>
              <w:tr2bl w:val="nil"/>
            </w:tcBorders>
            <w:noWrap/>
            <w:vAlign w:val="center"/>
          </w:tcPr>
          <w:p>
            <w:pPr>
              <w:jc w:val="center"/>
              <w:rPr>
                <w:rFonts w:ascii="Times New Roman" w:hAnsi="Times New Roman" w:cs="Times New Roman"/>
                <w:color w:val="auto"/>
                <w:szCs w:val="21"/>
              </w:rPr>
            </w:pPr>
            <w:r>
              <w:rPr>
                <w:rFonts w:ascii="Times New Roman" w:hAnsi="Times New Roman" w:cs="Times New Roman"/>
                <w:color w:val="auto"/>
                <w:szCs w:val="21"/>
              </w:rPr>
              <w:t>4</w:t>
            </w:r>
          </w:p>
        </w:tc>
        <w:tc>
          <w:tcPr>
            <w:tcW w:w="1757"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生活垃圾</w:t>
            </w:r>
          </w:p>
        </w:tc>
        <w:tc>
          <w:tcPr>
            <w:tcW w:w="1176"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生活垃圾</w:t>
            </w:r>
          </w:p>
        </w:tc>
        <w:tc>
          <w:tcPr>
            <w:tcW w:w="1685"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交环卫处理</w:t>
            </w:r>
          </w:p>
        </w:tc>
      </w:tr>
    </w:tbl>
    <w:p>
      <w:pPr>
        <w:spacing w:before="156" w:beforeLines="50" w:line="360" w:lineRule="auto"/>
        <w:ind w:firstLine="420" w:firstLineChars="200"/>
        <w:rPr>
          <w:rFonts w:ascii="Times New Roman" w:hAnsi="Times New Roman" w:cs="Times New Roman"/>
          <w:color w:val="auto"/>
        </w:rPr>
      </w:pPr>
      <w:r>
        <w:rPr>
          <w:rFonts w:ascii="Times New Roman" w:hAnsi="Times New Roman" w:cs="Times New Roman"/>
          <w:color w:val="auto"/>
        </w:rPr>
        <w:t>项目危险废物基本情况见下表。</w:t>
      </w:r>
    </w:p>
    <w:p>
      <w:pPr>
        <w:numPr>
          <w:ilvl w:val="-1"/>
          <w:numId w:val="0"/>
        </w:numPr>
        <w:adjustRightInd/>
        <w:snapToGrid/>
        <w:spacing w:line="240" w:lineRule="auto"/>
        <w:ind w:left="0" w:firstLine="0"/>
        <w:jc w:val="center"/>
        <w:rPr>
          <w:rFonts w:ascii="Times New Roman" w:hAnsi="Times New Roman" w:eastAsia="宋体" w:cs="Times New Roman"/>
          <w:b/>
          <w:bCs/>
          <w:color w:val="auto"/>
          <w:szCs w:val="21"/>
        </w:rPr>
      </w:pPr>
      <w:r>
        <w:rPr>
          <w:rFonts w:hint="default" w:ascii="Times New Roman" w:hAnsi="Times New Roman" w:eastAsia="宋体" w:cs="Times New Roman"/>
          <w:b/>
          <w:bCs/>
          <w:snapToGrid/>
          <w:color w:val="auto"/>
          <w:szCs w:val="21"/>
          <w:lang w:val="en-US" w:eastAsia="zh-CN"/>
        </w:rPr>
        <w:t xml:space="preserve">表4.3-2  </w:t>
      </w:r>
      <w:r>
        <w:rPr>
          <w:rFonts w:ascii="Times New Roman" w:hAnsi="Times New Roman" w:eastAsia="宋体" w:cs="Times New Roman"/>
          <w:b/>
          <w:bCs/>
          <w:snapToGrid/>
          <w:color w:val="auto"/>
          <w:szCs w:val="21"/>
        </w:rPr>
        <w:t>危险废物汇总表</w:t>
      </w:r>
    </w:p>
    <w:tbl>
      <w:tblPr>
        <w:tblStyle w:val="28"/>
        <w:tblW w:w="4996"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83"/>
        <w:gridCol w:w="776"/>
        <w:gridCol w:w="1196"/>
        <w:gridCol w:w="794"/>
        <w:gridCol w:w="608"/>
        <w:gridCol w:w="488"/>
        <w:gridCol w:w="488"/>
        <w:gridCol w:w="836"/>
        <w:gridCol w:w="666"/>
        <w:gridCol w:w="940"/>
        <w:gridCol w:w="124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5" w:hRule="atLeast"/>
        </w:trPr>
        <w:tc>
          <w:tcPr>
            <w:tcW w:w="318"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名称</w:t>
            </w:r>
          </w:p>
        </w:tc>
        <w:tc>
          <w:tcPr>
            <w:tcW w:w="401"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危险废物类别</w:t>
            </w:r>
          </w:p>
        </w:tc>
        <w:tc>
          <w:tcPr>
            <w:tcW w:w="503"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危险废物代码</w:t>
            </w:r>
          </w:p>
        </w:tc>
        <w:tc>
          <w:tcPr>
            <w:tcW w:w="442"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产生量(t/a)</w:t>
            </w:r>
          </w:p>
        </w:tc>
        <w:tc>
          <w:tcPr>
            <w:tcW w:w="391"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产生工序及装置</w:t>
            </w:r>
          </w:p>
        </w:tc>
        <w:tc>
          <w:tcPr>
            <w:tcW w:w="321"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形态</w:t>
            </w:r>
          </w:p>
        </w:tc>
        <w:tc>
          <w:tcPr>
            <w:tcW w:w="321"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主要成分</w:t>
            </w:r>
          </w:p>
        </w:tc>
        <w:tc>
          <w:tcPr>
            <w:tcW w:w="525"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有害成分</w:t>
            </w:r>
          </w:p>
        </w:tc>
        <w:tc>
          <w:tcPr>
            <w:tcW w:w="425"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产废周期</w:t>
            </w:r>
          </w:p>
        </w:tc>
        <w:tc>
          <w:tcPr>
            <w:tcW w:w="586"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危险特性</w:t>
            </w:r>
          </w:p>
        </w:tc>
        <w:tc>
          <w:tcPr>
            <w:tcW w:w="762"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污染防治措施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318" w:type="pct"/>
            <w:tcBorders>
              <w:tl2br w:val="nil"/>
              <w:tr2bl w:val="nil"/>
            </w:tcBorders>
            <w:vAlign w:val="center"/>
          </w:tcPr>
          <w:p>
            <w:pPr>
              <w:ind w:left="-105" w:leftChars="-50" w:right="-105" w:rightChars="-50"/>
              <w:jc w:val="center"/>
              <w:rPr>
                <w:rFonts w:ascii="Times New Roman" w:hAnsi="Times New Roman" w:cs="Times New Roman"/>
                <w:color w:val="auto"/>
                <w:sz w:val="21"/>
                <w:szCs w:val="21"/>
              </w:rPr>
            </w:pPr>
            <w:r>
              <w:rPr>
                <w:rFonts w:ascii="Times New Roman" w:hAnsi="Times New Roman" w:cs="Times New Roman"/>
                <w:color w:val="auto"/>
                <w:sz w:val="21"/>
                <w:szCs w:val="21"/>
              </w:rPr>
              <w:t>废包装、废包装桶</w:t>
            </w:r>
          </w:p>
        </w:tc>
        <w:tc>
          <w:tcPr>
            <w:tcW w:w="401" w:type="pct"/>
            <w:vMerge w:val="restar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HW49</w:t>
            </w:r>
          </w:p>
        </w:tc>
        <w:tc>
          <w:tcPr>
            <w:tcW w:w="503" w:type="pct"/>
            <w:vMerge w:val="restar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900-041-49</w:t>
            </w:r>
          </w:p>
        </w:tc>
        <w:tc>
          <w:tcPr>
            <w:tcW w:w="442"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2</w:t>
            </w:r>
          </w:p>
        </w:tc>
        <w:tc>
          <w:tcPr>
            <w:tcW w:w="391"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物料投料</w:t>
            </w:r>
          </w:p>
        </w:tc>
        <w:tc>
          <w:tcPr>
            <w:tcW w:w="321"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固态</w:t>
            </w:r>
          </w:p>
        </w:tc>
        <w:tc>
          <w:tcPr>
            <w:tcW w:w="321" w:type="pct"/>
            <w:tcBorders>
              <w:tl2br w:val="nil"/>
              <w:tr2bl w:val="nil"/>
            </w:tcBorders>
            <w:vAlign w:val="center"/>
          </w:tcPr>
          <w:p>
            <w:pPr>
              <w:adjustRightInd w:val="0"/>
              <w:snapToGrid w:val="0"/>
              <w:ind w:left="-53" w:leftChars="-25" w:right="-53" w:rightChars="-25"/>
              <w:jc w:val="center"/>
              <w:rPr>
                <w:rFonts w:ascii="Times New Roman" w:hAnsi="Times New Roman" w:cs="Times New Roman"/>
                <w:color w:val="auto"/>
                <w:sz w:val="21"/>
                <w:szCs w:val="21"/>
              </w:rPr>
            </w:pPr>
            <w:r>
              <w:rPr>
                <w:rFonts w:ascii="Times New Roman" w:hAnsi="Times New Roman" w:cs="Times New Roman"/>
                <w:color w:val="auto"/>
                <w:sz w:val="21"/>
                <w:szCs w:val="21"/>
              </w:rPr>
              <w:t>有机物料</w:t>
            </w:r>
          </w:p>
        </w:tc>
        <w:tc>
          <w:tcPr>
            <w:tcW w:w="525" w:type="pct"/>
            <w:tcBorders>
              <w:tl2br w:val="nil"/>
              <w:tr2bl w:val="nil"/>
            </w:tcBorders>
            <w:vAlign w:val="center"/>
          </w:tcPr>
          <w:p>
            <w:pPr>
              <w:adjustRightInd w:val="0"/>
              <w:snapToGrid w:val="0"/>
              <w:ind w:left="-53" w:leftChars="-25" w:right="-53" w:rightChars="-25"/>
              <w:jc w:val="center"/>
              <w:rPr>
                <w:rFonts w:ascii="Times New Roman" w:hAnsi="Times New Roman" w:cs="Times New Roman"/>
                <w:color w:val="auto"/>
                <w:sz w:val="21"/>
                <w:szCs w:val="21"/>
              </w:rPr>
            </w:pPr>
            <w:r>
              <w:rPr>
                <w:rFonts w:ascii="Times New Roman" w:hAnsi="Times New Roman" w:cs="Times New Roman"/>
                <w:color w:val="auto"/>
                <w:sz w:val="21"/>
                <w:szCs w:val="21"/>
              </w:rPr>
              <w:t>危险化学品</w:t>
            </w:r>
          </w:p>
        </w:tc>
        <w:tc>
          <w:tcPr>
            <w:tcW w:w="425" w:type="pct"/>
            <w:vMerge w:val="restar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年</w:t>
            </w:r>
          </w:p>
        </w:tc>
        <w:tc>
          <w:tcPr>
            <w:tcW w:w="586" w:type="pct"/>
            <w:vMerge w:val="restar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T/In</w:t>
            </w:r>
          </w:p>
        </w:tc>
        <w:tc>
          <w:tcPr>
            <w:tcW w:w="762" w:type="pct"/>
            <w:vMerge w:val="restar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交</w:t>
            </w:r>
            <w:r>
              <w:rPr>
                <w:rFonts w:hint="eastAsia" w:ascii="Times New Roman" w:hAnsi="Times New Roman" w:cs="Times New Roman"/>
                <w:color w:val="auto"/>
                <w:sz w:val="21"/>
                <w:szCs w:val="21"/>
                <w:lang w:val="en-US" w:eastAsia="zh-CN"/>
              </w:rPr>
              <w:t>由湖南瀚洋环保科技有限公司</w:t>
            </w:r>
            <w:r>
              <w:rPr>
                <w:rFonts w:ascii="Times New Roman" w:hAnsi="Times New Roman" w:cs="Times New Roman"/>
                <w:color w:val="auto"/>
                <w:sz w:val="21"/>
                <w:szCs w:val="21"/>
              </w:rPr>
              <w:t>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318" w:type="pct"/>
            <w:tcBorders>
              <w:tl2br w:val="nil"/>
              <w:tr2bl w:val="nil"/>
            </w:tcBorders>
            <w:vAlign w:val="center"/>
          </w:tcPr>
          <w:p>
            <w:pPr>
              <w:ind w:left="-105" w:leftChars="-50" w:right="-105" w:rightChars="-50"/>
              <w:jc w:val="center"/>
              <w:rPr>
                <w:rFonts w:ascii="Times New Roman" w:hAnsi="Times New Roman" w:cs="Times New Roman"/>
                <w:color w:val="auto"/>
                <w:sz w:val="21"/>
                <w:szCs w:val="21"/>
              </w:rPr>
            </w:pPr>
            <w:r>
              <w:rPr>
                <w:rFonts w:ascii="Times New Roman" w:hAnsi="Times New Roman" w:cs="Times New Roman"/>
                <w:color w:val="auto"/>
                <w:sz w:val="21"/>
                <w:szCs w:val="21"/>
              </w:rPr>
              <w:t>实验室废试剂瓶</w:t>
            </w:r>
          </w:p>
        </w:tc>
        <w:tc>
          <w:tcPr>
            <w:tcW w:w="401" w:type="pct"/>
            <w:vMerge w:val="continue"/>
            <w:tcBorders>
              <w:tl2br w:val="nil"/>
              <w:tr2bl w:val="nil"/>
            </w:tcBorders>
            <w:vAlign w:val="center"/>
          </w:tcPr>
          <w:p>
            <w:pPr>
              <w:adjustRightInd w:val="0"/>
              <w:snapToGrid w:val="0"/>
              <w:jc w:val="center"/>
              <w:rPr>
                <w:rFonts w:ascii="Times New Roman" w:hAnsi="Times New Roman" w:cs="Times New Roman"/>
                <w:color w:val="auto"/>
                <w:sz w:val="21"/>
                <w:szCs w:val="21"/>
              </w:rPr>
            </w:pPr>
          </w:p>
        </w:tc>
        <w:tc>
          <w:tcPr>
            <w:tcW w:w="503" w:type="pct"/>
            <w:vMerge w:val="continue"/>
            <w:tcBorders>
              <w:tl2br w:val="nil"/>
              <w:tr2bl w:val="nil"/>
            </w:tcBorders>
            <w:vAlign w:val="center"/>
          </w:tcPr>
          <w:p>
            <w:pPr>
              <w:adjustRightInd w:val="0"/>
              <w:snapToGrid w:val="0"/>
              <w:jc w:val="center"/>
              <w:rPr>
                <w:rFonts w:ascii="Times New Roman" w:hAnsi="Times New Roman" w:cs="Times New Roman"/>
                <w:color w:val="auto"/>
                <w:sz w:val="21"/>
                <w:szCs w:val="21"/>
              </w:rPr>
            </w:pPr>
          </w:p>
        </w:tc>
        <w:tc>
          <w:tcPr>
            <w:tcW w:w="442"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0.03</w:t>
            </w:r>
          </w:p>
        </w:tc>
        <w:tc>
          <w:tcPr>
            <w:tcW w:w="391"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试验</w:t>
            </w:r>
          </w:p>
        </w:tc>
        <w:tc>
          <w:tcPr>
            <w:tcW w:w="321"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固态</w:t>
            </w:r>
          </w:p>
        </w:tc>
        <w:tc>
          <w:tcPr>
            <w:tcW w:w="321" w:type="pct"/>
            <w:tcBorders>
              <w:tl2br w:val="nil"/>
              <w:tr2bl w:val="nil"/>
            </w:tcBorders>
            <w:vAlign w:val="center"/>
          </w:tcPr>
          <w:p>
            <w:pPr>
              <w:adjustRightInd w:val="0"/>
              <w:snapToGrid w:val="0"/>
              <w:ind w:left="-53" w:leftChars="-25" w:right="-53" w:rightChars="-25"/>
              <w:jc w:val="center"/>
              <w:rPr>
                <w:rFonts w:ascii="Times New Roman" w:hAnsi="Times New Roman" w:cs="Times New Roman"/>
                <w:color w:val="auto"/>
                <w:sz w:val="21"/>
                <w:szCs w:val="21"/>
              </w:rPr>
            </w:pPr>
            <w:r>
              <w:rPr>
                <w:rFonts w:ascii="Times New Roman" w:hAnsi="Times New Roman" w:cs="Times New Roman"/>
                <w:color w:val="auto"/>
                <w:sz w:val="21"/>
                <w:szCs w:val="21"/>
              </w:rPr>
              <w:t>酸碱</w:t>
            </w:r>
          </w:p>
        </w:tc>
        <w:tc>
          <w:tcPr>
            <w:tcW w:w="525" w:type="pct"/>
            <w:tcBorders>
              <w:tl2br w:val="nil"/>
              <w:tr2bl w:val="nil"/>
            </w:tcBorders>
            <w:vAlign w:val="center"/>
          </w:tcPr>
          <w:p>
            <w:pPr>
              <w:adjustRightInd w:val="0"/>
              <w:snapToGrid w:val="0"/>
              <w:ind w:left="-53" w:leftChars="-25" w:right="-53" w:rightChars="-25"/>
              <w:jc w:val="center"/>
              <w:rPr>
                <w:rFonts w:ascii="Times New Roman" w:hAnsi="Times New Roman" w:cs="Times New Roman"/>
                <w:color w:val="auto"/>
                <w:sz w:val="21"/>
                <w:szCs w:val="21"/>
              </w:rPr>
            </w:pPr>
            <w:r>
              <w:rPr>
                <w:rFonts w:ascii="Times New Roman" w:hAnsi="Times New Roman" w:cs="Times New Roman"/>
                <w:color w:val="auto"/>
                <w:sz w:val="21"/>
                <w:szCs w:val="21"/>
              </w:rPr>
              <w:t>酸碱</w:t>
            </w:r>
          </w:p>
        </w:tc>
        <w:tc>
          <w:tcPr>
            <w:tcW w:w="425" w:type="pct"/>
            <w:vMerge w:val="continue"/>
            <w:tcBorders>
              <w:tl2br w:val="nil"/>
              <w:tr2bl w:val="nil"/>
            </w:tcBorders>
            <w:vAlign w:val="center"/>
          </w:tcPr>
          <w:p>
            <w:pPr>
              <w:adjustRightInd w:val="0"/>
              <w:snapToGrid w:val="0"/>
              <w:jc w:val="center"/>
              <w:rPr>
                <w:rFonts w:ascii="Times New Roman" w:hAnsi="Times New Roman" w:cs="Times New Roman"/>
                <w:color w:val="auto"/>
                <w:sz w:val="21"/>
                <w:szCs w:val="21"/>
              </w:rPr>
            </w:pPr>
          </w:p>
        </w:tc>
        <w:tc>
          <w:tcPr>
            <w:tcW w:w="586" w:type="pct"/>
            <w:vMerge w:val="continue"/>
            <w:tcBorders>
              <w:tl2br w:val="nil"/>
              <w:tr2bl w:val="nil"/>
            </w:tcBorders>
            <w:vAlign w:val="center"/>
          </w:tcPr>
          <w:p>
            <w:pPr>
              <w:adjustRightInd w:val="0"/>
              <w:snapToGrid w:val="0"/>
              <w:jc w:val="center"/>
              <w:rPr>
                <w:rFonts w:ascii="Times New Roman" w:hAnsi="Times New Roman" w:cs="Times New Roman"/>
                <w:color w:val="auto"/>
                <w:sz w:val="21"/>
                <w:szCs w:val="21"/>
              </w:rPr>
            </w:pPr>
          </w:p>
        </w:tc>
        <w:tc>
          <w:tcPr>
            <w:tcW w:w="762" w:type="pct"/>
            <w:vMerge w:val="continue"/>
            <w:tcBorders>
              <w:tl2br w:val="nil"/>
              <w:tr2bl w:val="nil"/>
            </w:tcBorders>
            <w:vAlign w:val="center"/>
          </w:tcPr>
          <w:p>
            <w:pPr>
              <w:adjustRightInd w:val="0"/>
              <w:snapToGrid w:val="0"/>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318" w:type="pct"/>
            <w:tcBorders>
              <w:tl2br w:val="nil"/>
              <w:tr2bl w:val="nil"/>
            </w:tcBorders>
            <w:vAlign w:val="center"/>
          </w:tcPr>
          <w:p>
            <w:pPr>
              <w:ind w:left="-105" w:leftChars="-50" w:right="-105" w:rightChars="-50"/>
              <w:jc w:val="center"/>
              <w:rPr>
                <w:rFonts w:ascii="Times New Roman" w:hAnsi="Times New Roman" w:cs="Times New Roman"/>
                <w:color w:val="auto"/>
                <w:sz w:val="21"/>
                <w:szCs w:val="21"/>
              </w:rPr>
            </w:pPr>
            <w:r>
              <w:rPr>
                <w:rFonts w:ascii="Times New Roman" w:hAnsi="Times New Roman" w:cs="Times New Roman"/>
                <w:color w:val="auto"/>
                <w:sz w:val="21"/>
                <w:szCs w:val="21"/>
              </w:rPr>
              <w:t>废过滤渣及滤网</w:t>
            </w:r>
          </w:p>
        </w:tc>
        <w:tc>
          <w:tcPr>
            <w:tcW w:w="401"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HW13有机树脂类废物</w:t>
            </w:r>
          </w:p>
        </w:tc>
        <w:tc>
          <w:tcPr>
            <w:tcW w:w="503"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265-103-13</w:t>
            </w:r>
          </w:p>
        </w:tc>
        <w:tc>
          <w:tcPr>
            <w:tcW w:w="442"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0.5076</w:t>
            </w:r>
          </w:p>
        </w:tc>
        <w:tc>
          <w:tcPr>
            <w:tcW w:w="391"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产品过滤</w:t>
            </w:r>
          </w:p>
        </w:tc>
        <w:tc>
          <w:tcPr>
            <w:tcW w:w="321"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固态</w:t>
            </w:r>
          </w:p>
        </w:tc>
        <w:tc>
          <w:tcPr>
            <w:tcW w:w="321" w:type="pct"/>
            <w:tcBorders>
              <w:tl2br w:val="nil"/>
              <w:tr2bl w:val="nil"/>
            </w:tcBorders>
            <w:vAlign w:val="center"/>
          </w:tcPr>
          <w:p>
            <w:pPr>
              <w:adjustRightInd w:val="0"/>
              <w:snapToGrid w:val="0"/>
              <w:ind w:left="-53" w:leftChars="-25" w:right="-53" w:rightChars="-25"/>
              <w:jc w:val="center"/>
              <w:rPr>
                <w:rFonts w:ascii="Times New Roman" w:hAnsi="Times New Roman" w:cs="Times New Roman"/>
                <w:color w:val="auto"/>
                <w:sz w:val="21"/>
                <w:szCs w:val="21"/>
              </w:rPr>
            </w:pPr>
            <w:r>
              <w:rPr>
                <w:rFonts w:ascii="Times New Roman" w:hAnsi="Times New Roman" w:cs="Times New Roman"/>
                <w:color w:val="auto"/>
                <w:sz w:val="21"/>
                <w:szCs w:val="21"/>
              </w:rPr>
              <w:t>/</w:t>
            </w:r>
          </w:p>
        </w:tc>
        <w:tc>
          <w:tcPr>
            <w:tcW w:w="525"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危险化学品</w:t>
            </w:r>
          </w:p>
        </w:tc>
        <w:tc>
          <w:tcPr>
            <w:tcW w:w="425"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半年</w:t>
            </w:r>
          </w:p>
        </w:tc>
        <w:tc>
          <w:tcPr>
            <w:tcW w:w="586"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T</w:t>
            </w:r>
          </w:p>
        </w:tc>
        <w:tc>
          <w:tcPr>
            <w:tcW w:w="762"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Cs w:val="21"/>
                <w:lang w:val="en-US" w:eastAsia="zh-CN"/>
              </w:rPr>
              <w:t>湖南瀚洋环保科技有限公司</w:t>
            </w:r>
            <w:r>
              <w:rPr>
                <w:rFonts w:ascii="Times New Roman" w:hAnsi="Times New Roman" w:cs="Times New Roman"/>
                <w:color w:val="auto"/>
                <w:szCs w:val="21"/>
              </w:rPr>
              <w:t>处置</w:t>
            </w:r>
          </w:p>
        </w:tc>
      </w:tr>
      <w:bookmarkEnd w:id="45"/>
    </w:tbl>
    <w:p>
      <w:pPr>
        <w:spacing w:line="360" w:lineRule="auto"/>
        <w:outlineLvl w:val="1"/>
        <w:rPr>
          <w:rFonts w:ascii="Times New Roman" w:hAnsi="Times New Roman" w:cs="Times New Roman"/>
          <w:b/>
          <w:color w:val="auto"/>
          <w:sz w:val="30"/>
          <w:szCs w:val="30"/>
        </w:rPr>
      </w:pPr>
      <w:bookmarkStart w:id="46" w:name="_Toc17557"/>
      <w:bookmarkStart w:id="47" w:name="_Toc85120883"/>
      <w:r>
        <w:rPr>
          <w:rFonts w:hint="default" w:ascii="Times New Roman" w:hAnsi="Times New Roman" w:cs="Times New Roman"/>
          <w:b/>
          <w:color w:val="auto"/>
          <w:sz w:val="30"/>
          <w:szCs w:val="30"/>
        </w:rPr>
        <w:t>4.4  噪声</w:t>
      </w:r>
      <w:bookmarkEnd w:id="46"/>
      <w:bookmarkEnd w:id="47"/>
    </w:p>
    <w:p>
      <w:pPr>
        <w:spacing w:line="360" w:lineRule="auto"/>
        <w:ind w:firstLine="480" w:firstLineChars="200"/>
        <w:rPr>
          <w:rFonts w:ascii="Times New Roman" w:hAnsi="Times New Roman" w:cs="Times New Roman"/>
          <w:color w:val="auto"/>
          <w:sz w:val="24"/>
          <w:szCs w:val="24"/>
        </w:rPr>
      </w:pPr>
      <w:r>
        <w:rPr>
          <w:rFonts w:hint="default" w:ascii="Times New Roman" w:hAnsi="Times New Roman" w:cs="Times New Roman"/>
          <w:color w:val="auto"/>
          <w:kern w:val="0"/>
          <w:sz w:val="24"/>
          <w:szCs w:val="24"/>
        </w:rPr>
        <w:t>本项目噪声源主要为离心机、泵等</w:t>
      </w:r>
      <w:r>
        <w:rPr>
          <w:rFonts w:ascii="Times New Roman" w:hAnsi="Times New Roman" w:cs="Times New Roman"/>
          <w:color w:val="auto"/>
          <w:sz w:val="24"/>
        </w:rPr>
        <w:t>。</w:t>
      </w:r>
      <w:r>
        <w:rPr>
          <w:rFonts w:hint="eastAsia" w:ascii="Times New Roman" w:hAnsi="Times New Roman" w:cs="Times New Roman"/>
          <w:color w:val="auto"/>
          <w:sz w:val="24"/>
          <w:szCs w:val="24"/>
        </w:rPr>
        <w:t>项目主要设备噪声源强及处理措施一览表</w:t>
      </w:r>
      <w:r>
        <w:rPr>
          <w:rFonts w:ascii="Times New Roman" w:hAnsi="Times New Roman" w:cs="Times New Roman"/>
          <w:color w:val="auto"/>
          <w:sz w:val="24"/>
          <w:szCs w:val="24"/>
        </w:rPr>
        <w:t>见表4.4-1。</w:t>
      </w:r>
    </w:p>
    <w:p>
      <w:pPr>
        <w:pStyle w:val="41"/>
        <w:spacing w:line="240" w:lineRule="auto"/>
        <w:ind w:firstLine="0" w:firstLineChars="0"/>
        <w:rPr>
          <w:rFonts w:hAnsi="Times New Roman"/>
          <w:color w:val="auto"/>
          <w:spacing w:val="10"/>
          <w:kern w:val="24"/>
          <w:szCs w:val="21"/>
        </w:rPr>
      </w:pPr>
      <w:r>
        <w:rPr>
          <w:rFonts w:hAnsi="Times New Roman"/>
          <w:color w:val="auto"/>
          <w:spacing w:val="10"/>
          <w:kern w:val="24"/>
          <w:szCs w:val="21"/>
        </w:rPr>
        <w:t>表</w:t>
      </w:r>
      <w:r>
        <w:rPr>
          <w:rFonts w:hint="default" w:hAnsi="Times New Roman"/>
          <w:color w:val="auto"/>
          <w:spacing w:val="10"/>
          <w:kern w:val="24"/>
          <w:szCs w:val="21"/>
        </w:rPr>
        <w:t>4.</w:t>
      </w:r>
      <w:r>
        <w:rPr>
          <w:rFonts w:hAnsi="Times New Roman"/>
          <w:color w:val="auto"/>
          <w:spacing w:val="10"/>
          <w:kern w:val="24"/>
          <w:szCs w:val="21"/>
        </w:rPr>
        <w:t>4-</w:t>
      </w:r>
      <w:r>
        <w:rPr>
          <w:rFonts w:hint="default" w:hAnsi="Times New Roman"/>
          <w:color w:val="auto"/>
          <w:spacing w:val="10"/>
          <w:kern w:val="24"/>
          <w:szCs w:val="21"/>
        </w:rPr>
        <w:t>1</w:t>
      </w:r>
      <w:r>
        <w:rPr>
          <w:rFonts w:hint="eastAsia" w:hAnsi="Times New Roman"/>
          <w:color w:val="auto"/>
          <w:spacing w:val="10"/>
          <w:kern w:val="24"/>
          <w:szCs w:val="21"/>
        </w:rPr>
        <w:t>项目主要设备噪声源强及处理措施一览表</w:t>
      </w:r>
    </w:p>
    <w:tbl>
      <w:tblPr>
        <w:tblStyle w:val="28"/>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19"/>
        <w:gridCol w:w="2221"/>
        <w:gridCol w:w="2074"/>
        <w:gridCol w:w="340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1" w:type="pct"/>
            <w:tcBorders>
              <w:tl2br w:val="nil"/>
              <w:tr2bl w:val="nil"/>
            </w:tcBorders>
            <w:vAlign w:val="center"/>
          </w:tcPr>
          <w:p>
            <w:pPr>
              <w:adjustRightInd w:val="0"/>
              <w:snapToGrid w:val="0"/>
              <w:jc w:val="center"/>
              <w:rPr>
                <w:rFonts w:ascii="Times New Roman" w:hAnsi="Times New Roman" w:cs="Times New Roman"/>
                <w:b/>
                <w:color w:val="auto"/>
                <w:sz w:val="22"/>
                <w:szCs w:val="21"/>
              </w:rPr>
            </w:pPr>
            <w:r>
              <w:rPr>
                <w:rFonts w:ascii="Times New Roman" w:hAnsi="Times New Roman" w:cs="Times New Roman"/>
                <w:b/>
                <w:color w:val="auto"/>
                <w:sz w:val="22"/>
                <w:szCs w:val="21"/>
              </w:rPr>
              <w:t>序号</w:t>
            </w:r>
          </w:p>
        </w:tc>
        <w:tc>
          <w:tcPr>
            <w:tcW w:w="1303" w:type="pct"/>
            <w:tcBorders>
              <w:tl2br w:val="nil"/>
              <w:tr2bl w:val="nil"/>
            </w:tcBorders>
            <w:vAlign w:val="center"/>
          </w:tcPr>
          <w:p>
            <w:pPr>
              <w:adjustRightInd w:val="0"/>
              <w:snapToGrid w:val="0"/>
              <w:jc w:val="center"/>
              <w:rPr>
                <w:rFonts w:ascii="Times New Roman" w:hAnsi="Times New Roman" w:cs="Times New Roman"/>
                <w:b/>
                <w:color w:val="auto"/>
                <w:sz w:val="22"/>
                <w:szCs w:val="21"/>
              </w:rPr>
            </w:pPr>
            <w:r>
              <w:rPr>
                <w:rFonts w:ascii="Times New Roman" w:hAnsi="Times New Roman" w:cs="Times New Roman"/>
                <w:b/>
                <w:color w:val="auto"/>
                <w:sz w:val="22"/>
                <w:szCs w:val="21"/>
              </w:rPr>
              <w:t>设备名称</w:t>
            </w:r>
          </w:p>
        </w:tc>
        <w:tc>
          <w:tcPr>
            <w:tcW w:w="1217" w:type="pct"/>
            <w:tcBorders>
              <w:tl2br w:val="nil"/>
              <w:tr2bl w:val="nil"/>
            </w:tcBorders>
            <w:vAlign w:val="center"/>
          </w:tcPr>
          <w:p>
            <w:pPr>
              <w:adjustRightInd w:val="0"/>
              <w:snapToGrid w:val="0"/>
              <w:jc w:val="center"/>
              <w:rPr>
                <w:rFonts w:ascii="Times New Roman" w:hAnsi="Times New Roman" w:cs="Times New Roman"/>
                <w:b/>
                <w:color w:val="auto"/>
                <w:sz w:val="22"/>
                <w:szCs w:val="21"/>
              </w:rPr>
            </w:pPr>
            <w:r>
              <w:rPr>
                <w:rFonts w:hint="eastAsia" w:ascii="Times New Roman" w:hAnsi="Times New Roman" w:cs="Times New Roman"/>
                <w:b/>
                <w:color w:val="auto"/>
                <w:sz w:val="22"/>
                <w:szCs w:val="21"/>
                <w:lang w:val="en-US" w:eastAsia="zh-CN"/>
              </w:rPr>
              <w:t>环评</w:t>
            </w:r>
            <w:r>
              <w:rPr>
                <w:rFonts w:hint="default" w:ascii="Times New Roman" w:hAnsi="Times New Roman" w:cs="Times New Roman"/>
                <w:b/>
                <w:color w:val="auto"/>
                <w:sz w:val="22"/>
                <w:szCs w:val="21"/>
              </w:rPr>
              <w:t>阶段治理措施</w:t>
            </w:r>
          </w:p>
        </w:tc>
        <w:tc>
          <w:tcPr>
            <w:tcW w:w="1998" w:type="pct"/>
            <w:tcBorders>
              <w:tl2br w:val="nil"/>
              <w:tr2bl w:val="nil"/>
            </w:tcBorders>
            <w:vAlign w:val="center"/>
          </w:tcPr>
          <w:p>
            <w:pPr>
              <w:adjustRightInd w:val="0"/>
              <w:snapToGrid w:val="0"/>
              <w:jc w:val="center"/>
              <w:rPr>
                <w:rFonts w:ascii="Times New Roman" w:hAnsi="Times New Roman" w:cs="Times New Roman"/>
                <w:b/>
                <w:color w:val="auto"/>
                <w:sz w:val="22"/>
                <w:szCs w:val="21"/>
              </w:rPr>
            </w:pPr>
            <w:r>
              <w:rPr>
                <w:rFonts w:hint="default" w:ascii="Times New Roman" w:hAnsi="Times New Roman" w:cs="Times New Roman"/>
                <w:b/>
                <w:color w:val="auto"/>
                <w:sz w:val="22"/>
                <w:szCs w:val="21"/>
              </w:rPr>
              <w:t>实际噪声</w:t>
            </w:r>
            <w:r>
              <w:rPr>
                <w:rFonts w:ascii="Times New Roman" w:hAnsi="Times New Roman" w:cs="Times New Roman"/>
                <w:b/>
                <w:color w:val="auto"/>
                <w:sz w:val="22"/>
                <w:szCs w:val="21"/>
              </w:rPr>
              <w:t>控制措施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1" w:type="pct"/>
            <w:tcBorders>
              <w:tl2br w:val="nil"/>
              <w:tr2bl w:val="nil"/>
            </w:tcBorders>
            <w:vAlign w:val="center"/>
          </w:tcPr>
          <w:p>
            <w:pPr>
              <w:adjustRightInd w:val="0"/>
              <w:snapToGrid w:val="0"/>
              <w:ind w:left="-105" w:leftChars="-50" w:right="-105" w:rightChars="-50"/>
              <w:jc w:val="center"/>
              <w:rPr>
                <w:rFonts w:ascii="Times New Roman" w:hAnsi="Times New Roman" w:cs="Times New Roman"/>
                <w:color w:val="auto"/>
                <w:sz w:val="22"/>
                <w:szCs w:val="21"/>
              </w:rPr>
            </w:pPr>
            <w:r>
              <w:rPr>
                <w:rFonts w:ascii="Times New Roman" w:hAnsi="Times New Roman" w:cs="Times New Roman"/>
                <w:color w:val="auto"/>
                <w:sz w:val="22"/>
                <w:szCs w:val="21"/>
              </w:rPr>
              <w:t>1</w:t>
            </w:r>
          </w:p>
        </w:tc>
        <w:tc>
          <w:tcPr>
            <w:tcW w:w="1303" w:type="pct"/>
            <w:tcBorders>
              <w:tl2br w:val="nil"/>
              <w:tr2bl w:val="nil"/>
            </w:tcBorders>
            <w:vAlign w:val="center"/>
          </w:tcPr>
          <w:p>
            <w:pPr>
              <w:jc w:val="center"/>
              <w:rPr>
                <w:rFonts w:ascii="Times New Roman" w:hAnsi="Times New Roman" w:cs="Times New Roman"/>
                <w:color w:val="auto"/>
                <w:sz w:val="22"/>
                <w:szCs w:val="21"/>
              </w:rPr>
            </w:pPr>
            <w:r>
              <w:rPr>
                <w:rFonts w:ascii="Times New Roman" w:hAnsi="Times New Roman" w:cs="Times New Roman"/>
                <w:color w:val="auto"/>
                <w:sz w:val="22"/>
                <w:szCs w:val="21"/>
              </w:rPr>
              <w:t>泵类</w:t>
            </w:r>
          </w:p>
        </w:tc>
        <w:tc>
          <w:tcPr>
            <w:tcW w:w="1217" w:type="pct"/>
            <w:tcBorders>
              <w:tl2br w:val="nil"/>
              <w:tr2bl w:val="nil"/>
            </w:tcBorders>
            <w:vAlign w:val="center"/>
          </w:tcPr>
          <w:p>
            <w:pPr>
              <w:adjustRightInd w:val="0"/>
              <w:snapToGrid w:val="0"/>
              <w:ind w:left="-105" w:leftChars="-50" w:right="-105" w:rightChars="-50"/>
              <w:jc w:val="center"/>
              <w:rPr>
                <w:rFonts w:ascii="Times New Roman" w:hAnsi="Times New Roman" w:cs="Times New Roman"/>
                <w:color w:val="auto"/>
                <w:sz w:val="22"/>
                <w:szCs w:val="21"/>
              </w:rPr>
            </w:pPr>
            <w:r>
              <w:rPr>
                <w:rFonts w:ascii="Times New Roman" w:hAnsi="Times New Roman" w:cs="Times New Roman"/>
                <w:color w:val="auto"/>
                <w:sz w:val="22"/>
                <w:szCs w:val="21"/>
              </w:rPr>
              <w:t>隔声、减振</w:t>
            </w:r>
          </w:p>
        </w:tc>
        <w:tc>
          <w:tcPr>
            <w:tcW w:w="1998" w:type="pct"/>
            <w:tcBorders>
              <w:tl2br w:val="nil"/>
              <w:tr2bl w:val="nil"/>
            </w:tcBorders>
            <w:vAlign w:val="center"/>
          </w:tcPr>
          <w:p>
            <w:pPr>
              <w:adjustRightInd w:val="0"/>
              <w:snapToGrid w:val="0"/>
              <w:ind w:left="-105" w:leftChars="-50" w:right="-105" w:rightChars="-50"/>
              <w:jc w:val="center"/>
              <w:rPr>
                <w:rFonts w:ascii="Times New Roman" w:hAnsi="Times New Roman" w:cs="Times New Roman"/>
                <w:color w:val="auto"/>
                <w:sz w:val="22"/>
                <w:szCs w:val="21"/>
              </w:rPr>
            </w:pPr>
            <w:r>
              <w:rPr>
                <w:rFonts w:ascii="Times New Roman" w:hAnsi="Times New Roman" w:cs="Times New Roman"/>
                <w:color w:val="auto"/>
                <w:sz w:val="22"/>
                <w:szCs w:val="21"/>
              </w:rPr>
              <w:t>隔声、减振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1" w:type="pct"/>
            <w:tcBorders>
              <w:tl2br w:val="nil"/>
              <w:tr2bl w:val="nil"/>
            </w:tcBorders>
            <w:vAlign w:val="center"/>
          </w:tcPr>
          <w:p>
            <w:pPr>
              <w:adjustRightInd w:val="0"/>
              <w:snapToGrid w:val="0"/>
              <w:ind w:left="-105" w:leftChars="-50" w:right="-105" w:rightChars="-50"/>
              <w:jc w:val="center"/>
              <w:rPr>
                <w:rFonts w:ascii="Times New Roman" w:hAnsi="Times New Roman" w:cs="Times New Roman"/>
                <w:color w:val="auto"/>
                <w:sz w:val="22"/>
                <w:szCs w:val="21"/>
              </w:rPr>
            </w:pPr>
            <w:r>
              <w:rPr>
                <w:rFonts w:ascii="Times New Roman" w:hAnsi="Times New Roman" w:cs="Times New Roman"/>
                <w:color w:val="auto"/>
                <w:sz w:val="22"/>
                <w:szCs w:val="21"/>
              </w:rPr>
              <w:t>2</w:t>
            </w:r>
          </w:p>
        </w:tc>
        <w:tc>
          <w:tcPr>
            <w:tcW w:w="1303" w:type="pct"/>
            <w:tcBorders>
              <w:tl2br w:val="nil"/>
              <w:tr2bl w:val="nil"/>
            </w:tcBorders>
            <w:vAlign w:val="center"/>
          </w:tcPr>
          <w:p>
            <w:pPr>
              <w:jc w:val="center"/>
              <w:rPr>
                <w:rFonts w:ascii="Times New Roman" w:hAnsi="Times New Roman" w:cs="Times New Roman"/>
                <w:color w:val="auto"/>
                <w:sz w:val="22"/>
                <w:szCs w:val="21"/>
              </w:rPr>
            </w:pPr>
            <w:r>
              <w:rPr>
                <w:rFonts w:ascii="Times New Roman" w:hAnsi="Times New Roman" w:cs="Times New Roman"/>
                <w:color w:val="auto"/>
                <w:sz w:val="22"/>
                <w:szCs w:val="21"/>
              </w:rPr>
              <w:t>风机</w:t>
            </w:r>
          </w:p>
        </w:tc>
        <w:tc>
          <w:tcPr>
            <w:tcW w:w="1217" w:type="pct"/>
            <w:tcBorders>
              <w:tl2br w:val="nil"/>
              <w:tr2bl w:val="nil"/>
            </w:tcBorders>
            <w:vAlign w:val="center"/>
          </w:tcPr>
          <w:p>
            <w:pPr>
              <w:adjustRightInd w:val="0"/>
              <w:snapToGrid w:val="0"/>
              <w:ind w:left="-105" w:leftChars="-50" w:right="-105" w:rightChars="-50"/>
              <w:jc w:val="center"/>
              <w:rPr>
                <w:rFonts w:ascii="Times New Roman" w:hAnsi="Times New Roman" w:cs="Times New Roman"/>
                <w:color w:val="auto"/>
                <w:sz w:val="22"/>
                <w:szCs w:val="21"/>
              </w:rPr>
            </w:pPr>
            <w:r>
              <w:rPr>
                <w:rFonts w:ascii="Times New Roman" w:hAnsi="Times New Roman" w:cs="Times New Roman"/>
                <w:color w:val="auto"/>
                <w:sz w:val="22"/>
                <w:szCs w:val="21"/>
              </w:rPr>
              <w:t>隔声、减振、消声</w:t>
            </w:r>
          </w:p>
        </w:tc>
        <w:tc>
          <w:tcPr>
            <w:tcW w:w="1998" w:type="pct"/>
            <w:tcBorders>
              <w:tl2br w:val="nil"/>
              <w:tr2bl w:val="nil"/>
            </w:tcBorders>
            <w:vAlign w:val="center"/>
          </w:tcPr>
          <w:p>
            <w:pPr>
              <w:adjustRightInd w:val="0"/>
              <w:snapToGrid w:val="0"/>
              <w:ind w:left="-105" w:leftChars="-50" w:right="-105" w:rightChars="-50"/>
              <w:jc w:val="center"/>
              <w:rPr>
                <w:rFonts w:ascii="Times New Roman" w:hAnsi="Times New Roman" w:cs="Times New Roman"/>
                <w:color w:val="auto"/>
                <w:sz w:val="22"/>
                <w:szCs w:val="21"/>
              </w:rPr>
            </w:pPr>
            <w:r>
              <w:rPr>
                <w:rFonts w:ascii="Times New Roman" w:hAnsi="Times New Roman" w:cs="Times New Roman"/>
                <w:color w:val="auto"/>
                <w:sz w:val="22"/>
                <w:szCs w:val="21"/>
              </w:rPr>
              <w:t>隔声、减振、消声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1" w:type="pct"/>
            <w:tcBorders>
              <w:tl2br w:val="nil"/>
              <w:tr2bl w:val="nil"/>
            </w:tcBorders>
            <w:vAlign w:val="center"/>
          </w:tcPr>
          <w:p>
            <w:pPr>
              <w:adjustRightInd w:val="0"/>
              <w:snapToGrid w:val="0"/>
              <w:ind w:left="-105" w:leftChars="-50" w:right="-105" w:rightChars="-50"/>
              <w:jc w:val="center"/>
              <w:rPr>
                <w:rFonts w:ascii="Times New Roman" w:hAnsi="Times New Roman" w:cs="Times New Roman"/>
                <w:color w:val="auto"/>
                <w:sz w:val="22"/>
                <w:szCs w:val="21"/>
              </w:rPr>
            </w:pPr>
            <w:r>
              <w:rPr>
                <w:rFonts w:ascii="Times New Roman" w:hAnsi="Times New Roman" w:cs="Times New Roman"/>
                <w:color w:val="auto"/>
                <w:sz w:val="22"/>
                <w:szCs w:val="21"/>
              </w:rPr>
              <w:t>3</w:t>
            </w:r>
          </w:p>
        </w:tc>
        <w:tc>
          <w:tcPr>
            <w:tcW w:w="1303" w:type="pct"/>
            <w:tcBorders>
              <w:tl2br w:val="nil"/>
              <w:tr2bl w:val="nil"/>
            </w:tcBorders>
            <w:vAlign w:val="center"/>
          </w:tcPr>
          <w:p>
            <w:pPr>
              <w:jc w:val="center"/>
              <w:rPr>
                <w:rFonts w:ascii="Times New Roman" w:hAnsi="Times New Roman" w:cs="Times New Roman"/>
                <w:color w:val="auto"/>
                <w:sz w:val="22"/>
                <w:szCs w:val="21"/>
              </w:rPr>
            </w:pPr>
            <w:r>
              <w:rPr>
                <w:rFonts w:ascii="Times New Roman" w:hAnsi="Times New Roman" w:cs="Times New Roman"/>
                <w:color w:val="auto"/>
                <w:sz w:val="22"/>
                <w:szCs w:val="21"/>
              </w:rPr>
              <w:t>反应釜（带搅拌）</w:t>
            </w:r>
          </w:p>
        </w:tc>
        <w:tc>
          <w:tcPr>
            <w:tcW w:w="1217" w:type="pct"/>
            <w:tcBorders>
              <w:tl2br w:val="nil"/>
              <w:tr2bl w:val="nil"/>
            </w:tcBorders>
            <w:vAlign w:val="center"/>
          </w:tcPr>
          <w:p>
            <w:pPr>
              <w:adjustRightInd w:val="0"/>
              <w:snapToGrid w:val="0"/>
              <w:ind w:left="-105" w:leftChars="-50" w:right="-105" w:rightChars="-50"/>
              <w:jc w:val="center"/>
              <w:rPr>
                <w:rFonts w:ascii="Times New Roman" w:hAnsi="Times New Roman" w:cs="Times New Roman"/>
                <w:color w:val="auto"/>
                <w:sz w:val="22"/>
                <w:szCs w:val="21"/>
              </w:rPr>
            </w:pPr>
            <w:r>
              <w:rPr>
                <w:rFonts w:ascii="Times New Roman" w:hAnsi="Times New Roman" w:cs="Times New Roman"/>
                <w:color w:val="auto"/>
                <w:sz w:val="22"/>
                <w:szCs w:val="21"/>
              </w:rPr>
              <w:t>隔声、减振</w:t>
            </w:r>
          </w:p>
        </w:tc>
        <w:tc>
          <w:tcPr>
            <w:tcW w:w="1998" w:type="pct"/>
            <w:tcBorders>
              <w:tl2br w:val="nil"/>
              <w:tr2bl w:val="nil"/>
            </w:tcBorders>
            <w:vAlign w:val="center"/>
          </w:tcPr>
          <w:p>
            <w:pPr>
              <w:adjustRightInd w:val="0"/>
              <w:snapToGrid w:val="0"/>
              <w:ind w:left="-105" w:leftChars="-50" w:right="-105" w:rightChars="-50"/>
              <w:jc w:val="center"/>
              <w:rPr>
                <w:rFonts w:ascii="Times New Roman" w:hAnsi="Times New Roman" w:cs="Times New Roman"/>
                <w:color w:val="auto"/>
                <w:sz w:val="22"/>
                <w:szCs w:val="21"/>
              </w:rPr>
            </w:pPr>
            <w:r>
              <w:rPr>
                <w:rFonts w:ascii="Times New Roman" w:hAnsi="Times New Roman" w:cs="Times New Roman"/>
                <w:color w:val="auto"/>
                <w:sz w:val="22"/>
                <w:szCs w:val="21"/>
              </w:rPr>
              <w:t>隔声、减振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1" w:type="pct"/>
            <w:tcBorders>
              <w:tl2br w:val="nil"/>
              <w:tr2bl w:val="nil"/>
            </w:tcBorders>
            <w:vAlign w:val="center"/>
          </w:tcPr>
          <w:p>
            <w:pPr>
              <w:adjustRightInd w:val="0"/>
              <w:snapToGrid w:val="0"/>
              <w:ind w:left="-105" w:leftChars="-50" w:right="-105" w:rightChars="-50"/>
              <w:jc w:val="center"/>
              <w:rPr>
                <w:rFonts w:ascii="Times New Roman" w:hAnsi="Times New Roman" w:cs="Times New Roman"/>
                <w:color w:val="auto"/>
                <w:sz w:val="22"/>
                <w:szCs w:val="21"/>
              </w:rPr>
            </w:pPr>
            <w:r>
              <w:rPr>
                <w:rFonts w:ascii="Times New Roman" w:hAnsi="Times New Roman" w:cs="Times New Roman"/>
                <w:color w:val="auto"/>
                <w:sz w:val="22"/>
                <w:szCs w:val="21"/>
              </w:rPr>
              <w:t>4</w:t>
            </w:r>
          </w:p>
        </w:tc>
        <w:tc>
          <w:tcPr>
            <w:tcW w:w="1303" w:type="pct"/>
            <w:tcBorders>
              <w:tl2br w:val="nil"/>
              <w:tr2bl w:val="nil"/>
            </w:tcBorders>
            <w:vAlign w:val="center"/>
          </w:tcPr>
          <w:p>
            <w:pPr>
              <w:jc w:val="center"/>
              <w:rPr>
                <w:rFonts w:ascii="Times New Roman" w:hAnsi="Times New Roman" w:cs="Times New Roman"/>
                <w:color w:val="auto"/>
                <w:sz w:val="22"/>
                <w:szCs w:val="21"/>
              </w:rPr>
            </w:pPr>
            <w:r>
              <w:rPr>
                <w:rFonts w:ascii="Times New Roman" w:hAnsi="Times New Roman" w:cs="Times New Roman"/>
                <w:color w:val="auto"/>
                <w:sz w:val="22"/>
                <w:szCs w:val="21"/>
              </w:rPr>
              <w:t>空压机</w:t>
            </w:r>
          </w:p>
        </w:tc>
        <w:tc>
          <w:tcPr>
            <w:tcW w:w="1217" w:type="pct"/>
            <w:tcBorders>
              <w:tl2br w:val="nil"/>
              <w:tr2bl w:val="nil"/>
            </w:tcBorders>
            <w:vAlign w:val="center"/>
          </w:tcPr>
          <w:p>
            <w:pPr>
              <w:adjustRightInd w:val="0"/>
              <w:snapToGrid w:val="0"/>
              <w:ind w:left="-105" w:leftChars="-50" w:right="-105" w:rightChars="-50"/>
              <w:jc w:val="center"/>
              <w:rPr>
                <w:rFonts w:ascii="Times New Roman" w:hAnsi="Times New Roman" w:cs="Times New Roman"/>
                <w:color w:val="auto"/>
                <w:sz w:val="22"/>
                <w:szCs w:val="21"/>
              </w:rPr>
            </w:pPr>
            <w:r>
              <w:rPr>
                <w:rFonts w:ascii="Times New Roman" w:hAnsi="Times New Roman" w:cs="Times New Roman"/>
                <w:color w:val="auto"/>
                <w:sz w:val="22"/>
                <w:szCs w:val="21"/>
              </w:rPr>
              <w:t>隔声、减振、消声</w:t>
            </w:r>
          </w:p>
        </w:tc>
        <w:tc>
          <w:tcPr>
            <w:tcW w:w="1998" w:type="pct"/>
            <w:tcBorders>
              <w:tl2br w:val="nil"/>
              <w:tr2bl w:val="nil"/>
            </w:tcBorders>
            <w:vAlign w:val="center"/>
          </w:tcPr>
          <w:p>
            <w:pPr>
              <w:adjustRightInd w:val="0"/>
              <w:snapToGrid w:val="0"/>
              <w:ind w:left="-105" w:leftChars="-50" w:right="-105" w:rightChars="-50"/>
              <w:jc w:val="center"/>
              <w:rPr>
                <w:rFonts w:ascii="Times New Roman" w:hAnsi="Times New Roman" w:cs="Times New Roman"/>
                <w:color w:val="auto"/>
                <w:sz w:val="22"/>
                <w:szCs w:val="21"/>
              </w:rPr>
            </w:pPr>
            <w:r>
              <w:rPr>
                <w:rFonts w:ascii="Times New Roman" w:hAnsi="Times New Roman" w:cs="Times New Roman"/>
                <w:color w:val="auto"/>
                <w:sz w:val="22"/>
                <w:szCs w:val="21"/>
              </w:rPr>
              <w:t>隔声、减振、消声</w:t>
            </w:r>
          </w:p>
        </w:tc>
      </w:tr>
    </w:tbl>
    <w:p>
      <w:pPr>
        <w:spacing w:line="360" w:lineRule="auto"/>
        <w:outlineLvl w:val="1"/>
        <w:rPr>
          <w:rFonts w:hint="eastAsia" w:ascii="Times New Roman" w:hAnsi="Times New Roman" w:cs="Times New Roman"/>
          <w:b/>
          <w:color w:val="auto"/>
          <w:sz w:val="30"/>
          <w:szCs w:val="30"/>
          <w:lang w:val="en-US" w:eastAsia="zh-CN"/>
        </w:rPr>
      </w:pPr>
      <w:bookmarkStart w:id="48" w:name="_Toc85120884"/>
      <w:bookmarkStart w:id="49" w:name="_Toc18599"/>
      <w:r>
        <w:rPr>
          <w:rFonts w:hint="eastAsia" w:ascii="Times New Roman" w:hAnsi="Times New Roman" w:cs="Times New Roman"/>
          <w:b/>
          <w:color w:val="auto"/>
          <w:sz w:val="30"/>
          <w:szCs w:val="30"/>
          <w:lang w:val="en-US" w:eastAsia="zh-CN"/>
        </w:rPr>
        <w:t>4.5规范化排污口和风险防范措施</w:t>
      </w:r>
    </w:p>
    <w:p>
      <w:pPr>
        <w:pStyle w:val="2"/>
        <w:spacing w:line="360" w:lineRule="auto"/>
        <w:ind w:firstLine="480" w:firstLineChars="200"/>
        <w:rPr>
          <w:rFonts w:hint="default" w:ascii="宋体" w:hAnsi="宋体" w:eastAsia="宋体" w:cs="宋体"/>
          <w:sz w:val="24"/>
          <w:szCs w:val="24"/>
          <w:vertAlign w:val="baseline"/>
          <w:lang w:val="en-US" w:eastAsia="zh-CN"/>
        </w:rPr>
      </w:pPr>
      <w:r>
        <w:rPr>
          <w:rFonts w:hint="eastAsia" w:ascii="宋体" w:hAnsi="宋体" w:eastAsia="宋体" w:cs="宋体"/>
          <w:sz w:val="24"/>
          <w:szCs w:val="24"/>
          <w:lang w:val="en-US" w:eastAsia="zh-CN"/>
        </w:rPr>
        <w:t>按照环保图形标志设立有规范排污口，排污口悬挂有清晰标识，在污水处理站排放口设置有水质自动在线监测装置，监测pH、COD、氨氮等污染物指标。三个储罐处设有围堰，两个事故应急池，体积800m</w:t>
      </w:r>
      <w:r>
        <w:rPr>
          <w:rFonts w:hint="eastAsia" w:ascii="宋体" w:hAnsi="宋体" w:eastAsia="宋体" w:cs="宋体"/>
          <w:sz w:val="24"/>
          <w:szCs w:val="24"/>
          <w:vertAlign w:val="superscript"/>
          <w:lang w:val="en-US" w:eastAsia="zh-CN"/>
        </w:rPr>
        <w:t>3</w:t>
      </w:r>
      <w:r>
        <w:rPr>
          <w:rFonts w:hint="eastAsia" w:ascii="宋体" w:hAnsi="宋体" w:eastAsia="宋体" w:cs="宋体"/>
          <w:sz w:val="24"/>
          <w:szCs w:val="24"/>
          <w:vertAlign w:val="baseline"/>
          <w:lang w:val="en-US" w:eastAsia="zh-CN"/>
        </w:rPr>
        <w:t>.</w:t>
      </w:r>
      <w:r>
        <w:rPr>
          <w:rFonts w:hint="eastAsia" w:ascii="宋体" w:hAnsi="宋体" w:eastAsia="宋体" w:cs="宋体"/>
          <w:spacing w:val="12"/>
          <w:sz w:val="24"/>
          <w:szCs w:val="24"/>
          <w:u w:val="none" w:color="auto"/>
          <w:lang w:val="en-US" w:eastAsia="zh-CN"/>
        </w:rPr>
        <w:t>危险废物暂存间位于甲类仓库，面积约209m</w:t>
      </w:r>
      <w:r>
        <w:rPr>
          <w:rFonts w:hint="eastAsia" w:ascii="宋体" w:hAnsi="宋体" w:eastAsia="宋体" w:cs="宋体"/>
          <w:spacing w:val="12"/>
          <w:sz w:val="24"/>
          <w:szCs w:val="24"/>
          <w:u w:val="none" w:color="auto"/>
          <w:vertAlign w:val="superscript"/>
          <w:lang w:val="en-US" w:eastAsia="zh-CN"/>
        </w:rPr>
        <w:t>2</w:t>
      </w:r>
      <w:r>
        <w:rPr>
          <w:rFonts w:hint="eastAsia" w:ascii="宋体" w:hAnsi="宋体" w:eastAsia="宋体" w:cs="宋体"/>
          <w:spacing w:val="12"/>
          <w:sz w:val="24"/>
          <w:szCs w:val="24"/>
          <w:u w:val="none" w:color="auto"/>
          <w:vertAlign w:val="baseline"/>
          <w:lang w:val="en-US" w:eastAsia="zh-CN"/>
        </w:rPr>
        <w:t>，严格按照防渗要求，对</w:t>
      </w:r>
      <w:r>
        <w:rPr>
          <w:rFonts w:hint="eastAsia" w:ascii="宋体" w:hAnsi="宋体" w:eastAsia="宋体" w:cs="宋体"/>
          <w:spacing w:val="12"/>
          <w:sz w:val="24"/>
          <w:szCs w:val="24"/>
        </w:rPr>
        <w:t>地面、</w:t>
      </w:r>
      <w:r>
        <w:rPr>
          <w:rFonts w:hint="eastAsia" w:ascii="宋体" w:hAnsi="宋体" w:eastAsia="宋体" w:cs="宋体"/>
          <w:spacing w:val="6"/>
          <w:sz w:val="24"/>
          <w:szCs w:val="24"/>
        </w:rPr>
        <w:t>墙裙铺设 2</w:t>
      </w:r>
      <w:r>
        <w:rPr>
          <w:rFonts w:hint="eastAsia" w:ascii="宋体" w:hAnsi="宋体" w:eastAsia="宋体" w:cs="宋体"/>
          <w:sz w:val="24"/>
          <w:szCs w:val="24"/>
        </w:rPr>
        <w:t>mm</w:t>
      </w:r>
      <w:r>
        <w:rPr>
          <w:rFonts w:hint="eastAsia" w:ascii="宋体" w:hAnsi="宋体" w:eastAsia="宋体" w:cs="宋体"/>
          <w:spacing w:val="6"/>
          <w:sz w:val="24"/>
          <w:szCs w:val="24"/>
        </w:rPr>
        <w:t xml:space="preserve"> 厚度 </w:t>
      </w:r>
      <w:r>
        <w:rPr>
          <w:rFonts w:hint="eastAsia" w:ascii="宋体" w:hAnsi="宋体" w:eastAsia="宋体" w:cs="宋体"/>
          <w:sz w:val="24"/>
          <w:szCs w:val="24"/>
        </w:rPr>
        <w:t>HDPE</w:t>
      </w:r>
      <w:r>
        <w:rPr>
          <w:rFonts w:hint="eastAsia" w:ascii="宋体" w:hAnsi="宋体" w:eastAsia="宋体" w:cs="宋体"/>
          <w:spacing w:val="6"/>
          <w:sz w:val="24"/>
          <w:szCs w:val="24"/>
        </w:rPr>
        <w:t xml:space="preserve"> 膜，渗透系数≤10</w:t>
      </w:r>
      <w:r>
        <w:rPr>
          <w:rFonts w:hint="eastAsia" w:ascii="宋体" w:hAnsi="宋体" w:eastAsia="宋体" w:cs="宋体"/>
          <w:spacing w:val="6"/>
          <w:position w:val="8"/>
          <w:sz w:val="24"/>
          <w:szCs w:val="24"/>
        </w:rPr>
        <w:t>- 10</w:t>
      </w:r>
      <w:r>
        <w:rPr>
          <w:rFonts w:hint="eastAsia" w:ascii="宋体" w:hAnsi="宋体" w:eastAsia="宋体" w:cs="宋体"/>
          <w:sz w:val="24"/>
          <w:szCs w:val="24"/>
        </w:rPr>
        <w:t>cm</w:t>
      </w:r>
      <w:r>
        <w:rPr>
          <w:rFonts w:hint="eastAsia" w:ascii="宋体" w:hAnsi="宋体" w:eastAsia="宋体" w:cs="宋体"/>
          <w:spacing w:val="6"/>
          <w:sz w:val="24"/>
          <w:szCs w:val="24"/>
        </w:rPr>
        <w:t>/</w:t>
      </w:r>
      <w:r>
        <w:rPr>
          <w:rFonts w:hint="eastAsia" w:ascii="宋体" w:hAnsi="宋体" w:eastAsia="宋体" w:cs="宋体"/>
          <w:sz w:val="24"/>
          <w:szCs w:val="24"/>
        </w:rPr>
        <w:t>s</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危废暂存间有醒目的危废暂存标识和健全的危废管理制度和统计台账。</w:t>
      </w:r>
      <w:r>
        <w:rPr>
          <w:rStyle w:val="35"/>
          <w:rFonts w:hint="default" w:ascii="Times New Roman" w:hAnsi="Times New Roman" w:cs="Times New Roman"/>
          <w:color w:val="auto"/>
          <w:sz w:val="24"/>
          <w:szCs w:val="24"/>
          <w:highlight w:val="none"/>
          <w:lang w:val="en-US" w:eastAsia="zh-CN"/>
        </w:rPr>
        <w:t>2021年</w:t>
      </w:r>
      <w:r>
        <w:rPr>
          <w:rStyle w:val="35"/>
          <w:rFonts w:hint="default" w:ascii="Times New Roman" w:hAnsi="Times New Roman" w:cs="Times New Roman"/>
          <w:color w:val="auto"/>
          <w:sz w:val="24"/>
          <w:szCs w:val="24"/>
          <w:lang w:val="en-US" w:eastAsia="zh-CN"/>
        </w:rPr>
        <w:t>12月28日进行了突发环境事件应急预案备案，备案编号为430603--2021--058-H</w:t>
      </w:r>
      <w:r>
        <w:rPr>
          <w:rStyle w:val="35"/>
          <w:rFonts w:hint="eastAsia" w:ascii="Times New Roman" w:hAnsi="Times New Roman" w:cs="Times New Roman"/>
          <w:color w:val="auto"/>
          <w:sz w:val="24"/>
          <w:szCs w:val="24"/>
          <w:lang w:val="en-US" w:eastAsia="zh-CN"/>
        </w:rPr>
        <w:t>。</w:t>
      </w:r>
    </w:p>
    <w:p>
      <w:pPr>
        <w:spacing w:line="360" w:lineRule="auto"/>
        <w:outlineLvl w:val="1"/>
        <w:rPr>
          <w:rFonts w:ascii="Times New Roman" w:hAnsi="Times New Roman" w:cs="Times New Roman"/>
          <w:b/>
          <w:color w:val="auto"/>
          <w:sz w:val="30"/>
          <w:szCs w:val="30"/>
        </w:rPr>
      </w:pPr>
      <w:r>
        <w:rPr>
          <w:rFonts w:hint="default" w:ascii="Times New Roman" w:hAnsi="Times New Roman" w:cs="Times New Roman"/>
          <w:b/>
          <w:color w:val="auto"/>
          <w:sz w:val="30"/>
          <w:szCs w:val="30"/>
        </w:rPr>
        <w:t>4.</w:t>
      </w:r>
      <w:r>
        <w:rPr>
          <w:rFonts w:hint="eastAsia" w:ascii="Times New Roman" w:hAnsi="Times New Roman" w:cs="Times New Roman"/>
          <w:b/>
          <w:color w:val="auto"/>
          <w:sz w:val="30"/>
          <w:szCs w:val="30"/>
          <w:lang w:val="en-US" w:eastAsia="zh-CN"/>
        </w:rPr>
        <w:t>6</w:t>
      </w:r>
      <w:r>
        <w:rPr>
          <w:rFonts w:hint="default" w:ascii="Times New Roman" w:hAnsi="Times New Roman" w:cs="Times New Roman"/>
          <w:b/>
          <w:color w:val="auto"/>
          <w:sz w:val="30"/>
          <w:szCs w:val="30"/>
        </w:rPr>
        <w:t xml:space="preserve">  环保设施投资及环评批复落实情况</w:t>
      </w:r>
      <w:bookmarkEnd w:id="48"/>
      <w:bookmarkEnd w:id="49"/>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20</w:t>
      </w:r>
      <w:r>
        <w:rPr>
          <w:rFonts w:hint="default" w:ascii="Times New Roman" w:hAnsi="Times New Roman" w:cs="Times New Roman"/>
          <w:color w:val="auto"/>
          <w:sz w:val="24"/>
          <w:szCs w:val="24"/>
        </w:rPr>
        <w:t>19年6月</w:t>
      </w:r>
      <w:r>
        <w:rPr>
          <w:rFonts w:hint="default" w:ascii="Times New Roman" w:hAnsi="Times New Roman" w:cs="Times New Roman"/>
          <w:color w:val="auto"/>
          <w:kern w:val="0"/>
          <w:sz w:val="24"/>
          <w:szCs w:val="24"/>
        </w:rPr>
        <w:t>岳阳中展科技有限公司</w:t>
      </w:r>
      <w:r>
        <w:rPr>
          <w:rFonts w:hint="default" w:ascii="Times New Roman" w:hAnsi="Times New Roman" w:cs="Times New Roman"/>
          <w:color w:val="auto"/>
          <w:sz w:val="24"/>
          <w:szCs w:val="24"/>
        </w:rPr>
        <w:t>委托湖南博咨环境技术咨询服务有限公司编制完成了《</w:t>
      </w:r>
      <w:r>
        <w:rPr>
          <w:rFonts w:hint="default" w:ascii="Times New Roman" w:hAnsi="Times New Roman" w:cs="Times New Roman"/>
          <w:color w:val="auto"/>
          <w:kern w:val="0"/>
          <w:sz w:val="24"/>
          <w:szCs w:val="24"/>
        </w:rPr>
        <w:t>岳阳中展科技有限公司12.6kt/a特种胺项目</w:t>
      </w:r>
      <w:r>
        <w:rPr>
          <w:rFonts w:hint="default" w:ascii="Times New Roman" w:hAnsi="Times New Roman" w:cs="Times New Roman"/>
          <w:color w:val="auto"/>
          <w:sz w:val="24"/>
          <w:szCs w:val="24"/>
        </w:rPr>
        <w:t>环境影响报告书》。于2019年7月30日获得由岳阳市生态环境局出具的批复（文号：岳环评〔2</w:t>
      </w:r>
      <w:r>
        <w:rPr>
          <w:rFonts w:ascii="Times New Roman" w:hAnsi="Times New Roman" w:cs="Times New Roman"/>
          <w:color w:val="auto"/>
          <w:sz w:val="24"/>
          <w:szCs w:val="24"/>
        </w:rPr>
        <w:t>0</w:t>
      </w:r>
      <w:r>
        <w:rPr>
          <w:rFonts w:hint="default" w:ascii="Times New Roman" w:hAnsi="Times New Roman" w:cs="Times New Roman"/>
          <w:color w:val="auto"/>
          <w:sz w:val="24"/>
          <w:szCs w:val="24"/>
        </w:rPr>
        <w:t>19〕</w:t>
      </w:r>
      <w:r>
        <w:rPr>
          <w:rFonts w:ascii="Times New Roman" w:hAnsi="Times New Roman" w:cs="Times New Roman"/>
          <w:color w:val="auto"/>
          <w:sz w:val="24"/>
          <w:szCs w:val="24"/>
        </w:rPr>
        <w:t>1</w:t>
      </w:r>
      <w:r>
        <w:rPr>
          <w:rFonts w:hint="default" w:ascii="Times New Roman" w:hAnsi="Times New Roman" w:cs="Times New Roman"/>
          <w:color w:val="auto"/>
          <w:sz w:val="24"/>
          <w:szCs w:val="24"/>
        </w:rPr>
        <w:t>04号）。工程的建设按环境保护主管部门的要求办理了环保审批手续，工程施工的各项设施基本做到了与主体工程同时设计、同时施工、同时运行，执行了“三同时”制度。工程建设完成后，委托湖南桓泓检测技术有限公司对项目进行了环保验收监测。</w:t>
      </w:r>
    </w:p>
    <w:p>
      <w:pPr>
        <w:spacing w:line="360" w:lineRule="auto"/>
        <w:outlineLvl w:val="2"/>
        <w:rPr>
          <w:rFonts w:ascii="Times New Roman" w:hAnsi="Times New Roman" w:cs="Times New Roman"/>
          <w:b/>
          <w:color w:val="auto"/>
          <w:sz w:val="28"/>
          <w:szCs w:val="28"/>
        </w:rPr>
      </w:pPr>
      <w:bookmarkStart w:id="50" w:name="_Toc1185"/>
      <w:bookmarkStart w:id="51" w:name="_Toc85120885"/>
      <w:r>
        <w:rPr>
          <w:rFonts w:hint="default" w:ascii="Times New Roman" w:hAnsi="Times New Roman" w:cs="Times New Roman"/>
          <w:b/>
          <w:color w:val="auto"/>
          <w:sz w:val="28"/>
          <w:szCs w:val="28"/>
        </w:rPr>
        <w:t>4.</w:t>
      </w:r>
      <w:r>
        <w:rPr>
          <w:rFonts w:hint="eastAsia" w:ascii="Times New Roman" w:hAnsi="Times New Roman" w:cs="Times New Roman"/>
          <w:b/>
          <w:color w:val="auto"/>
          <w:sz w:val="28"/>
          <w:szCs w:val="28"/>
          <w:lang w:val="en-US" w:eastAsia="zh-CN"/>
        </w:rPr>
        <w:t>6</w:t>
      </w:r>
      <w:r>
        <w:rPr>
          <w:rFonts w:hint="default" w:ascii="Times New Roman" w:hAnsi="Times New Roman" w:cs="Times New Roman"/>
          <w:b/>
          <w:color w:val="auto"/>
          <w:sz w:val="28"/>
          <w:szCs w:val="28"/>
        </w:rPr>
        <w:t>.1环保设施投资</w:t>
      </w:r>
      <w:bookmarkEnd w:id="50"/>
      <w:bookmarkEnd w:id="51"/>
    </w:p>
    <w:p>
      <w:pPr>
        <w:autoSpaceDE w:val="0"/>
        <w:autoSpaceDN w:val="0"/>
        <w:adjustRightInd w:val="0"/>
        <w:jc w:val="center"/>
        <w:rPr>
          <w:rFonts w:ascii="Times New Roman" w:hAnsi="Times New Roman" w:eastAsia="宋体" w:cs="Times New Roman"/>
          <w:b/>
          <w:color w:val="auto"/>
          <w:spacing w:val="10"/>
          <w:kern w:val="24"/>
          <w:szCs w:val="21"/>
        </w:rPr>
      </w:pPr>
    </w:p>
    <w:p>
      <w:pPr>
        <w:autoSpaceDE w:val="0"/>
        <w:autoSpaceDN w:val="0"/>
        <w:adjustRightInd w:val="0"/>
        <w:ind w:firstLine="2077" w:firstLineChars="900"/>
        <w:jc w:val="both"/>
        <w:rPr>
          <w:rFonts w:ascii="Times New Roman" w:hAnsi="Times New Roman" w:eastAsia="宋体" w:cs="Times New Roman"/>
          <w:b/>
          <w:color w:val="auto"/>
          <w:spacing w:val="10"/>
          <w:kern w:val="24"/>
          <w:szCs w:val="21"/>
        </w:rPr>
      </w:pPr>
      <w:r>
        <w:rPr>
          <w:rFonts w:ascii="Times New Roman" w:hAnsi="Times New Roman" w:eastAsia="宋体" w:cs="Times New Roman"/>
          <w:b/>
          <w:color w:val="auto"/>
          <w:spacing w:val="10"/>
          <w:kern w:val="24"/>
          <w:szCs w:val="21"/>
        </w:rPr>
        <w:t>表</w:t>
      </w:r>
      <w:r>
        <w:rPr>
          <w:rFonts w:hint="default" w:ascii="Times New Roman" w:hAnsi="Times New Roman" w:eastAsia="宋体" w:cs="Times New Roman"/>
          <w:b/>
          <w:color w:val="auto"/>
          <w:spacing w:val="10"/>
          <w:kern w:val="24"/>
          <w:szCs w:val="21"/>
        </w:rPr>
        <w:t>4</w:t>
      </w:r>
      <w:r>
        <w:rPr>
          <w:rFonts w:ascii="Times New Roman" w:hAnsi="Times New Roman" w:eastAsia="宋体" w:cs="Times New Roman"/>
          <w:b/>
          <w:color w:val="auto"/>
          <w:spacing w:val="10"/>
          <w:kern w:val="24"/>
          <w:szCs w:val="21"/>
        </w:rPr>
        <w:t>.</w:t>
      </w:r>
      <w:r>
        <w:rPr>
          <w:rFonts w:hint="eastAsia" w:ascii="Times New Roman" w:hAnsi="Times New Roman" w:eastAsia="宋体" w:cs="Times New Roman"/>
          <w:b/>
          <w:color w:val="auto"/>
          <w:spacing w:val="10"/>
          <w:kern w:val="24"/>
          <w:szCs w:val="21"/>
          <w:lang w:val="en-US" w:eastAsia="zh-CN"/>
        </w:rPr>
        <w:t>6</w:t>
      </w:r>
      <w:r>
        <w:rPr>
          <w:rFonts w:ascii="Times New Roman" w:hAnsi="Times New Roman" w:eastAsia="宋体" w:cs="Times New Roman"/>
          <w:b/>
          <w:color w:val="auto"/>
          <w:spacing w:val="10"/>
          <w:kern w:val="24"/>
          <w:szCs w:val="21"/>
        </w:rPr>
        <w:t>-</w:t>
      </w:r>
      <w:r>
        <w:rPr>
          <w:rFonts w:hint="default" w:ascii="Times New Roman" w:hAnsi="Times New Roman" w:eastAsia="宋体" w:cs="Times New Roman"/>
          <w:b/>
          <w:color w:val="auto"/>
          <w:spacing w:val="10"/>
          <w:kern w:val="24"/>
          <w:szCs w:val="21"/>
        </w:rPr>
        <w:t>1</w:t>
      </w:r>
      <w:r>
        <w:rPr>
          <w:rFonts w:ascii="Times New Roman" w:hAnsi="Times New Roman" w:eastAsia="宋体" w:cs="Times New Roman"/>
          <w:b/>
          <w:color w:val="auto"/>
          <w:spacing w:val="10"/>
          <w:kern w:val="24"/>
          <w:szCs w:val="21"/>
        </w:rPr>
        <w:t>项目环保设施及投资一览表</w:t>
      </w:r>
    </w:p>
    <w:tbl>
      <w:tblPr>
        <w:tblStyle w:val="28"/>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81"/>
        <w:gridCol w:w="610"/>
        <w:gridCol w:w="1644"/>
        <w:gridCol w:w="2271"/>
        <w:gridCol w:w="1171"/>
        <w:gridCol w:w="1171"/>
        <w:gridCol w:w="117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3" w:type="pct"/>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阶段</w:t>
            </w:r>
          </w:p>
        </w:tc>
        <w:tc>
          <w:tcPr>
            <w:tcW w:w="1323" w:type="pct"/>
            <w:gridSpan w:val="2"/>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污染物</w:t>
            </w:r>
          </w:p>
        </w:tc>
        <w:tc>
          <w:tcPr>
            <w:tcW w:w="1331" w:type="pct"/>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措施</w:t>
            </w:r>
          </w:p>
        </w:tc>
        <w:tc>
          <w:tcPr>
            <w:tcW w:w="687" w:type="pct"/>
            <w:vAlign w:val="center"/>
          </w:tcPr>
          <w:p>
            <w:pPr>
              <w:adjustRightInd w:val="0"/>
              <w:snapToGrid w:val="0"/>
              <w:spacing w:line="240" w:lineRule="exact"/>
              <w:jc w:val="center"/>
              <w:rPr>
                <w:rFonts w:ascii="Times New Roman" w:hAnsi="Times New Roman" w:cs="Times New Roman"/>
                <w:color w:val="auto"/>
                <w:szCs w:val="21"/>
              </w:rPr>
            </w:pPr>
            <w:r>
              <w:rPr>
                <w:rFonts w:ascii="Times New Roman" w:hAnsi="Times New Roman" w:eastAsia="宋体" w:cs="Times New Roman"/>
                <w:color w:val="auto"/>
                <w:szCs w:val="21"/>
              </w:rPr>
              <w:t>环评设计</w:t>
            </w:r>
            <w:r>
              <w:rPr>
                <w:rFonts w:ascii="Times New Roman" w:hAnsi="Times New Roman" w:cs="Times New Roman"/>
                <w:color w:val="auto"/>
                <w:szCs w:val="21"/>
              </w:rPr>
              <w:t>环保投资（万元）</w:t>
            </w:r>
          </w:p>
        </w:tc>
        <w:tc>
          <w:tcPr>
            <w:tcW w:w="687" w:type="pct"/>
            <w:vAlign w:val="center"/>
          </w:tcPr>
          <w:p>
            <w:pPr>
              <w:adjustRightInd w:val="0"/>
              <w:snapToGrid w:val="0"/>
              <w:spacing w:line="240" w:lineRule="exact"/>
              <w:jc w:val="center"/>
              <w:rPr>
                <w:rFonts w:ascii="Times New Roman" w:hAnsi="Times New Roman" w:cs="Times New Roman"/>
                <w:color w:val="auto"/>
                <w:szCs w:val="21"/>
              </w:rPr>
            </w:pPr>
            <w:r>
              <w:rPr>
                <w:rFonts w:ascii="Times New Roman" w:hAnsi="Times New Roman" w:eastAsia="宋体" w:cs="Times New Roman"/>
                <w:color w:val="auto"/>
                <w:szCs w:val="21"/>
              </w:rPr>
              <w:t>实际</w:t>
            </w:r>
            <w:r>
              <w:rPr>
                <w:rFonts w:ascii="Times New Roman" w:hAnsi="Times New Roman" w:cs="Times New Roman"/>
                <w:color w:val="auto"/>
                <w:szCs w:val="21"/>
              </w:rPr>
              <w:t>环保投资（万元）</w:t>
            </w:r>
          </w:p>
        </w:tc>
        <w:tc>
          <w:tcPr>
            <w:tcW w:w="687" w:type="pct"/>
            <w:vAlign w:val="center"/>
          </w:tcPr>
          <w:p>
            <w:pPr>
              <w:adjustRightInd w:val="0"/>
              <w:snapToGrid w:val="0"/>
              <w:spacing w:line="240" w:lineRule="exact"/>
              <w:jc w:val="center"/>
              <w:rPr>
                <w:rFonts w:ascii="Times New Roman" w:hAnsi="Times New Roman" w:cs="Times New Roman"/>
                <w:color w:val="auto"/>
                <w:szCs w:val="21"/>
              </w:rPr>
            </w:pPr>
            <w:r>
              <w:rPr>
                <w:rFonts w:ascii="Times New Roman" w:hAnsi="Times New Roman" w:cs="Times New Roman"/>
                <w:color w:val="auto"/>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3" w:type="pct"/>
            <w:vMerge w:val="restart"/>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营</w:t>
            </w:r>
          </w:p>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运</w:t>
            </w:r>
          </w:p>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期</w:t>
            </w:r>
          </w:p>
        </w:tc>
        <w:tc>
          <w:tcPr>
            <w:tcW w:w="358" w:type="pct"/>
            <w:vMerge w:val="restart"/>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大气</w:t>
            </w:r>
          </w:p>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污染物</w:t>
            </w:r>
          </w:p>
        </w:tc>
        <w:tc>
          <w:tcPr>
            <w:tcW w:w="964" w:type="pct"/>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生产过程废气（高位槽、冷凝器不凝气、自动包装机以及储罐区的废气）</w:t>
            </w:r>
          </w:p>
        </w:tc>
        <w:tc>
          <w:tcPr>
            <w:tcW w:w="1331" w:type="pct"/>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强制冷凝+水吸收+酸吸收+</w:t>
            </w:r>
            <w:r>
              <w:rPr>
                <w:rFonts w:hint="eastAsia" w:ascii="Times New Roman" w:hAnsi="Times New Roman" w:cs="Times New Roman"/>
                <w:color w:val="auto"/>
                <w:szCs w:val="21"/>
                <w:lang w:val="en-US" w:eastAsia="zh-CN"/>
              </w:rPr>
              <w:t>酸</w:t>
            </w:r>
            <w:r>
              <w:rPr>
                <w:rFonts w:ascii="Times New Roman" w:hAnsi="Times New Roman" w:cs="Times New Roman"/>
                <w:color w:val="auto"/>
                <w:szCs w:val="21"/>
              </w:rPr>
              <w:t>吸收+</w:t>
            </w:r>
            <w:r>
              <w:rPr>
                <w:rFonts w:hint="eastAsia" w:ascii="Times New Roman" w:hAnsi="Times New Roman" w:cs="Times New Roman"/>
                <w:color w:val="auto"/>
                <w:szCs w:val="21"/>
                <w:lang w:val="en-US" w:eastAsia="zh-CN"/>
              </w:rPr>
              <w:t>酸吸收+</w:t>
            </w:r>
            <w:r>
              <w:rPr>
                <w:rFonts w:ascii="Times New Roman" w:hAnsi="Times New Roman" w:cs="Times New Roman"/>
                <w:color w:val="auto"/>
                <w:szCs w:val="21"/>
              </w:rPr>
              <w:t>除雾板+</w:t>
            </w:r>
            <w:r>
              <w:rPr>
                <w:rFonts w:hint="eastAsia" w:ascii="Times New Roman" w:hAnsi="Times New Roman" w:cs="Times New Roman"/>
                <w:color w:val="auto"/>
                <w:szCs w:val="21"/>
                <w:lang w:val="en-US" w:eastAsia="zh-CN"/>
              </w:rPr>
              <w:t>活性炭+</w:t>
            </w:r>
            <w:r>
              <w:rPr>
                <w:rFonts w:ascii="Times New Roman" w:hAnsi="Times New Roman" w:cs="Times New Roman"/>
                <w:color w:val="auto"/>
                <w:szCs w:val="21"/>
              </w:rPr>
              <w:t>30m排气筒</w:t>
            </w:r>
          </w:p>
        </w:tc>
        <w:tc>
          <w:tcPr>
            <w:tcW w:w="687" w:type="pct"/>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200</w:t>
            </w:r>
          </w:p>
        </w:tc>
        <w:tc>
          <w:tcPr>
            <w:tcW w:w="687" w:type="pct"/>
            <w:vAlign w:val="center"/>
          </w:tcPr>
          <w:p>
            <w:pPr>
              <w:adjustRightInd w:val="0"/>
              <w:snapToGrid w:val="0"/>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val="en-US" w:eastAsia="zh-CN"/>
              </w:rPr>
              <w:t>230</w:t>
            </w:r>
          </w:p>
        </w:tc>
        <w:tc>
          <w:tcPr>
            <w:tcW w:w="687" w:type="pct"/>
            <w:vAlign w:val="center"/>
          </w:tcPr>
          <w:p>
            <w:pPr>
              <w:adjustRightInd w:val="0"/>
              <w:snapToGrid w:val="0"/>
              <w:jc w:val="center"/>
              <w:rPr>
                <w:rFonts w:ascii="Times New Roman" w:hAnsi="Times New Roman"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3" w:type="pct"/>
            <w:vMerge w:val="continue"/>
            <w:vAlign w:val="center"/>
          </w:tcPr>
          <w:p>
            <w:pPr>
              <w:adjustRightInd w:val="0"/>
              <w:snapToGrid w:val="0"/>
              <w:jc w:val="center"/>
              <w:rPr>
                <w:rFonts w:ascii="Times New Roman" w:hAnsi="Times New Roman" w:cs="Times New Roman"/>
                <w:color w:val="auto"/>
                <w:szCs w:val="21"/>
              </w:rPr>
            </w:pPr>
          </w:p>
        </w:tc>
        <w:tc>
          <w:tcPr>
            <w:tcW w:w="358" w:type="pct"/>
            <w:vMerge w:val="continue"/>
            <w:vAlign w:val="center"/>
          </w:tcPr>
          <w:p>
            <w:pPr>
              <w:adjustRightInd w:val="0"/>
              <w:snapToGrid w:val="0"/>
              <w:jc w:val="center"/>
              <w:rPr>
                <w:rFonts w:ascii="Times New Roman" w:hAnsi="Times New Roman" w:cs="Times New Roman"/>
                <w:color w:val="auto"/>
                <w:szCs w:val="21"/>
              </w:rPr>
            </w:pPr>
          </w:p>
        </w:tc>
        <w:tc>
          <w:tcPr>
            <w:tcW w:w="964" w:type="pct"/>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污水站废气</w:t>
            </w:r>
          </w:p>
        </w:tc>
        <w:tc>
          <w:tcPr>
            <w:tcW w:w="1331" w:type="pct"/>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处理池加盖密闭，将臭气收集，并采用</w:t>
            </w:r>
            <w:r>
              <w:rPr>
                <w:rFonts w:hint="eastAsia" w:ascii="Times New Roman" w:hAnsi="Times New Roman" w:cs="Times New Roman"/>
                <w:color w:val="auto"/>
                <w:szCs w:val="21"/>
                <w:lang w:val="en-US" w:eastAsia="zh-CN"/>
              </w:rPr>
              <w:t>水吸收+</w:t>
            </w:r>
            <w:r>
              <w:rPr>
                <w:rFonts w:hint="default" w:ascii="Times New Roman" w:hAnsi="Times New Roman" w:cs="Times New Roman"/>
                <w:color w:val="auto"/>
                <w:szCs w:val="21"/>
                <w:lang w:val="en-US" w:eastAsia="zh-CN"/>
              </w:rPr>
              <w:t>硫酸</w:t>
            </w:r>
            <w:r>
              <w:rPr>
                <w:rFonts w:ascii="Times New Roman" w:hAnsi="Times New Roman" w:cs="Times New Roman"/>
                <w:color w:val="auto"/>
                <w:szCs w:val="21"/>
              </w:rPr>
              <w:t>喷淋</w:t>
            </w:r>
            <w:r>
              <w:rPr>
                <w:rFonts w:hint="eastAsia" w:ascii="Times New Roman" w:hAnsi="Times New Roman" w:cs="Times New Roman"/>
                <w:color w:val="auto"/>
                <w:szCs w:val="21"/>
                <w:lang w:val="en-US" w:eastAsia="zh-CN"/>
              </w:rPr>
              <w:t>+生物除臭</w:t>
            </w:r>
            <w:r>
              <w:rPr>
                <w:rFonts w:ascii="Times New Roman" w:hAnsi="Times New Roman" w:cs="Times New Roman"/>
                <w:color w:val="auto"/>
                <w:szCs w:val="21"/>
              </w:rPr>
              <w:t>+15m排气筒</w:t>
            </w:r>
          </w:p>
        </w:tc>
        <w:tc>
          <w:tcPr>
            <w:tcW w:w="687" w:type="pct"/>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10</w:t>
            </w:r>
          </w:p>
        </w:tc>
        <w:tc>
          <w:tcPr>
            <w:tcW w:w="687" w:type="pct"/>
            <w:vAlign w:val="center"/>
          </w:tcPr>
          <w:p>
            <w:pPr>
              <w:adjustRightInd w:val="0"/>
              <w:snapToGrid w:val="0"/>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val="en-US" w:eastAsia="zh-CN"/>
              </w:rPr>
              <w:t>50</w:t>
            </w:r>
          </w:p>
        </w:tc>
        <w:tc>
          <w:tcPr>
            <w:tcW w:w="687" w:type="pct"/>
            <w:vAlign w:val="center"/>
          </w:tcPr>
          <w:p>
            <w:pPr>
              <w:adjustRightInd w:val="0"/>
              <w:snapToGrid w:val="0"/>
              <w:jc w:val="center"/>
              <w:rPr>
                <w:rFonts w:ascii="Times New Roman" w:hAnsi="Times New Roman"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3" w:type="pct"/>
            <w:vMerge w:val="continue"/>
            <w:vAlign w:val="center"/>
          </w:tcPr>
          <w:p>
            <w:pPr>
              <w:adjustRightInd w:val="0"/>
              <w:snapToGrid w:val="0"/>
              <w:jc w:val="center"/>
              <w:rPr>
                <w:rFonts w:ascii="Times New Roman" w:hAnsi="Times New Roman" w:cs="Times New Roman"/>
                <w:color w:val="auto"/>
                <w:szCs w:val="21"/>
              </w:rPr>
            </w:pPr>
          </w:p>
        </w:tc>
        <w:tc>
          <w:tcPr>
            <w:tcW w:w="358" w:type="pct"/>
            <w:vMerge w:val="continue"/>
            <w:vAlign w:val="center"/>
          </w:tcPr>
          <w:p>
            <w:pPr>
              <w:adjustRightInd w:val="0"/>
              <w:snapToGrid w:val="0"/>
              <w:jc w:val="center"/>
              <w:rPr>
                <w:rFonts w:ascii="Times New Roman" w:hAnsi="Times New Roman" w:cs="Times New Roman"/>
                <w:color w:val="auto"/>
                <w:szCs w:val="21"/>
              </w:rPr>
            </w:pPr>
          </w:p>
        </w:tc>
        <w:tc>
          <w:tcPr>
            <w:tcW w:w="964" w:type="pct"/>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饮食油烟</w:t>
            </w:r>
          </w:p>
        </w:tc>
        <w:tc>
          <w:tcPr>
            <w:tcW w:w="1331" w:type="pct"/>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油烟净化器</w:t>
            </w:r>
          </w:p>
        </w:tc>
        <w:tc>
          <w:tcPr>
            <w:tcW w:w="687" w:type="pct"/>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1</w:t>
            </w:r>
          </w:p>
        </w:tc>
        <w:tc>
          <w:tcPr>
            <w:tcW w:w="687" w:type="pct"/>
            <w:vAlign w:val="center"/>
          </w:tcPr>
          <w:p>
            <w:pPr>
              <w:adjustRightInd w:val="0"/>
              <w:snapToGrid w:val="0"/>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val="en-US" w:eastAsia="zh-CN"/>
              </w:rPr>
              <w:t>0.8</w:t>
            </w:r>
          </w:p>
        </w:tc>
        <w:tc>
          <w:tcPr>
            <w:tcW w:w="687" w:type="pct"/>
            <w:vAlign w:val="center"/>
          </w:tcPr>
          <w:p>
            <w:pPr>
              <w:adjustRightInd w:val="0"/>
              <w:snapToGrid w:val="0"/>
              <w:jc w:val="center"/>
              <w:rPr>
                <w:rFonts w:ascii="Times New Roman" w:hAnsi="Times New Roman"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3" w:type="pct"/>
            <w:vMerge w:val="continue"/>
            <w:vAlign w:val="center"/>
          </w:tcPr>
          <w:p>
            <w:pPr>
              <w:adjustRightInd w:val="0"/>
              <w:snapToGrid w:val="0"/>
              <w:jc w:val="center"/>
              <w:rPr>
                <w:rFonts w:ascii="Times New Roman" w:hAnsi="Times New Roman" w:cs="Times New Roman"/>
                <w:color w:val="auto"/>
                <w:szCs w:val="21"/>
              </w:rPr>
            </w:pPr>
          </w:p>
        </w:tc>
        <w:tc>
          <w:tcPr>
            <w:tcW w:w="358" w:type="pct"/>
            <w:vMerge w:val="restart"/>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水污染物</w:t>
            </w:r>
          </w:p>
        </w:tc>
        <w:tc>
          <w:tcPr>
            <w:tcW w:w="964" w:type="pct"/>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生产废水（地面清洗水、真空泵排水、废气吸收水、设备清洗水、实验室用水）</w:t>
            </w:r>
          </w:p>
        </w:tc>
        <w:tc>
          <w:tcPr>
            <w:tcW w:w="1331" w:type="pct"/>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厂内100t/d废水处理站（</w:t>
            </w:r>
            <w:r>
              <w:rPr>
                <w:rFonts w:ascii="Times New Roman" w:hAnsi="Times New Roman" w:cs="Times New Roman"/>
                <w:color w:val="auto"/>
                <w:kern w:val="0"/>
                <w:szCs w:val="21"/>
              </w:rPr>
              <w:t>调节+水解酸化+AO+沉淀</w:t>
            </w:r>
            <w:r>
              <w:rPr>
                <w:rFonts w:ascii="Times New Roman" w:hAnsi="Times New Roman" w:cs="Times New Roman"/>
                <w:color w:val="auto"/>
                <w:szCs w:val="21"/>
              </w:rPr>
              <w:t>）</w:t>
            </w:r>
          </w:p>
        </w:tc>
        <w:tc>
          <w:tcPr>
            <w:tcW w:w="687" w:type="pct"/>
            <w:vAlign w:val="center"/>
          </w:tcPr>
          <w:p>
            <w:pPr>
              <w:adjustRightInd w:val="0"/>
              <w:snapToGrid w:val="0"/>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val="en-US" w:eastAsia="zh-CN"/>
              </w:rPr>
              <w:t>207</w:t>
            </w:r>
          </w:p>
        </w:tc>
        <w:tc>
          <w:tcPr>
            <w:tcW w:w="687" w:type="pct"/>
            <w:vAlign w:val="center"/>
          </w:tcPr>
          <w:p>
            <w:pPr>
              <w:adjustRightInd w:val="0"/>
              <w:snapToGrid w:val="0"/>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val="en-US" w:eastAsia="zh-CN"/>
              </w:rPr>
              <w:t>300</w:t>
            </w:r>
          </w:p>
        </w:tc>
        <w:tc>
          <w:tcPr>
            <w:tcW w:w="687" w:type="pct"/>
            <w:vAlign w:val="center"/>
          </w:tcPr>
          <w:p>
            <w:pPr>
              <w:adjustRightInd w:val="0"/>
              <w:snapToGrid w:val="0"/>
              <w:jc w:val="center"/>
              <w:rPr>
                <w:rFonts w:ascii="Times New Roman" w:hAnsi="Times New Roman"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3" w:type="pct"/>
            <w:vMerge w:val="continue"/>
            <w:vAlign w:val="center"/>
          </w:tcPr>
          <w:p>
            <w:pPr>
              <w:adjustRightInd w:val="0"/>
              <w:snapToGrid w:val="0"/>
              <w:jc w:val="center"/>
              <w:rPr>
                <w:rFonts w:ascii="Times New Roman" w:hAnsi="Times New Roman" w:cs="Times New Roman"/>
                <w:color w:val="auto"/>
                <w:szCs w:val="21"/>
              </w:rPr>
            </w:pPr>
          </w:p>
        </w:tc>
        <w:tc>
          <w:tcPr>
            <w:tcW w:w="358" w:type="pct"/>
            <w:vMerge w:val="continue"/>
            <w:vAlign w:val="center"/>
          </w:tcPr>
          <w:p>
            <w:pPr>
              <w:adjustRightInd w:val="0"/>
              <w:snapToGrid w:val="0"/>
              <w:jc w:val="center"/>
              <w:rPr>
                <w:rFonts w:ascii="Times New Roman" w:hAnsi="Times New Roman" w:cs="Times New Roman"/>
                <w:color w:val="auto"/>
                <w:szCs w:val="21"/>
              </w:rPr>
            </w:pPr>
          </w:p>
        </w:tc>
        <w:tc>
          <w:tcPr>
            <w:tcW w:w="964" w:type="pct"/>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生活污水、食堂废水</w:t>
            </w:r>
          </w:p>
        </w:tc>
        <w:tc>
          <w:tcPr>
            <w:tcW w:w="1331" w:type="pct"/>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隔油池、化粪池</w:t>
            </w:r>
          </w:p>
        </w:tc>
        <w:tc>
          <w:tcPr>
            <w:tcW w:w="687" w:type="pct"/>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2</w:t>
            </w:r>
          </w:p>
        </w:tc>
        <w:tc>
          <w:tcPr>
            <w:tcW w:w="687" w:type="pct"/>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2</w:t>
            </w:r>
          </w:p>
        </w:tc>
        <w:tc>
          <w:tcPr>
            <w:tcW w:w="687" w:type="pct"/>
            <w:vAlign w:val="center"/>
          </w:tcPr>
          <w:p>
            <w:pPr>
              <w:adjustRightInd w:val="0"/>
              <w:snapToGrid w:val="0"/>
              <w:jc w:val="center"/>
              <w:rPr>
                <w:rFonts w:ascii="Times New Roman" w:hAnsi="Times New Roman"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3" w:type="pct"/>
            <w:vMerge w:val="continue"/>
            <w:vAlign w:val="center"/>
          </w:tcPr>
          <w:p>
            <w:pPr>
              <w:adjustRightInd w:val="0"/>
              <w:snapToGrid w:val="0"/>
              <w:jc w:val="center"/>
              <w:rPr>
                <w:rFonts w:ascii="Times New Roman" w:hAnsi="Times New Roman" w:cs="Times New Roman"/>
                <w:color w:val="auto"/>
                <w:szCs w:val="21"/>
              </w:rPr>
            </w:pPr>
          </w:p>
        </w:tc>
        <w:tc>
          <w:tcPr>
            <w:tcW w:w="358" w:type="pct"/>
            <w:vMerge w:val="continue"/>
            <w:vAlign w:val="center"/>
          </w:tcPr>
          <w:p>
            <w:pPr>
              <w:adjustRightInd w:val="0"/>
              <w:snapToGrid w:val="0"/>
              <w:jc w:val="center"/>
              <w:rPr>
                <w:rFonts w:ascii="Times New Roman" w:hAnsi="Times New Roman" w:cs="Times New Roman"/>
                <w:color w:val="auto"/>
                <w:szCs w:val="21"/>
              </w:rPr>
            </w:pPr>
          </w:p>
        </w:tc>
        <w:tc>
          <w:tcPr>
            <w:tcW w:w="964" w:type="pct"/>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初期雨水</w:t>
            </w:r>
          </w:p>
        </w:tc>
        <w:tc>
          <w:tcPr>
            <w:tcW w:w="1331" w:type="pct"/>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初期雨水收集池</w:t>
            </w:r>
          </w:p>
        </w:tc>
        <w:tc>
          <w:tcPr>
            <w:tcW w:w="687" w:type="pct"/>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10</w:t>
            </w:r>
          </w:p>
        </w:tc>
        <w:tc>
          <w:tcPr>
            <w:tcW w:w="687" w:type="pct"/>
            <w:vAlign w:val="center"/>
          </w:tcPr>
          <w:p>
            <w:pPr>
              <w:adjustRightInd w:val="0"/>
              <w:snapToGrid w:val="0"/>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val="en-US" w:eastAsia="zh-CN"/>
              </w:rPr>
              <w:t>56</w:t>
            </w:r>
          </w:p>
        </w:tc>
        <w:tc>
          <w:tcPr>
            <w:tcW w:w="687" w:type="pct"/>
            <w:vAlign w:val="center"/>
          </w:tcPr>
          <w:p>
            <w:pPr>
              <w:adjustRightInd w:val="0"/>
              <w:snapToGrid w:val="0"/>
              <w:jc w:val="center"/>
              <w:rPr>
                <w:rFonts w:ascii="Times New Roman" w:hAnsi="Times New Roman"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3" w:type="pct"/>
            <w:vMerge w:val="continue"/>
            <w:vAlign w:val="center"/>
          </w:tcPr>
          <w:p>
            <w:pPr>
              <w:adjustRightInd w:val="0"/>
              <w:snapToGrid w:val="0"/>
              <w:jc w:val="center"/>
              <w:rPr>
                <w:rFonts w:ascii="Times New Roman" w:hAnsi="Times New Roman" w:cs="Times New Roman"/>
                <w:color w:val="auto"/>
                <w:szCs w:val="21"/>
              </w:rPr>
            </w:pPr>
          </w:p>
        </w:tc>
        <w:tc>
          <w:tcPr>
            <w:tcW w:w="358" w:type="pct"/>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噪声</w:t>
            </w:r>
          </w:p>
        </w:tc>
        <w:tc>
          <w:tcPr>
            <w:tcW w:w="964" w:type="pct"/>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生产设备、设施的噪声</w:t>
            </w:r>
          </w:p>
        </w:tc>
        <w:tc>
          <w:tcPr>
            <w:tcW w:w="1331" w:type="pct"/>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厂房采取隔声、吸声等措施</w:t>
            </w:r>
          </w:p>
        </w:tc>
        <w:tc>
          <w:tcPr>
            <w:tcW w:w="687" w:type="pct"/>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10</w:t>
            </w:r>
          </w:p>
        </w:tc>
        <w:tc>
          <w:tcPr>
            <w:tcW w:w="687" w:type="pct"/>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10</w:t>
            </w:r>
          </w:p>
        </w:tc>
        <w:tc>
          <w:tcPr>
            <w:tcW w:w="687" w:type="pct"/>
            <w:vAlign w:val="center"/>
          </w:tcPr>
          <w:p>
            <w:pPr>
              <w:adjustRightInd w:val="0"/>
              <w:snapToGrid w:val="0"/>
              <w:jc w:val="center"/>
              <w:rPr>
                <w:rFonts w:ascii="Times New Roman" w:hAnsi="Times New Roman"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3" w:type="pct"/>
            <w:vMerge w:val="continue"/>
            <w:vAlign w:val="center"/>
          </w:tcPr>
          <w:p>
            <w:pPr>
              <w:adjustRightInd w:val="0"/>
              <w:snapToGrid w:val="0"/>
              <w:jc w:val="center"/>
              <w:rPr>
                <w:rFonts w:ascii="Times New Roman" w:hAnsi="Times New Roman" w:cs="Times New Roman"/>
                <w:color w:val="auto"/>
                <w:szCs w:val="21"/>
              </w:rPr>
            </w:pPr>
          </w:p>
        </w:tc>
        <w:tc>
          <w:tcPr>
            <w:tcW w:w="358" w:type="pct"/>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固废</w:t>
            </w:r>
          </w:p>
        </w:tc>
        <w:tc>
          <w:tcPr>
            <w:tcW w:w="964" w:type="pct"/>
            <w:vAlign w:val="center"/>
          </w:tcPr>
          <w:p>
            <w:pPr>
              <w:autoSpaceDE w:val="0"/>
              <w:autoSpaceDN w:val="0"/>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危险固废、一般废物、生活垃圾</w:t>
            </w:r>
          </w:p>
        </w:tc>
        <w:tc>
          <w:tcPr>
            <w:tcW w:w="1331" w:type="pct"/>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危废暂存间、危险废物转移处置等、垃圾桶等</w:t>
            </w:r>
          </w:p>
        </w:tc>
        <w:tc>
          <w:tcPr>
            <w:tcW w:w="687" w:type="pct"/>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10</w:t>
            </w:r>
          </w:p>
        </w:tc>
        <w:tc>
          <w:tcPr>
            <w:tcW w:w="687" w:type="pct"/>
            <w:vAlign w:val="center"/>
          </w:tcPr>
          <w:p>
            <w:pPr>
              <w:adjustRightInd w:val="0"/>
              <w:snapToGrid w:val="0"/>
              <w:jc w:val="center"/>
              <w:rPr>
                <w:rFonts w:hint="eastAsia" w:ascii="Times New Roman" w:hAnsi="Times New Roman" w:cs="Times New Roman" w:eastAsiaTheme="minorEastAsia"/>
                <w:color w:val="auto"/>
                <w:szCs w:val="21"/>
                <w:lang w:eastAsia="zh-CN"/>
              </w:rPr>
            </w:pPr>
            <w:r>
              <w:rPr>
                <w:rFonts w:hint="eastAsia" w:ascii="Times New Roman" w:hAnsi="Times New Roman" w:cs="Times New Roman"/>
                <w:color w:val="auto"/>
                <w:szCs w:val="21"/>
                <w:lang w:val="en-US" w:eastAsia="zh-CN"/>
              </w:rPr>
              <w:t>5</w:t>
            </w:r>
          </w:p>
        </w:tc>
        <w:tc>
          <w:tcPr>
            <w:tcW w:w="687" w:type="pct"/>
            <w:vAlign w:val="center"/>
          </w:tcPr>
          <w:p>
            <w:pPr>
              <w:adjustRightInd w:val="0"/>
              <w:snapToGrid w:val="0"/>
              <w:jc w:val="center"/>
              <w:rPr>
                <w:rFonts w:ascii="Times New Roman" w:hAnsi="Times New Roman"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3" w:type="pct"/>
            <w:vMerge w:val="continue"/>
            <w:vAlign w:val="center"/>
          </w:tcPr>
          <w:p>
            <w:pPr>
              <w:adjustRightInd w:val="0"/>
              <w:snapToGrid w:val="0"/>
              <w:jc w:val="center"/>
              <w:rPr>
                <w:rFonts w:ascii="Times New Roman" w:hAnsi="Times New Roman" w:cs="Times New Roman"/>
                <w:color w:val="auto"/>
                <w:szCs w:val="21"/>
              </w:rPr>
            </w:pPr>
          </w:p>
        </w:tc>
        <w:tc>
          <w:tcPr>
            <w:tcW w:w="358" w:type="pct"/>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地下水</w:t>
            </w:r>
          </w:p>
        </w:tc>
        <w:tc>
          <w:tcPr>
            <w:tcW w:w="2296" w:type="pct"/>
            <w:gridSpan w:val="2"/>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防渗防腐等措施</w:t>
            </w:r>
          </w:p>
        </w:tc>
        <w:tc>
          <w:tcPr>
            <w:tcW w:w="687" w:type="pct"/>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20</w:t>
            </w:r>
          </w:p>
        </w:tc>
        <w:tc>
          <w:tcPr>
            <w:tcW w:w="687" w:type="pct"/>
            <w:vAlign w:val="center"/>
          </w:tcPr>
          <w:p>
            <w:pPr>
              <w:adjustRightInd w:val="0"/>
              <w:snapToGrid w:val="0"/>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val="en-US" w:eastAsia="zh-CN"/>
              </w:rPr>
              <w:t>32</w:t>
            </w:r>
          </w:p>
        </w:tc>
        <w:tc>
          <w:tcPr>
            <w:tcW w:w="687" w:type="pct"/>
            <w:vAlign w:val="center"/>
          </w:tcPr>
          <w:p>
            <w:pPr>
              <w:adjustRightInd w:val="0"/>
              <w:snapToGrid w:val="0"/>
              <w:jc w:val="center"/>
              <w:rPr>
                <w:rFonts w:ascii="Times New Roman" w:hAnsi="Times New Roman"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3" w:type="pct"/>
            <w:vMerge w:val="continue"/>
            <w:vAlign w:val="center"/>
          </w:tcPr>
          <w:p>
            <w:pPr>
              <w:adjustRightInd w:val="0"/>
              <w:snapToGrid w:val="0"/>
              <w:jc w:val="center"/>
              <w:rPr>
                <w:rFonts w:ascii="Times New Roman" w:hAnsi="Times New Roman" w:cs="Times New Roman"/>
                <w:color w:val="auto"/>
                <w:szCs w:val="21"/>
              </w:rPr>
            </w:pPr>
          </w:p>
        </w:tc>
        <w:tc>
          <w:tcPr>
            <w:tcW w:w="358" w:type="pct"/>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风险</w:t>
            </w:r>
          </w:p>
        </w:tc>
        <w:tc>
          <w:tcPr>
            <w:tcW w:w="2296" w:type="pct"/>
            <w:gridSpan w:val="2"/>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围堰、应急事故池、环境风险管理：防火、事故防范设备及用品等</w:t>
            </w:r>
          </w:p>
        </w:tc>
        <w:tc>
          <w:tcPr>
            <w:tcW w:w="687" w:type="pct"/>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30</w:t>
            </w:r>
          </w:p>
        </w:tc>
        <w:tc>
          <w:tcPr>
            <w:tcW w:w="687" w:type="pct"/>
            <w:vAlign w:val="center"/>
          </w:tcPr>
          <w:p>
            <w:pPr>
              <w:adjustRightInd w:val="0"/>
              <w:snapToGrid w:val="0"/>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val="en-US" w:eastAsia="zh-CN"/>
              </w:rPr>
              <w:t>101</w:t>
            </w:r>
          </w:p>
        </w:tc>
        <w:tc>
          <w:tcPr>
            <w:tcW w:w="687" w:type="pct"/>
            <w:vAlign w:val="center"/>
          </w:tcPr>
          <w:p>
            <w:pPr>
              <w:adjustRightInd w:val="0"/>
              <w:snapToGrid w:val="0"/>
              <w:jc w:val="center"/>
              <w:rPr>
                <w:rFonts w:ascii="Times New Roman" w:hAnsi="Times New Roman" w:cs="Times New Roman"/>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38" w:type="pct"/>
            <w:gridSpan w:val="4"/>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合计</w:t>
            </w:r>
          </w:p>
        </w:tc>
        <w:tc>
          <w:tcPr>
            <w:tcW w:w="687" w:type="pct"/>
            <w:vAlign w:val="center"/>
          </w:tcPr>
          <w:p>
            <w:pPr>
              <w:adjustRightInd w:val="0"/>
              <w:snapToGrid w:val="0"/>
              <w:jc w:val="center"/>
              <w:rPr>
                <w:rFonts w:hint="default" w:ascii="Times New Roman" w:hAnsi="Times New Roman" w:cs="Times New Roman" w:eastAsiaTheme="minorEastAsia"/>
                <w:color w:val="auto"/>
                <w:szCs w:val="21"/>
                <w:lang w:val="en-US" w:eastAsia="zh-CN"/>
              </w:rPr>
            </w:pPr>
            <w:r>
              <w:rPr>
                <w:rFonts w:hint="eastAsia" w:ascii="Times New Roman" w:hAnsi="Times New Roman" w:cs="Times New Roman"/>
                <w:color w:val="auto"/>
                <w:szCs w:val="21"/>
                <w:lang w:val="en-US" w:eastAsia="zh-CN"/>
              </w:rPr>
              <w:t>500</w:t>
            </w:r>
          </w:p>
        </w:tc>
        <w:tc>
          <w:tcPr>
            <w:tcW w:w="687" w:type="pct"/>
            <w:vAlign w:val="center"/>
          </w:tcPr>
          <w:p>
            <w:pPr>
              <w:adjustRightInd w:val="0"/>
              <w:snapToGrid w:val="0"/>
              <w:ind w:firstLine="420" w:firstLineChars="200"/>
              <w:jc w:val="both"/>
              <w:rPr>
                <w:rFonts w:hint="default" w:ascii="Times New Roman" w:hAnsi="Times New Roman" w:cs="Times New Roman"/>
                <w:color w:val="auto"/>
                <w:szCs w:val="21"/>
                <w:lang w:val="en-US"/>
              </w:rPr>
            </w:pPr>
            <w:r>
              <w:rPr>
                <w:rFonts w:hint="eastAsia" w:ascii="Times New Roman" w:hAnsi="Times New Roman" w:cs="Times New Roman"/>
                <w:color w:val="auto"/>
                <w:szCs w:val="21"/>
                <w:lang w:val="en-US" w:eastAsia="zh-CN"/>
              </w:rPr>
              <w:t>786.8</w:t>
            </w:r>
          </w:p>
        </w:tc>
        <w:tc>
          <w:tcPr>
            <w:tcW w:w="687" w:type="pct"/>
            <w:vAlign w:val="center"/>
          </w:tcPr>
          <w:p>
            <w:pPr>
              <w:adjustRightInd w:val="0"/>
              <w:snapToGrid w:val="0"/>
              <w:jc w:val="center"/>
              <w:rPr>
                <w:rFonts w:ascii="Times New Roman" w:hAnsi="Times New Roman" w:cs="Times New Roman"/>
                <w:color w:val="auto"/>
                <w:szCs w:val="21"/>
              </w:rPr>
            </w:pPr>
          </w:p>
        </w:tc>
      </w:tr>
    </w:tbl>
    <w:p>
      <w:pPr>
        <w:pStyle w:val="13"/>
        <w:rPr>
          <w:rFonts w:ascii="Times New Roman" w:hAnsi="Times New Roman" w:cs="Times New Roman"/>
          <w:color w:val="auto"/>
        </w:rPr>
      </w:pPr>
    </w:p>
    <w:p>
      <w:pPr>
        <w:spacing w:line="360" w:lineRule="auto"/>
        <w:outlineLvl w:val="2"/>
        <w:rPr>
          <w:rFonts w:ascii="Times New Roman" w:hAnsi="Times New Roman" w:cs="Times New Roman"/>
          <w:b/>
          <w:color w:val="auto"/>
          <w:sz w:val="28"/>
          <w:szCs w:val="28"/>
        </w:rPr>
        <w:sectPr>
          <w:footerReference r:id="rId4" w:type="default"/>
          <w:pgSz w:w="11906" w:h="16838"/>
          <w:pgMar w:top="1440" w:right="1800" w:bottom="1440" w:left="1800" w:header="851" w:footer="992" w:gutter="0"/>
          <w:pgBorders>
            <w:top w:val="none" w:sz="0" w:space="0"/>
            <w:left w:val="none" w:sz="0" w:space="0"/>
            <w:bottom w:val="none" w:sz="0" w:space="0"/>
            <w:right w:val="none" w:sz="0" w:space="0"/>
          </w:pgBorders>
          <w:pgNumType w:start="1"/>
          <w:cols w:space="425" w:num="1"/>
          <w:docGrid w:type="lines" w:linePitch="312" w:charSpace="0"/>
        </w:sectPr>
      </w:pPr>
      <w:bookmarkStart w:id="52" w:name="_Toc85120886"/>
      <w:r>
        <w:rPr>
          <w:rFonts w:ascii="Times New Roman" w:hAnsi="Times New Roman" w:cs="Times New Roman"/>
          <w:b/>
          <w:color w:val="auto"/>
          <w:sz w:val="28"/>
          <w:szCs w:val="28"/>
        </w:rPr>
        <w:br w:type="page"/>
      </w:r>
    </w:p>
    <w:p>
      <w:pPr>
        <w:spacing w:line="360" w:lineRule="auto"/>
        <w:outlineLvl w:val="2"/>
        <w:rPr>
          <w:rFonts w:ascii="Times New Roman" w:hAnsi="Times New Roman" w:cs="Times New Roman"/>
          <w:b/>
          <w:color w:val="auto"/>
          <w:sz w:val="28"/>
          <w:szCs w:val="28"/>
        </w:rPr>
      </w:pPr>
      <w:bookmarkStart w:id="53" w:name="_Toc22360"/>
      <w:r>
        <w:rPr>
          <w:rFonts w:hint="default" w:ascii="Times New Roman" w:hAnsi="Times New Roman" w:cs="Times New Roman"/>
          <w:b/>
          <w:color w:val="auto"/>
          <w:sz w:val="28"/>
          <w:szCs w:val="28"/>
        </w:rPr>
        <w:t>4.</w:t>
      </w:r>
      <w:r>
        <w:rPr>
          <w:rFonts w:hint="eastAsia" w:ascii="Times New Roman" w:hAnsi="Times New Roman" w:cs="Times New Roman"/>
          <w:b/>
          <w:color w:val="auto"/>
          <w:sz w:val="28"/>
          <w:szCs w:val="28"/>
          <w:lang w:val="en-US" w:eastAsia="zh-CN"/>
        </w:rPr>
        <w:t>6</w:t>
      </w:r>
      <w:r>
        <w:rPr>
          <w:rFonts w:hint="default" w:ascii="Times New Roman" w:hAnsi="Times New Roman" w:cs="Times New Roman"/>
          <w:b/>
          <w:color w:val="auto"/>
          <w:sz w:val="28"/>
          <w:szCs w:val="28"/>
        </w:rPr>
        <w:t>.2环评批复落实情况</w:t>
      </w:r>
      <w:bookmarkEnd w:id="52"/>
      <w:bookmarkEnd w:id="53"/>
    </w:p>
    <w:p>
      <w:pPr>
        <w:spacing w:line="360" w:lineRule="auto"/>
        <w:ind w:firstLine="480" w:firstLineChars="200"/>
        <w:rPr>
          <w:rFonts w:ascii="Times New Roman" w:hAnsi="Times New Roman" w:cs="Times New Roman"/>
          <w:b/>
          <w:bCs/>
          <w:color w:val="auto"/>
          <w:sz w:val="24"/>
          <w:szCs w:val="24"/>
        </w:rPr>
      </w:pPr>
      <w:r>
        <w:rPr>
          <w:rFonts w:hint="default" w:ascii="Times New Roman" w:hAnsi="Times New Roman" w:cs="Times New Roman"/>
          <w:color w:val="auto"/>
          <w:sz w:val="24"/>
          <w:szCs w:val="24"/>
        </w:rPr>
        <w:t>对照该项目的环评批复，工程落实批复情况见表4.</w:t>
      </w:r>
      <w:r>
        <w:rPr>
          <w:rFonts w:hint="eastAsia" w:ascii="Times New Roman" w:hAnsi="Times New Roman" w:cs="Times New Roman"/>
          <w:color w:val="auto"/>
          <w:sz w:val="24"/>
          <w:szCs w:val="24"/>
          <w:lang w:val="en-US" w:eastAsia="zh-CN"/>
        </w:rPr>
        <w:t>6</w:t>
      </w:r>
      <w:r>
        <w:rPr>
          <w:rFonts w:hint="default" w:ascii="Times New Roman" w:hAnsi="Times New Roman" w:cs="Times New Roman"/>
          <w:color w:val="auto"/>
          <w:sz w:val="24"/>
          <w:szCs w:val="24"/>
        </w:rPr>
        <w:t>-2。</w:t>
      </w:r>
    </w:p>
    <w:p>
      <w:pPr>
        <w:jc w:val="center"/>
        <w:rPr>
          <w:rFonts w:ascii="Times New Roman" w:hAnsi="Times New Roman" w:cs="Times New Roman"/>
          <w:b/>
          <w:bCs/>
          <w:color w:val="auto"/>
          <w:szCs w:val="21"/>
        </w:rPr>
      </w:pPr>
      <w:r>
        <w:rPr>
          <w:rFonts w:ascii="Times New Roman" w:hAnsi="Times New Roman" w:cs="Times New Roman"/>
          <w:b/>
          <w:bCs/>
          <w:color w:val="auto"/>
          <w:szCs w:val="21"/>
        </w:rPr>
        <w:t>表</w:t>
      </w:r>
      <w:r>
        <w:rPr>
          <w:rFonts w:hint="default" w:ascii="Times New Roman" w:hAnsi="Times New Roman" w:cs="Times New Roman"/>
          <w:b/>
          <w:bCs/>
          <w:color w:val="auto"/>
          <w:szCs w:val="21"/>
        </w:rPr>
        <w:t>4</w:t>
      </w:r>
      <w:r>
        <w:rPr>
          <w:rFonts w:ascii="Times New Roman" w:hAnsi="Times New Roman" w:cs="Times New Roman"/>
          <w:b/>
          <w:bCs/>
          <w:color w:val="auto"/>
          <w:szCs w:val="21"/>
        </w:rPr>
        <w:t>.</w:t>
      </w:r>
      <w:r>
        <w:rPr>
          <w:rFonts w:hint="eastAsia" w:ascii="Times New Roman" w:hAnsi="Times New Roman" w:cs="Times New Roman"/>
          <w:b/>
          <w:bCs/>
          <w:color w:val="auto"/>
          <w:szCs w:val="21"/>
          <w:lang w:val="en-US" w:eastAsia="zh-CN"/>
        </w:rPr>
        <w:t>6</w:t>
      </w:r>
      <w:r>
        <w:rPr>
          <w:rFonts w:ascii="Times New Roman" w:hAnsi="Times New Roman" w:cs="Times New Roman"/>
          <w:b/>
          <w:bCs/>
          <w:color w:val="auto"/>
          <w:szCs w:val="21"/>
        </w:rPr>
        <w:t>-</w:t>
      </w:r>
      <w:r>
        <w:rPr>
          <w:rFonts w:hint="default" w:ascii="Times New Roman" w:hAnsi="Times New Roman" w:cs="Times New Roman"/>
          <w:b/>
          <w:bCs/>
          <w:color w:val="auto"/>
          <w:szCs w:val="21"/>
        </w:rPr>
        <w:t>2</w:t>
      </w:r>
      <w:r>
        <w:rPr>
          <w:rFonts w:ascii="Times New Roman" w:hAnsi="Times New Roman" w:cs="Times New Roman"/>
          <w:b/>
          <w:bCs/>
          <w:color w:val="auto"/>
          <w:szCs w:val="21"/>
        </w:rPr>
        <w:t xml:space="preserve">  环评批复落实情况</w:t>
      </w:r>
    </w:p>
    <w:tbl>
      <w:tblPr>
        <w:tblStyle w:val="28"/>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51"/>
        <w:gridCol w:w="6293"/>
        <w:gridCol w:w="6089"/>
        <w:gridCol w:w="70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1" w:type="dxa"/>
            <w:vAlign w:val="center"/>
          </w:tcPr>
          <w:p>
            <w:pPr>
              <w:adjustRightInd w:val="0"/>
              <w:snapToGrid w:val="0"/>
              <w:jc w:val="center"/>
              <w:rPr>
                <w:rFonts w:ascii="Times New Roman" w:hAnsi="Times New Roman" w:cs="Times New Roman"/>
                <w:color w:val="auto"/>
              </w:rPr>
            </w:pPr>
            <w:r>
              <w:rPr>
                <w:rFonts w:hint="default" w:ascii="Times New Roman" w:hAnsi="Times New Roman" w:cs="Times New Roman"/>
                <w:color w:val="auto"/>
              </w:rPr>
              <w:t>项目</w:t>
            </w:r>
          </w:p>
        </w:tc>
        <w:tc>
          <w:tcPr>
            <w:tcW w:w="6293" w:type="dxa"/>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环评批复</w:t>
            </w:r>
          </w:p>
        </w:tc>
        <w:tc>
          <w:tcPr>
            <w:tcW w:w="6089" w:type="dxa"/>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企业实际情况</w:t>
            </w:r>
          </w:p>
        </w:tc>
        <w:tc>
          <w:tcPr>
            <w:tcW w:w="709" w:type="dxa"/>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1" w:type="dxa"/>
            <w:vAlign w:val="center"/>
          </w:tcPr>
          <w:p>
            <w:pPr>
              <w:adjustRightInd w:val="0"/>
              <w:snapToGrid w:val="0"/>
              <w:jc w:val="center"/>
              <w:rPr>
                <w:rFonts w:ascii="Times New Roman" w:hAnsi="Times New Roman" w:cs="Times New Roman"/>
                <w:color w:val="auto"/>
              </w:rPr>
            </w:pPr>
            <w:r>
              <w:rPr>
                <w:rFonts w:hint="default" w:ascii="Times New Roman" w:hAnsi="Times New Roman" w:cs="Times New Roman"/>
                <w:color w:val="auto"/>
              </w:rPr>
              <w:t>施工前污染防治</w:t>
            </w:r>
          </w:p>
        </w:tc>
        <w:tc>
          <w:tcPr>
            <w:tcW w:w="6293" w:type="dxa"/>
            <w:vAlign w:val="center"/>
          </w:tcPr>
          <w:p>
            <w:pPr>
              <w:adjustRightInd w:val="0"/>
              <w:snapToGrid w:val="0"/>
              <w:jc w:val="left"/>
              <w:rPr>
                <w:rFonts w:ascii="Times New Roman" w:hAnsi="Times New Roman" w:cs="Times New Roman"/>
                <w:color w:val="auto"/>
              </w:rPr>
            </w:pPr>
            <w:bookmarkStart w:id="54" w:name="OLE_LINK8"/>
            <w:r>
              <w:rPr>
                <w:rFonts w:ascii="Times New Roman" w:hAnsi="Times New Roman" w:cs="Times New Roman"/>
                <w:color w:val="auto"/>
              </w:rPr>
              <w:t>切实做好施工期环境保护工作。尽量缩短施工期，合理安排高噪声设备的作业时间，加强施工机械设备管理及维护；建筑垃圾、废弃土方送到指定地点合理处置；施工废水经沉淀处理循环使用，不外排。</w:t>
            </w:r>
            <w:bookmarkEnd w:id="54"/>
          </w:p>
        </w:tc>
        <w:tc>
          <w:tcPr>
            <w:tcW w:w="6089" w:type="dxa"/>
            <w:vAlign w:val="center"/>
          </w:tcPr>
          <w:p>
            <w:pPr>
              <w:adjustRightInd w:val="0"/>
              <w:snapToGrid w:val="0"/>
              <w:rPr>
                <w:rFonts w:ascii="Times New Roman" w:hAnsi="Times New Roman" w:cs="Times New Roman"/>
                <w:color w:val="auto"/>
              </w:rPr>
            </w:pPr>
            <w:r>
              <w:rPr>
                <w:rFonts w:ascii="Times New Roman" w:hAnsi="Times New Roman" w:cs="Times New Roman"/>
                <w:color w:val="auto"/>
              </w:rPr>
              <w:t>目前企业施工期已结束，施工产生的影响已消失。</w:t>
            </w:r>
          </w:p>
        </w:tc>
        <w:tc>
          <w:tcPr>
            <w:tcW w:w="709" w:type="dxa"/>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1" w:type="dxa"/>
            <w:vMerge w:val="restart"/>
            <w:vAlign w:val="center"/>
          </w:tcPr>
          <w:p>
            <w:pPr>
              <w:adjustRightInd w:val="0"/>
              <w:snapToGrid w:val="0"/>
              <w:jc w:val="center"/>
              <w:rPr>
                <w:rFonts w:ascii="Times New Roman" w:hAnsi="Times New Roman" w:cs="Times New Roman"/>
                <w:color w:val="auto"/>
              </w:rPr>
            </w:pPr>
            <w:r>
              <w:rPr>
                <w:rFonts w:hint="default" w:ascii="Times New Roman" w:hAnsi="Times New Roman" w:cs="Times New Roman"/>
                <w:color w:val="auto"/>
              </w:rPr>
              <w:t>水污染防治</w:t>
            </w:r>
          </w:p>
        </w:tc>
        <w:tc>
          <w:tcPr>
            <w:tcW w:w="6293" w:type="dxa"/>
            <w:vAlign w:val="center"/>
          </w:tcPr>
          <w:p>
            <w:pPr>
              <w:adjustRightInd w:val="0"/>
              <w:snapToGrid w:val="0"/>
              <w:jc w:val="left"/>
              <w:rPr>
                <w:rFonts w:ascii="Times New Roman" w:hAnsi="Times New Roman" w:cs="Times New Roman"/>
                <w:color w:val="auto"/>
              </w:rPr>
            </w:pPr>
            <w:r>
              <w:rPr>
                <w:rFonts w:ascii="Times New Roman" w:hAnsi="Times New Roman" w:cs="Times New Roman"/>
                <w:color w:val="auto"/>
              </w:rPr>
              <w:t>废水污染防治工作。严格按照“雨污分流、清污分流”的原则规范设计厂区雨水及污水管网。项目生产废水与地面清洗水、经预处理后的生活污水、初期雨水经处理达到云溪区污水处理厂进水水质标准后，通过管道排入云溪区污水处理厂处理达标后排放。</w:t>
            </w:r>
          </w:p>
        </w:tc>
        <w:tc>
          <w:tcPr>
            <w:tcW w:w="6089" w:type="dxa"/>
            <w:vAlign w:val="center"/>
          </w:tcPr>
          <w:p>
            <w:pPr>
              <w:adjustRightInd w:val="0"/>
              <w:snapToGrid w:val="0"/>
              <w:rPr>
                <w:rFonts w:ascii="Times New Roman" w:hAnsi="Times New Roman" w:cs="Times New Roman"/>
                <w:color w:val="auto"/>
              </w:rPr>
            </w:pPr>
            <w:r>
              <w:rPr>
                <w:rFonts w:ascii="Times New Roman" w:hAnsi="Times New Roman" w:cs="Times New Roman"/>
                <w:color w:val="auto"/>
              </w:rPr>
              <w:t>企业已按照“雨污分流、清污分流”的原则规范设计厂区雨水及污水管网；企业场内设置一座废水处理站，</w:t>
            </w:r>
            <w:r>
              <w:rPr>
                <w:rFonts w:hint="default" w:ascii="Times New Roman" w:hAnsi="Times New Roman" w:cs="Times New Roman"/>
                <w:color w:val="auto"/>
              </w:rPr>
              <w:t>企业蒸发釜和精馏塔废水、真空脱水、真空水箱废水、废气装置喷淋废水、初期雨水和经隔油化粪池预处理的生活污水由场区污水管网收集后进厂内污水处理站处理</w:t>
            </w:r>
            <w:r>
              <w:rPr>
                <w:rFonts w:ascii="Times New Roman" w:hAnsi="Times New Roman" w:cs="Times New Roman"/>
                <w:color w:val="auto"/>
              </w:rPr>
              <w:t>后满足</w:t>
            </w:r>
            <w:r>
              <w:rPr>
                <w:rFonts w:ascii="Times New Roman" w:hAnsi="Times New Roman" w:cs="Times New Roman"/>
                <w:color w:val="auto"/>
                <w:spacing w:val="6"/>
              </w:rPr>
              <w:t>《合成树脂工业污染物排放标准》（GB31572-2015）中表1的间接排放限值，同时废水排放应满足云溪污水处理厂纳污限值要求后</w:t>
            </w:r>
            <w:r>
              <w:rPr>
                <w:rFonts w:ascii="Times New Roman" w:hAnsi="Times New Roman" w:cs="Times New Roman"/>
                <w:color w:val="auto"/>
              </w:rPr>
              <w:t>通过园区污水管网进入云溪区污水处理厂处理达标后排放。</w:t>
            </w:r>
          </w:p>
        </w:tc>
        <w:tc>
          <w:tcPr>
            <w:tcW w:w="709" w:type="dxa"/>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1" w:type="dxa"/>
            <w:vMerge w:val="continue"/>
            <w:vAlign w:val="center"/>
          </w:tcPr>
          <w:p>
            <w:pPr>
              <w:adjustRightInd w:val="0"/>
              <w:snapToGrid w:val="0"/>
              <w:jc w:val="center"/>
              <w:rPr>
                <w:rFonts w:ascii="Times New Roman" w:hAnsi="Times New Roman" w:cs="Times New Roman"/>
                <w:color w:val="auto"/>
              </w:rPr>
            </w:pPr>
          </w:p>
        </w:tc>
        <w:tc>
          <w:tcPr>
            <w:tcW w:w="6293" w:type="dxa"/>
            <w:vAlign w:val="center"/>
          </w:tcPr>
          <w:p>
            <w:pPr>
              <w:adjustRightInd w:val="0"/>
              <w:snapToGrid w:val="0"/>
              <w:jc w:val="left"/>
              <w:rPr>
                <w:rFonts w:ascii="Times New Roman" w:hAnsi="Times New Roman" w:cs="Times New Roman"/>
                <w:color w:val="auto"/>
              </w:rPr>
            </w:pPr>
            <w:r>
              <w:rPr>
                <w:rFonts w:ascii="Times New Roman" w:hAnsi="Times New Roman" w:cs="Times New Roman"/>
                <w:color w:val="auto"/>
              </w:rPr>
              <w:t>按照分区防控的原则落实报告书提出地下水污染防治措施，做好生产车间、罐区等区域的防腐、防渗工作，强化管理，避免由于泄漏等造成物料或者污染物下渗污染地下水。</w:t>
            </w:r>
          </w:p>
        </w:tc>
        <w:tc>
          <w:tcPr>
            <w:tcW w:w="6089" w:type="dxa"/>
            <w:vAlign w:val="center"/>
          </w:tcPr>
          <w:p>
            <w:pPr>
              <w:adjustRightInd w:val="0"/>
              <w:snapToGrid w:val="0"/>
              <w:rPr>
                <w:rFonts w:ascii="Times New Roman" w:hAnsi="Times New Roman" w:cs="Times New Roman"/>
                <w:color w:val="auto"/>
              </w:rPr>
            </w:pPr>
            <w:r>
              <w:rPr>
                <w:rFonts w:ascii="Times New Roman" w:hAnsi="Times New Roman" w:cs="Times New Roman"/>
                <w:color w:val="auto"/>
              </w:rPr>
              <w:t>生产车间、罐区、危险废物暂存间均按要求</w:t>
            </w:r>
            <w:r>
              <w:rPr>
                <w:rFonts w:hint="default" w:ascii="Times New Roman" w:hAnsi="Times New Roman" w:cs="Times New Roman"/>
                <w:color w:val="auto"/>
              </w:rPr>
              <w:t>已</w:t>
            </w:r>
            <w:r>
              <w:rPr>
                <w:rFonts w:ascii="Times New Roman" w:hAnsi="Times New Roman" w:cs="Times New Roman"/>
                <w:color w:val="auto"/>
              </w:rPr>
              <w:t>进行防腐和防渗；罐区设置有围堰，危险暂存间、甲类仓库等设置泄漏沟和泄漏收集池等，避免由于泄漏等造成物料或者污染物下渗污染地下水。</w:t>
            </w:r>
          </w:p>
        </w:tc>
        <w:tc>
          <w:tcPr>
            <w:tcW w:w="709" w:type="dxa"/>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1" w:type="dxa"/>
            <w:vAlign w:val="center"/>
          </w:tcPr>
          <w:p>
            <w:pPr>
              <w:adjustRightInd w:val="0"/>
              <w:snapToGrid w:val="0"/>
              <w:jc w:val="center"/>
              <w:rPr>
                <w:rFonts w:ascii="Times New Roman" w:hAnsi="Times New Roman" w:cs="Times New Roman"/>
                <w:color w:val="auto"/>
              </w:rPr>
            </w:pPr>
            <w:r>
              <w:rPr>
                <w:rFonts w:hint="default" w:ascii="Times New Roman" w:hAnsi="Times New Roman" w:cs="Times New Roman"/>
                <w:color w:val="auto"/>
              </w:rPr>
              <w:t>废气污染防治</w:t>
            </w:r>
          </w:p>
        </w:tc>
        <w:tc>
          <w:tcPr>
            <w:tcW w:w="6293" w:type="dxa"/>
            <w:vAlign w:val="center"/>
          </w:tcPr>
          <w:p>
            <w:pPr>
              <w:adjustRightInd w:val="0"/>
              <w:snapToGrid w:val="0"/>
              <w:jc w:val="left"/>
              <w:rPr>
                <w:rFonts w:ascii="Times New Roman" w:hAnsi="Times New Roman" w:cs="Times New Roman"/>
                <w:color w:val="auto"/>
              </w:rPr>
            </w:pPr>
            <w:r>
              <w:rPr>
                <w:rFonts w:ascii="Times New Roman" w:hAnsi="Times New Roman" w:cs="Times New Roman"/>
                <w:color w:val="auto"/>
              </w:rPr>
              <w:t>废气污染防治工作。严格控制项目废气污染，加强日常监管，定期对设备、管道、阀门、法兰等进行维护和管理，杜绝生产过程中的跑、冒、滴、漏，最大限度减少生产过程中的废气无组织排放，厂区VOCs执行《挥发性有机物无组织排放控制标准》（GB37822-2019）中表A1无组织排放限值，厂界氨气、硫化氢和臭气浓度执行《恶臭污染物排放标准》（GB14554-93）厂界标准值；导热油炉废气经处理，满足《</w:t>
            </w:r>
            <w:r>
              <w:rPr>
                <w:rFonts w:ascii="Times New Roman" w:hAnsi="Times New Roman" w:cs="Times New Roman"/>
                <w:color w:val="auto"/>
              </w:rPr>
              <w:fldChar w:fldCharType="begin"/>
            </w:r>
            <w:r>
              <w:rPr>
                <w:rFonts w:ascii="Times New Roman" w:hAnsi="Times New Roman" w:cs="Times New Roman"/>
                <w:color w:val="auto"/>
              </w:rPr>
              <w:instrText xml:space="preserve"> HYPERLINK "http://www.baidu.com/link?url=RKqVQyhC8AUb_-AyQS97JRhN0f4gIuZ46jpSnFbCI6LJaKLGov1H-caZWMkqoJrlaHr72UX38uN3N-Myyp3QsFarLMjUpauQgYkM9ue13nS" </w:instrText>
            </w:r>
            <w:r>
              <w:rPr>
                <w:rFonts w:ascii="Times New Roman" w:hAnsi="Times New Roman" w:cs="Times New Roman"/>
                <w:color w:val="auto"/>
              </w:rPr>
              <w:fldChar w:fldCharType="separate"/>
            </w:r>
            <w:r>
              <w:rPr>
                <w:rStyle w:val="33"/>
                <w:rFonts w:ascii="Times New Roman" w:hAnsi="Times New Roman" w:cs="Times New Roman"/>
                <w:color w:val="auto"/>
                <w:u w:val="none"/>
              </w:rPr>
              <w:t>锅炉大气污染物排放标准</w:t>
            </w:r>
            <w:r>
              <w:rPr>
                <w:rFonts w:ascii="Times New Roman" w:hAnsi="Times New Roman" w:cs="Times New Roman"/>
                <w:color w:val="auto"/>
              </w:rPr>
              <w:fldChar w:fldCharType="end"/>
            </w:r>
            <w:r>
              <w:rPr>
                <w:rFonts w:ascii="Times New Roman" w:hAnsi="Times New Roman" w:cs="Times New Roman"/>
                <w:color w:val="auto"/>
              </w:rPr>
              <w:t>》（GB13271-2014）中表3燃气锅炉大气污染物特别排放限值后，通过1根15m排气筒排放；生产装置区和储罐区有组织废气经处理，氨气、苯酚、甲醛达到《合成树脂工业污染物排放标准》（GB31572-2015）中表4大气污染物排放限值，VOCs达到</w:t>
            </w:r>
            <w:r>
              <w:rPr>
                <w:rFonts w:ascii="Times New Roman" w:hAnsi="Times New Roman" w:cs="Times New Roman"/>
                <w:color w:val="auto"/>
              </w:rPr>
              <w:fldChar w:fldCharType="begin"/>
            </w:r>
            <w:r>
              <w:rPr>
                <w:rFonts w:ascii="Times New Roman" w:hAnsi="Times New Roman" w:cs="Times New Roman"/>
                <w:color w:val="auto"/>
              </w:rPr>
              <w:instrText xml:space="preserve"> HYPERLINK "http://www.baidu.com/link?url=NXEoRSGx3bx_0S32dIHhXZgX6hYj2TrGlqbEAJW4DDfbP-neScgzfZc-3bErtHxNqMgcHP0LGpVh9Sr5hoDHtcXGhsCC2zd3xFfTTLWt6gK" </w:instrText>
            </w:r>
            <w:r>
              <w:rPr>
                <w:rFonts w:ascii="Times New Roman" w:hAnsi="Times New Roman" w:cs="Times New Roman"/>
                <w:color w:val="auto"/>
              </w:rPr>
              <w:fldChar w:fldCharType="separate"/>
            </w:r>
            <w:r>
              <w:rPr>
                <w:rStyle w:val="33"/>
                <w:rFonts w:ascii="Times New Roman" w:hAnsi="Times New Roman" w:cs="Times New Roman"/>
                <w:color w:val="auto"/>
                <w:u w:val="none"/>
              </w:rPr>
              <w:t>《工业企业挥发性有机物排放控制标准</w:t>
            </w:r>
            <w:r>
              <w:rPr>
                <w:rFonts w:ascii="Times New Roman" w:hAnsi="Times New Roman" w:cs="Times New Roman"/>
                <w:color w:val="auto"/>
              </w:rPr>
              <w:fldChar w:fldCharType="end"/>
            </w:r>
            <w:r>
              <w:rPr>
                <w:rFonts w:ascii="Times New Roman" w:hAnsi="Times New Roman" w:cs="Times New Roman"/>
                <w:color w:val="auto"/>
              </w:rPr>
              <w:t>》（</w:t>
            </w:r>
            <w:r>
              <w:rPr>
                <w:rFonts w:hint="eastAsia" w:ascii="Times New Roman" w:hAnsi="Times New Roman" w:cs="Times New Roman"/>
                <w:color w:val="auto"/>
                <w:lang w:eastAsia="zh-CN"/>
              </w:rPr>
              <w:t>DB12/524-2020</w:t>
            </w:r>
            <w:r>
              <w:rPr>
                <w:rFonts w:ascii="Times New Roman" w:hAnsi="Times New Roman" w:cs="Times New Roman"/>
                <w:color w:val="auto"/>
              </w:rPr>
              <w:t>）中其他行业标准限值后，通过1根30m排气筒排放；污水处理站废气收集后经处理，氨气、硫化氢达到《恶臭污染物排放标准》（GB14554-93）中表2恶臭污染物排放标准值，VOCs达到</w:t>
            </w:r>
            <w:r>
              <w:rPr>
                <w:rFonts w:ascii="Times New Roman" w:hAnsi="Times New Roman" w:cs="Times New Roman"/>
                <w:color w:val="auto"/>
              </w:rPr>
              <w:fldChar w:fldCharType="begin"/>
            </w:r>
            <w:r>
              <w:rPr>
                <w:rFonts w:ascii="Times New Roman" w:hAnsi="Times New Roman" w:cs="Times New Roman"/>
                <w:color w:val="auto"/>
              </w:rPr>
              <w:instrText xml:space="preserve"> HYPERLINK "http://www.baidu.com/link?url=NXEoRSGx3bx_0S32dIHhXZgX6hYj2TrGlqbEAJW4DDfbP-neScgzfZc-3bErtHxNqMgcHP0LGpVh9Sr5hoDHtcXGhsCC2zd3xFfTTLWt6gK" </w:instrText>
            </w:r>
            <w:r>
              <w:rPr>
                <w:rFonts w:ascii="Times New Roman" w:hAnsi="Times New Roman" w:cs="Times New Roman"/>
                <w:color w:val="auto"/>
              </w:rPr>
              <w:fldChar w:fldCharType="separate"/>
            </w:r>
            <w:r>
              <w:rPr>
                <w:rStyle w:val="33"/>
                <w:rFonts w:ascii="Times New Roman" w:hAnsi="Times New Roman" w:cs="Times New Roman"/>
                <w:color w:val="auto"/>
                <w:u w:val="none"/>
              </w:rPr>
              <w:t>《工业企业挥发性有机物排放控制标准</w:t>
            </w:r>
            <w:r>
              <w:rPr>
                <w:rFonts w:ascii="Times New Roman" w:hAnsi="Times New Roman" w:cs="Times New Roman"/>
                <w:color w:val="auto"/>
              </w:rPr>
              <w:fldChar w:fldCharType="end"/>
            </w:r>
            <w:r>
              <w:rPr>
                <w:rFonts w:ascii="Times New Roman" w:hAnsi="Times New Roman" w:cs="Times New Roman"/>
                <w:color w:val="auto"/>
              </w:rPr>
              <w:t>》（</w:t>
            </w:r>
            <w:r>
              <w:rPr>
                <w:rFonts w:hint="eastAsia" w:ascii="Times New Roman" w:hAnsi="Times New Roman" w:cs="Times New Roman"/>
                <w:color w:val="auto"/>
                <w:lang w:eastAsia="zh-CN"/>
              </w:rPr>
              <w:t>DB12/524-2020</w:t>
            </w:r>
            <w:r>
              <w:rPr>
                <w:rFonts w:ascii="Times New Roman" w:hAnsi="Times New Roman" w:cs="Times New Roman"/>
                <w:color w:val="auto"/>
              </w:rPr>
              <w:t>）中其他行业标准限值后，通过1根15m排气筒排放；食堂油烟经处理后执行《饮食业油烟排放标准》（GB18483-2001）。</w:t>
            </w:r>
          </w:p>
        </w:tc>
        <w:tc>
          <w:tcPr>
            <w:tcW w:w="6089" w:type="dxa"/>
            <w:vAlign w:val="center"/>
          </w:tcPr>
          <w:p>
            <w:pPr>
              <w:adjustRightInd w:val="0"/>
              <w:snapToGrid w:val="0"/>
              <w:rPr>
                <w:rFonts w:ascii="Times New Roman" w:hAnsi="Times New Roman" w:cs="Times New Roman"/>
                <w:color w:val="auto"/>
              </w:rPr>
            </w:pPr>
            <w:r>
              <w:rPr>
                <w:rFonts w:ascii="Times New Roman" w:hAnsi="Times New Roman" w:cs="Times New Roman"/>
                <w:color w:val="auto"/>
              </w:rPr>
              <w:t>企业定期对废气措施、设备、管道、阀门、法兰等进行维护和管理，减少废气无组织排放。</w:t>
            </w:r>
          </w:p>
          <w:p>
            <w:pPr>
              <w:adjustRightInd w:val="0"/>
              <w:snapToGrid w:val="0"/>
              <w:rPr>
                <w:rFonts w:ascii="Times New Roman" w:hAnsi="Times New Roman" w:cs="Times New Roman"/>
                <w:color w:val="auto"/>
              </w:rPr>
            </w:pPr>
            <w:r>
              <w:rPr>
                <w:rFonts w:ascii="Times New Roman" w:hAnsi="Times New Roman" w:cs="Times New Roman"/>
                <w:color w:val="auto"/>
              </w:rPr>
              <w:t>反应釜、回收釜、高位槽、包装、储罐区废气采取</w:t>
            </w:r>
            <w:r>
              <w:rPr>
                <w:rFonts w:ascii="Times New Roman" w:hAnsi="Times New Roman" w:cs="Times New Roman"/>
                <w:color w:val="auto"/>
                <w:szCs w:val="21"/>
              </w:rPr>
              <w:t>强制冷凝+水吸收+酸吸收+</w:t>
            </w:r>
            <w:r>
              <w:rPr>
                <w:rFonts w:hint="eastAsia" w:ascii="Times New Roman" w:hAnsi="Times New Roman" w:cs="Times New Roman"/>
                <w:color w:val="auto"/>
                <w:szCs w:val="21"/>
                <w:lang w:val="en-US" w:eastAsia="zh-CN"/>
              </w:rPr>
              <w:t>酸</w:t>
            </w:r>
            <w:r>
              <w:rPr>
                <w:rFonts w:ascii="Times New Roman" w:hAnsi="Times New Roman" w:cs="Times New Roman"/>
                <w:color w:val="auto"/>
                <w:szCs w:val="21"/>
              </w:rPr>
              <w:t>吸收+除雾板+</w:t>
            </w:r>
            <w:r>
              <w:rPr>
                <w:rFonts w:hint="eastAsia" w:ascii="Times New Roman" w:hAnsi="Times New Roman" w:cs="Times New Roman"/>
                <w:color w:val="auto"/>
                <w:szCs w:val="21"/>
                <w:lang w:val="en-US" w:eastAsia="zh-CN"/>
              </w:rPr>
              <w:t>酸吸收+活性炭吸附+</w:t>
            </w:r>
            <w:r>
              <w:rPr>
                <w:rFonts w:ascii="Times New Roman" w:hAnsi="Times New Roman" w:cs="Times New Roman"/>
                <w:color w:val="auto"/>
                <w:szCs w:val="21"/>
              </w:rPr>
              <w:t>30m排气筒</w:t>
            </w:r>
            <w:r>
              <w:rPr>
                <w:rFonts w:ascii="Times New Roman" w:hAnsi="Times New Roman" w:cs="Times New Roman"/>
                <w:color w:val="auto"/>
              </w:rPr>
              <w:t>排气筒；</w:t>
            </w:r>
          </w:p>
          <w:p>
            <w:pPr>
              <w:pStyle w:val="13"/>
              <w:adjustRightInd w:val="0"/>
              <w:snapToGrid w:val="0"/>
              <w:spacing w:after="0"/>
              <w:rPr>
                <w:rFonts w:ascii="Times New Roman" w:hAnsi="Times New Roman" w:cs="Times New Roman"/>
                <w:color w:val="auto"/>
              </w:rPr>
            </w:pPr>
            <w:r>
              <w:rPr>
                <w:rFonts w:ascii="Times New Roman" w:hAnsi="Times New Roman" w:cs="Times New Roman"/>
                <w:color w:val="auto"/>
              </w:rPr>
              <w:t>企业导热油炉</w:t>
            </w:r>
            <w:r>
              <w:rPr>
                <w:rFonts w:hint="eastAsia" w:ascii="Times New Roman" w:hAnsi="Times New Roman" w:cs="Times New Roman"/>
                <w:color w:val="auto"/>
                <w:lang w:val="en-US" w:eastAsia="zh-CN"/>
              </w:rPr>
              <w:t>由天然气改</w:t>
            </w:r>
            <w:r>
              <w:rPr>
                <w:rFonts w:ascii="Times New Roman" w:hAnsi="Times New Roman" w:cs="Times New Roman"/>
                <w:color w:val="auto"/>
              </w:rPr>
              <w:t>用电能，因此不会产生天然气废气。</w:t>
            </w:r>
          </w:p>
          <w:p>
            <w:pPr>
              <w:pStyle w:val="13"/>
              <w:adjustRightInd w:val="0"/>
              <w:snapToGrid w:val="0"/>
              <w:spacing w:after="0"/>
              <w:rPr>
                <w:rFonts w:ascii="Times New Roman" w:hAnsi="Times New Roman" w:cs="Times New Roman"/>
                <w:color w:val="auto"/>
              </w:rPr>
            </w:pPr>
            <w:r>
              <w:rPr>
                <w:rFonts w:ascii="Times New Roman" w:hAnsi="Times New Roman" w:cs="Times New Roman"/>
                <w:color w:val="auto"/>
              </w:rPr>
              <w:t>污水处理站的臭气收集</w:t>
            </w:r>
            <w:r>
              <w:rPr>
                <w:rFonts w:hint="default" w:ascii="Times New Roman" w:hAnsi="Times New Roman" w:cs="Times New Roman"/>
                <w:color w:val="auto"/>
              </w:rPr>
              <w:t>后</w:t>
            </w:r>
            <w:r>
              <w:rPr>
                <w:rFonts w:ascii="Times New Roman" w:hAnsi="Times New Roman" w:cs="Times New Roman"/>
                <w:color w:val="auto"/>
              </w:rPr>
              <w:t>，采用</w:t>
            </w:r>
            <w:r>
              <w:rPr>
                <w:rFonts w:hint="eastAsia" w:ascii="Times New Roman" w:hAnsi="Times New Roman" w:cs="Times New Roman"/>
                <w:color w:val="auto"/>
                <w:lang w:val="en-US" w:eastAsia="zh-CN"/>
              </w:rPr>
              <w:t>水吸收+酸吸收+生物除臭</w:t>
            </w:r>
            <w:r>
              <w:rPr>
                <w:rFonts w:ascii="Times New Roman" w:hAnsi="Times New Roman" w:cs="Times New Roman"/>
                <w:color w:val="auto"/>
              </w:rPr>
              <w:t>喷淋进行处理+15m排气筒。</w:t>
            </w:r>
          </w:p>
          <w:p>
            <w:pPr>
              <w:pStyle w:val="13"/>
              <w:adjustRightInd w:val="0"/>
              <w:snapToGrid w:val="0"/>
              <w:spacing w:after="0"/>
              <w:rPr>
                <w:rFonts w:ascii="Times New Roman" w:hAnsi="Times New Roman" w:cs="Times New Roman"/>
                <w:color w:val="auto"/>
              </w:rPr>
            </w:pPr>
            <w:r>
              <w:rPr>
                <w:rFonts w:ascii="Times New Roman" w:hAnsi="Times New Roman" w:cs="Times New Roman"/>
                <w:color w:val="auto"/>
              </w:rPr>
              <w:t>食堂饮食油烟通过油烟净化器处理后引至楼顶</w:t>
            </w:r>
            <w:r>
              <w:rPr>
                <w:rFonts w:hint="eastAsia" w:ascii="Times New Roman" w:hAnsi="Times New Roman" w:cs="Times New Roman"/>
                <w:color w:val="auto"/>
                <w:lang w:val="en-US" w:eastAsia="zh-CN"/>
              </w:rPr>
              <w:t>烟囱</w:t>
            </w:r>
            <w:r>
              <w:rPr>
                <w:rFonts w:ascii="Times New Roman" w:hAnsi="Times New Roman" w:cs="Times New Roman"/>
                <w:color w:val="auto"/>
              </w:rPr>
              <w:t>排放。</w:t>
            </w:r>
          </w:p>
          <w:p>
            <w:pPr>
              <w:pStyle w:val="13"/>
              <w:adjustRightInd w:val="0"/>
              <w:snapToGrid w:val="0"/>
              <w:spacing w:after="0"/>
              <w:rPr>
                <w:rFonts w:hint="eastAsia" w:ascii="Times New Roman" w:hAnsi="Times New Roman" w:cs="Times New Roman"/>
                <w:color w:val="auto"/>
              </w:rPr>
            </w:pPr>
            <w:r>
              <w:rPr>
                <w:rFonts w:hint="eastAsia" w:ascii="Times New Roman" w:hAnsi="Times New Roman" w:cs="Times New Roman"/>
                <w:color w:val="auto"/>
              </w:rPr>
              <w:t>根据</w:t>
            </w:r>
            <w:r>
              <w:rPr>
                <w:rFonts w:hint="eastAsia" w:ascii="Times New Roman" w:hAnsi="Times New Roman" w:cs="Times New Roman"/>
                <w:color w:val="auto"/>
                <w:lang w:val="en-US" w:eastAsia="zh-CN"/>
              </w:rPr>
              <w:t>验收</w:t>
            </w:r>
            <w:r>
              <w:rPr>
                <w:rFonts w:hint="eastAsia" w:ascii="Times New Roman" w:hAnsi="Times New Roman" w:cs="Times New Roman"/>
                <w:color w:val="auto"/>
              </w:rPr>
              <w:t>监测值可知，本项目有组织工艺废气中苯酚、甲醛、氨气满足《合成树脂工业污染物排放标准》（GB31572-2015）表5大气污染物特别排放限值；甲醇、TVOC满足《工业企业挥发性有机物排放控制标准》（DB</w:t>
            </w:r>
            <w:r>
              <w:rPr>
                <w:rFonts w:hint="eastAsia" w:ascii="Times New Roman" w:hAnsi="Times New Roman" w:cs="Times New Roman"/>
                <w:color w:val="auto"/>
                <w:lang w:val="en-US" w:eastAsia="zh-CN"/>
              </w:rPr>
              <w:t>12</w:t>
            </w:r>
            <w:r>
              <w:rPr>
                <w:rFonts w:hint="eastAsia" w:ascii="Times New Roman" w:hAnsi="Times New Roman" w:cs="Times New Roman"/>
                <w:color w:val="auto"/>
              </w:rPr>
              <w:t>/524-2020）</w:t>
            </w:r>
            <w:r>
              <w:rPr>
                <w:rFonts w:hint="eastAsia" w:ascii="Times New Roman" w:hAnsi="Times New Roman" w:cs="Times New Roman"/>
                <w:color w:val="auto"/>
                <w:lang w:val="en-US" w:eastAsia="zh-CN"/>
              </w:rPr>
              <w:t>其他行业</w:t>
            </w:r>
            <w:r>
              <w:rPr>
                <w:rFonts w:hint="eastAsia" w:ascii="Times New Roman" w:hAnsi="Times New Roman" w:cs="Times New Roman"/>
                <w:color w:val="auto"/>
              </w:rPr>
              <w:t>标准限值。有组织污水处理站废气中TVOC满足《工业企业挥发性有机物排放控制标准》（DB</w:t>
            </w:r>
            <w:r>
              <w:rPr>
                <w:rFonts w:hint="eastAsia" w:ascii="Times New Roman" w:hAnsi="Times New Roman" w:cs="Times New Roman"/>
                <w:color w:val="auto"/>
                <w:lang w:val="en-US" w:eastAsia="zh-CN"/>
              </w:rPr>
              <w:t>12</w:t>
            </w:r>
            <w:r>
              <w:rPr>
                <w:rFonts w:hint="eastAsia" w:ascii="Times New Roman" w:hAnsi="Times New Roman" w:cs="Times New Roman"/>
                <w:color w:val="auto"/>
              </w:rPr>
              <w:t>/524-20</w:t>
            </w:r>
            <w:r>
              <w:rPr>
                <w:rFonts w:hint="eastAsia" w:ascii="Times New Roman" w:hAnsi="Times New Roman" w:cs="Times New Roman"/>
                <w:color w:val="auto"/>
                <w:lang w:val="en-US" w:eastAsia="zh-CN"/>
              </w:rPr>
              <w:t>20</w:t>
            </w:r>
            <w:r>
              <w:rPr>
                <w:rFonts w:hint="eastAsia" w:ascii="Times New Roman" w:hAnsi="Times New Roman" w:cs="Times New Roman"/>
                <w:color w:val="auto"/>
              </w:rPr>
              <w:t>）标准限值；氨气、硫化氢、臭气浓度满足《恶臭污染物排放标准》（GB14554-93）标准限值。</w:t>
            </w:r>
          </w:p>
          <w:p>
            <w:pPr>
              <w:pStyle w:val="13"/>
              <w:adjustRightInd w:val="0"/>
              <w:snapToGrid w:val="0"/>
              <w:spacing w:after="0"/>
              <w:rPr>
                <w:rFonts w:ascii="Times New Roman" w:hAnsi="Times New Roman" w:cs="Times New Roman"/>
                <w:color w:val="auto"/>
              </w:rPr>
            </w:pPr>
            <w:r>
              <w:rPr>
                <w:rFonts w:hint="eastAsia" w:ascii="Times New Roman" w:hAnsi="Times New Roman" w:cs="Times New Roman"/>
                <w:color w:val="auto"/>
              </w:rPr>
              <w:t>厂界四个无组织硫化氢、氨气、臭气浓度满足《恶臭污染物排放标准》（GB14554-93）标准限值，非甲烷总烃、苯酚、甲醇、甲醛满足《挥发性有机物无组织排放控制标准》（GB37822-2019）。</w:t>
            </w:r>
          </w:p>
          <w:p>
            <w:pPr>
              <w:pStyle w:val="13"/>
              <w:adjustRightInd w:val="0"/>
              <w:snapToGrid w:val="0"/>
              <w:spacing w:after="0"/>
              <w:rPr>
                <w:rFonts w:ascii="Times New Roman" w:hAnsi="Times New Roman" w:cs="Times New Roman"/>
                <w:color w:val="auto"/>
              </w:rPr>
            </w:pPr>
          </w:p>
        </w:tc>
        <w:tc>
          <w:tcPr>
            <w:tcW w:w="709" w:type="dxa"/>
            <w:vAlign w:val="center"/>
          </w:tcPr>
          <w:p>
            <w:pPr>
              <w:adjustRightInd w:val="0"/>
              <w:snapToGrid w:val="0"/>
              <w:jc w:val="center"/>
              <w:rPr>
                <w:rFonts w:hint="default" w:ascii="Times New Roman" w:hAnsi="Times New Roman" w:cs="Times New Roman" w:eastAsiaTheme="minorEastAsia"/>
                <w:color w:val="auto"/>
                <w:lang w:val="en-US" w:eastAsia="zh-CN"/>
              </w:rPr>
            </w:pPr>
            <w:r>
              <w:rPr>
                <w:rFonts w:hint="eastAsia" w:ascii="Times New Roman" w:hAnsi="Times New Roman" w:cs="Times New Roman"/>
                <w:color w:val="auto"/>
                <w:lang w:val="en-US" w:eastAsia="zh-CN"/>
              </w:rPr>
              <w:t>增加环保设施，处理效率更高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1" w:type="dxa"/>
            <w:vAlign w:val="center"/>
          </w:tcPr>
          <w:p>
            <w:pPr>
              <w:adjustRightInd w:val="0"/>
              <w:snapToGrid w:val="0"/>
              <w:jc w:val="center"/>
              <w:rPr>
                <w:rFonts w:ascii="Times New Roman" w:hAnsi="Times New Roman" w:cs="Times New Roman"/>
                <w:color w:val="auto"/>
              </w:rPr>
            </w:pPr>
            <w:r>
              <w:rPr>
                <w:rFonts w:hint="default" w:ascii="Times New Roman" w:hAnsi="Times New Roman" w:cs="Times New Roman"/>
                <w:color w:val="auto"/>
              </w:rPr>
              <w:t>噪声污染防治</w:t>
            </w:r>
          </w:p>
        </w:tc>
        <w:tc>
          <w:tcPr>
            <w:tcW w:w="6293" w:type="dxa"/>
            <w:vAlign w:val="center"/>
          </w:tcPr>
          <w:p>
            <w:pPr>
              <w:adjustRightInd w:val="0"/>
              <w:snapToGrid w:val="0"/>
              <w:jc w:val="left"/>
              <w:rPr>
                <w:rFonts w:ascii="Times New Roman" w:hAnsi="Times New Roman" w:cs="Times New Roman"/>
                <w:color w:val="auto"/>
              </w:rPr>
            </w:pPr>
            <w:r>
              <w:rPr>
                <w:rFonts w:ascii="Times New Roman" w:hAnsi="Times New Roman" w:cs="Times New Roman"/>
                <w:color w:val="auto"/>
              </w:rPr>
              <w:t>噪声污染防治工作。采用低噪声设备，合理安排工作时间，对产生噪声的设备和工序进行合理布局，确保厂界噪声达到《工业企业厂界环境噪声排放标准》(GB12348-2008)中的3类标准要求。</w:t>
            </w:r>
          </w:p>
        </w:tc>
        <w:tc>
          <w:tcPr>
            <w:tcW w:w="6089" w:type="dxa"/>
            <w:vAlign w:val="center"/>
          </w:tcPr>
          <w:p>
            <w:pPr>
              <w:adjustRightInd w:val="0"/>
              <w:snapToGrid w:val="0"/>
              <w:rPr>
                <w:rFonts w:ascii="Times New Roman" w:hAnsi="Times New Roman" w:cs="Times New Roman"/>
                <w:color w:val="auto"/>
              </w:rPr>
            </w:pPr>
            <w:r>
              <w:rPr>
                <w:rFonts w:ascii="Times New Roman" w:hAnsi="Times New Roman" w:cs="Times New Roman"/>
                <w:color w:val="auto"/>
              </w:rPr>
              <w:t>企业已采取隔音、减振等措施减少设备运行带来的噪声。</w:t>
            </w:r>
          </w:p>
        </w:tc>
        <w:tc>
          <w:tcPr>
            <w:tcW w:w="709" w:type="dxa"/>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1" w:type="dxa"/>
            <w:vAlign w:val="center"/>
          </w:tcPr>
          <w:p>
            <w:pPr>
              <w:adjustRightInd w:val="0"/>
              <w:snapToGrid w:val="0"/>
              <w:jc w:val="center"/>
              <w:rPr>
                <w:rFonts w:ascii="Times New Roman" w:hAnsi="Times New Roman" w:cs="Times New Roman"/>
                <w:color w:val="auto"/>
              </w:rPr>
            </w:pPr>
            <w:r>
              <w:rPr>
                <w:rFonts w:hint="default" w:ascii="Times New Roman" w:hAnsi="Times New Roman" w:cs="Times New Roman"/>
                <w:color w:val="auto"/>
              </w:rPr>
              <w:t>固废管理</w:t>
            </w:r>
          </w:p>
        </w:tc>
        <w:tc>
          <w:tcPr>
            <w:tcW w:w="6293" w:type="dxa"/>
            <w:vAlign w:val="center"/>
          </w:tcPr>
          <w:p>
            <w:pPr>
              <w:adjustRightInd w:val="0"/>
              <w:snapToGrid w:val="0"/>
              <w:jc w:val="left"/>
              <w:rPr>
                <w:rFonts w:ascii="Times New Roman" w:hAnsi="Times New Roman" w:cs="Times New Roman"/>
                <w:color w:val="auto"/>
              </w:rPr>
            </w:pPr>
            <w:r>
              <w:rPr>
                <w:rFonts w:ascii="Times New Roman" w:hAnsi="Times New Roman" w:cs="Times New Roman"/>
                <w:color w:val="auto"/>
              </w:rPr>
              <w:t>固体废物防治工作。按“无害化、减量化、资源化”原则，做好固体分类收集、暂存工作，建立健全固体废物产生、转运、处置管理台帐。严格按《危险废物贮存污染控制标准（GB18597-2001）》及2013年修改单要求建设危险废物暂存间，废包装物、废试剂瓶、废过滤渣及废滤网应送有资质的单位安全处置，并执行转移联单制度；按《一般工业固体废物贮存、处置场污染控制标准》（GB18599-2001）及2013年修改单要求建设、贮存和运输一般固体废物；项目建成后应对废水处理污泥进行危险废物性质鉴别，根据鉴别结果确定污泥属性，若属于危险废物则应交有资质的单位处置；生活垃圾交由环卫部门统一收集处理。</w:t>
            </w:r>
          </w:p>
        </w:tc>
        <w:tc>
          <w:tcPr>
            <w:tcW w:w="6089" w:type="dxa"/>
            <w:vAlign w:val="center"/>
          </w:tcPr>
          <w:p>
            <w:pPr>
              <w:adjustRightInd w:val="0"/>
              <w:snapToGrid w:val="0"/>
              <w:rPr>
                <w:rFonts w:ascii="Times New Roman" w:hAnsi="Times New Roman" w:cs="Times New Roman"/>
                <w:color w:val="auto"/>
              </w:rPr>
            </w:pPr>
            <w:r>
              <w:rPr>
                <w:rFonts w:ascii="Times New Roman" w:hAnsi="Times New Roman" w:cs="Times New Roman"/>
                <w:color w:val="auto"/>
              </w:rPr>
              <w:t>企业已按《一般工业固体废物贮存和填埋污染控制标准》（GB18599-2020）相关要求建设一般废物暂存间；按《危险废物贮存污染控制标准（GB18597-2001）》已建设的危险废物暂存间；产生的危险废物均委托有危险废物资质单位处置；建立健全固体废物产生、转运、处置管理台帐；</w:t>
            </w:r>
          </w:p>
          <w:p>
            <w:pPr>
              <w:pStyle w:val="13"/>
              <w:rPr>
                <w:rFonts w:ascii="Times New Roman" w:hAnsi="Times New Roman" w:cs="Times New Roman"/>
                <w:color w:val="auto"/>
              </w:rPr>
            </w:pPr>
            <w:r>
              <w:rPr>
                <w:rFonts w:ascii="Times New Roman" w:hAnsi="Times New Roman" w:cs="Times New Roman"/>
                <w:color w:val="auto"/>
              </w:rPr>
              <w:t>生活垃圾交给市政环卫部门清运</w:t>
            </w:r>
            <w:r>
              <w:rPr>
                <w:rFonts w:hint="default" w:ascii="Times New Roman" w:hAnsi="Times New Roman" w:cs="Times New Roman"/>
                <w:color w:val="auto"/>
              </w:rPr>
              <w:t>。</w:t>
            </w:r>
          </w:p>
        </w:tc>
        <w:tc>
          <w:tcPr>
            <w:tcW w:w="709" w:type="dxa"/>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1" w:type="dxa"/>
            <w:vMerge w:val="restart"/>
            <w:vAlign w:val="center"/>
          </w:tcPr>
          <w:p>
            <w:pPr>
              <w:adjustRightInd w:val="0"/>
              <w:snapToGrid w:val="0"/>
              <w:jc w:val="center"/>
              <w:rPr>
                <w:rFonts w:ascii="Times New Roman" w:hAnsi="Times New Roman" w:cs="Times New Roman"/>
                <w:color w:val="auto"/>
              </w:rPr>
            </w:pPr>
            <w:r>
              <w:rPr>
                <w:rFonts w:ascii="Times New Roman" w:hAnsi="Times New Roman" w:eastAsia="宋体" w:cs="Times New Roman"/>
                <w:color w:val="auto"/>
              </w:rPr>
              <w:t>环境管理和风险防范</w:t>
            </w:r>
          </w:p>
        </w:tc>
        <w:tc>
          <w:tcPr>
            <w:tcW w:w="6293" w:type="dxa"/>
            <w:vAlign w:val="center"/>
          </w:tcPr>
          <w:p>
            <w:pPr>
              <w:adjustRightInd w:val="0"/>
              <w:snapToGrid w:val="0"/>
              <w:jc w:val="left"/>
              <w:rPr>
                <w:rFonts w:ascii="Times New Roman" w:hAnsi="Times New Roman" w:cs="Times New Roman"/>
                <w:color w:val="auto"/>
              </w:rPr>
            </w:pPr>
            <w:r>
              <w:rPr>
                <w:rFonts w:ascii="Times New Roman" w:hAnsi="Times New Roman" w:cs="Times New Roman"/>
                <w:color w:val="auto"/>
              </w:rPr>
              <w:t>本项目装置区、储罐区和污水站周围设置100m的环境防护距离，防护距离范围内禁止新建学校、医院、集中居民区等环境敏感点。</w:t>
            </w:r>
          </w:p>
        </w:tc>
        <w:tc>
          <w:tcPr>
            <w:tcW w:w="6089" w:type="dxa"/>
            <w:vAlign w:val="center"/>
          </w:tcPr>
          <w:p>
            <w:pPr>
              <w:adjustRightInd w:val="0"/>
              <w:snapToGrid w:val="0"/>
              <w:rPr>
                <w:rFonts w:ascii="Times New Roman" w:hAnsi="Times New Roman" w:cs="Times New Roman"/>
                <w:color w:val="auto"/>
              </w:rPr>
            </w:pPr>
            <w:r>
              <w:rPr>
                <w:rFonts w:ascii="Times New Roman" w:hAnsi="Times New Roman" w:cs="Times New Roman"/>
                <w:color w:val="auto"/>
              </w:rPr>
              <w:t>装置区、储罐区和污水站100m为卫生防护距离内无学校、居民点等敏感建筑。</w:t>
            </w:r>
          </w:p>
        </w:tc>
        <w:tc>
          <w:tcPr>
            <w:tcW w:w="709" w:type="dxa"/>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51" w:type="dxa"/>
            <w:vMerge w:val="continue"/>
            <w:vAlign w:val="center"/>
          </w:tcPr>
          <w:p>
            <w:pPr>
              <w:adjustRightInd w:val="0"/>
              <w:snapToGrid w:val="0"/>
              <w:jc w:val="center"/>
              <w:rPr>
                <w:rFonts w:ascii="Times New Roman" w:hAnsi="Times New Roman" w:cs="Times New Roman"/>
                <w:color w:val="auto"/>
              </w:rPr>
            </w:pPr>
          </w:p>
        </w:tc>
        <w:tc>
          <w:tcPr>
            <w:tcW w:w="6293" w:type="dxa"/>
            <w:vAlign w:val="center"/>
          </w:tcPr>
          <w:p>
            <w:pPr>
              <w:adjustRightInd w:val="0"/>
              <w:snapToGrid w:val="0"/>
              <w:jc w:val="left"/>
              <w:rPr>
                <w:rFonts w:ascii="Times New Roman" w:hAnsi="Times New Roman" w:cs="Times New Roman"/>
                <w:color w:val="auto"/>
              </w:rPr>
            </w:pPr>
            <w:r>
              <w:rPr>
                <w:rFonts w:ascii="Times New Roman" w:hAnsi="Times New Roman" w:cs="Times New Roman"/>
                <w:color w:val="auto"/>
              </w:rPr>
              <w:t>加强营运期风险防范。落实各项风险防范措施，加强设施设备的维护和管理，严格按照《突发环境事件应急预案管理暂行办法》要求制定事故环境应急预案，储备风险救助物资并组织演练，杜绝环境风险事故发生。</w:t>
            </w:r>
          </w:p>
        </w:tc>
        <w:tc>
          <w:tcPr>
            <w:tcW w:w="6089" w:type="dxa"/>
            <w:vAlign w:val="center"/>
          </w:tcPr>
          <w:p>
            <w:pPr>
              <w:adjustRightInd w:val="0"/>
              <w:snapToGrid w:val="0"/>
              <w:rPr>
                <w:rFonts w:ascii="Times New Roman" w:hAnsi="Times New Roman" w:cs="Times New Roman"/>
                <w:color w:val="auto"/>
              </w:rPr>
            </w:pPr>
            <w:r>
              <w:rPr>
                <w:rFonts w:ascii="Times New Roman" w:hAnsi="Times New Roman" w:cs="Times New Roman"/>
                <w:color w:val="auto"/>
              </w:rPr>
              <w:t>企业已落实相关的风险措施，设置应急事故池、初期雨水池；雨水设置有阀门；生产车间、罐区、危险废物暂存间均按要求进行防腐和防渗；罐区设置有围堰，危险暂存间、甲类仓库等设置泄漏沟和泄漏收集池等；目前企业</w:t>
            </w:r>
            <w:r>
              <w:rPr>
                <w:rFonts w:hint="default" w:ascii="Times New Roman" w:hAnsi="Times New Roman" w:cs="Times New Roman"/>
                <w:color w:val="auto"/>
                <w:lang w:val="en-US" w:eastAsia="zh-CN"/>
              </w:rPr>
              <w:t>已取得突发环境事件</w:t>
            </w:r>
            <w:r>
              <w:rPr>
                <w:rFonts w:ascii="Times New Roman" w:hAnsi="Times New Roman" w:cs="Times New Roman"/>
                <w:color w:val="auto"/>
              </w:rPr>
              <w:t>应急预案</w:t>
            </w:r>
            <w:r>
              <w:rPr>
                <w:rFonts w:hint="default" w:ascii="Times New Roman" w:hAnsi="Times New Roman" w:cs="Times New Roman"/>
                <w:color w:val="auto"/>
                <w:lang w:val="en-US" w:eastAsia="zh-CN"/>
              </w:rPr>
              <w:t>备案表，详见附件9</w:t>
            </w:r>
            <w:r>
              <w:rPr>
                <w:rFonts w:ascii="Times New Roman" w:hAnsi="Times New Roman" w:cs="Times New Roman"/>
                <w:color w:val="auto"/>
              </w:rPr>
              <w:t>。</w:t>
            </w:r>
          </w:p>
        </w:tc>
        <w:tc>
          <w:tcPr>
            <w:tcW w:w="709" w:type="dxa"/>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w:t>
            </w:r>
          </w:p>
        </w:tc>
      </w:tr>
    </w:tbl>
    <w:p>
      <w:pPr>
        <w:spacing w:line="360" w:lineRule="auto"/>
        <w:outlineLvl w:val="0"/>
        <w:rPr>
          <w:rFonts w:ascii="Times New Roman" w:hAnsi="Times New Roman" w:cs="Times New Roman"/>
          <w:b/>
          <w:color w:val="auto"/>
          <w:sz w:val="32"/>
          <w:szCs w:val="32"/>
        </w:rPr>
        <w:sectPr>
          <w:pgSz w:w="16838" w:h="11906" w:orient="landscape"/>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spacing w:line="360" w:lineRule="auto"/>
        <w:outlineLvl w:val="0"/>
        <w:rPr>
          <w:rFonts w:ascii="Times New Roman" w:hAnsi="Times New Roman" w:cs="Times New Roman"/>
          <w:b/>
          <w:color w:val="auto"/>
          <w:sz w:val="32"/>
          <w:szCs w:val="32"/>
        </w:rPr>
      </w:pPr>
      <w:bookmarkStart w:id="55" w:name="_Toc85120887"/>
      <w:bookmarkStart w:id="56" w:name="_Toc28082"/>
      <w:r>
        <w:rPr>
          <w:rFonts w:hint="default" w:ascii="Times New Roman" w:hAnsi="Times New Roman" w:cs="Times New Roman"/>
          <w:b/>
          <w:color w:val="auto"/>
          <w:sz w:val="32"/>
          <w:szCs w:val="32"/>
        </w:rPr>
        <w:t>5、环评主要结论与建议及其审批部门审批决定</w:t>
      </w:r>
      <w:bookmarkEnd w:id="55"/>
      <w:bookmarkEnd w:id="56"/>
    </w:p>
    <w:p>
      <w:pPr>
        <w:spacing w:line="360" w:lineRule="auto"/>
        <w:outlineLvl w:val="1"/>
        <w:rPr>
          <w:rFonts w:ascii="Times New Roman" w:hAnsi="Times New Roman" w:cs="Times New Roman"/>
          <w:b/>
          <w:color w:val="auto"/>
          <w:sz w:val="30"/>
          <w:szCs w:val="30"/>
        </w:rPr>
      </w:pPr>
      <w:bookmarkStart w:id="57" w:name="_Toc85120888"/>
      <w:bookmarkStart w:id="58" w:name="_Toc22489"/>
      <w:r>
        <w:rPr>
          <w:rFonts w:hint="default" w:ascii="Times New Roman" w:hAnsi="Times New Roman" w:cs="Times New Roman"/>
          <w:b/>
          <w:color w:val="auto"/>
          <w:sz w:val="30"/>
          <w:szCs w:val="30"/>
        </w:rPr>
        <w:t>5.1  环评主要结论及建议</w:t>
      </w:r>
      <w:bookmarkEnd w:id="57"/>
      <w:bookmarkEnd w:id="58"/>
    </w:p>
    <w:p>
      <w:pPr>
        <w:spacing w:line="360" w:lineRule="auto"/>
        <w:outlineLvl w:val="2"/>
        <w:rPr>
          <w:rFonts w:ascii="Times New Roman" w:hAnsi="Times New Roman" w:cs="Times New Roman"/>
          <w:b/>
          <w:color w:val="auto"/>
          <w:sz w:val="28"/>
          <w:szCs w:val="28"/>
        </w:rPr>
      </w:pPr>
      <w:bookmarkStart w:id="59" w:name="_Toc85120889"/>
      <w:bookmarkStart w:id="60" w:name="_Toc18358"/>
      <w:r>
        <w:rPr>
          <w:rFonts w:hint="default" w:ascii="Times New Roman" w:hAnsi="Times New Roman" w:cs="Times New Roman"/>
          <w:b/>
          <w:color w:val="auto"/>
          <w:sz w:val="28"/>
          <w:szCs w:val="28"/>
        </w:rPr>
        <w:t>5.1.1  环评主要结论</w:t>
      </w:r>
      <w:bookmarkEnd w:id="59"/>
      <w:bookmarkEnd w:id="60"/>
    </w:p>
    <w:p>
      <w:pPr>
        <w:adjustRightInd w:val="0"/>
        <w:snapToGrid w:val="0"/>
        <w:spacing w:line="360" w:lineRule="auto"/>
        <w:ind w:firstLine="480" w:firstLineChars="200"/>
        <w:rPr>
          <w:rFonts w:ascii="Times New Roman" w:hAnsi="Times New Roman" w:cs="Times New Roman"/>
          <w:color w:val="auto"/>
          <w:sz w:val="24"/>
        </w:rPr>
      </w:pPr>
      <w:r>
        <w:rPr>
          <w:rFonts w:hint="default" w:ascii="Times New Roman" w:hAnsi="Times New Roman" w:cs="Times New Roman"/>
          <w:color w:val="auto"/>
          <w:sz w:val="24"/>
        </w:rPr>
        <w:t>岳阳中展科技有限公司12.6kt/a特种胺项目符合国家产业政策要求，符合湖南岳阳绿色化工产业园规划定位要求。项目平面布局基本合理，采取的环境保护措施和环境风险防范措施基本可行，造成的环境影响和环境风险在可接受程度内。因此，在全面落实报告书提出的各项污染防治和环境风险防范措施后，本项目从环境保护角度分析是可行的。</w:t>
      </w:r>
    </w:p>
    <w:p>
      <w:pPr>
        <w:spacing w:line="360" w:lineRule="auto"/>
        <w:outlineLvl w:val="2"/>
        <w:rPr>
          <w:rFonts w:ascii="Times New Roman" w:hAnsi="Times New Roman" w:cs="Times New Roman"/>
          <w:b/>
          <w:color w:val="auto"/>
          <w:sz w:val="28"/>
          <w:szCs w:val="28"/>
        </w:rPr>
      </w:pPr>
      <w:bookmarkStart w:id="61" w:name="_Toc85120890"/>
      <w:bookmarkStart w:id="62" w:name="_Toc2905"/>
      <w:r>
        <w:rPr>
          <w:rFonts w:hint="default" w:ascii="Times New Roman" w:hAnsi="Times New Roman" w:cs="Times New Roman"/>
          <w:b/>
          <w:color w:val="auto"/>
          <w:sz w:val="28"/>
          <w:szCs w:val="28"/>
        </w:rPr>
        <w:t>5.1.2  环评要求与建议</w:t>
      </w:r>
      <w:bookmarkEnd w:id="61"/>
      <w:bookmarkEnd w:id="62"/>
    </w:p>
    <w:p>
      <w:pPr>
        <w:spacing w:line="360" w:lineRule="auto"/>
        <w:ind w:firstLine="480" w:firstLineChars="200"/>
        <w:rPr>
          <w:rFonts w:ascii="Times New Roman" w:hAnsi="Times New Roman" w:cs="Times New Roman"/>
          <w:color w:val="auto"/>
          <w:sz w:val="24"/>
          <w:szCs w:val="24"/>
        </w:rPr>
      </w:pPr>
      <w:r>
        <w:rPr>
          <w:rFonts w:hint="default" w:ascii="Times New Roman" w:hAnsi="Times New Roman" w:cs="Times New Roman"/>
          <w:color w:val="auto"/>
          <w:sz w:val="24"/>
          <w:szCs w:val="24"/>
        </w:rPr>
        <w:t>（1）项目运行过程中，当地环保部门应加强对企业“三废”处理设施运转后的监督管理，保证总量控制和达标排放的贯彻实施。</w:t>
      </w:r>
    </w:p>
    <w:p>
      <w:pPr>
        <w:spacing w:line="360" w:lineRule="auto"/>
        <w:ind w:firstLine="480" w:firstLineChars="200"/>
        <w:rPr>
          <w:rFonts w:ascii="Times New Roman" w:hAnsi="Times New Roman" w:cs="Times New Roman"/>
          <w:color w:val="auto"/>
          <w:sz w:val="24"/>
          <w:szCs w:val="24"/>
        </w:rPr>
      </w:pPr>
      <w:r>
        <w:rPr>
          <w:rFonts w:hint="default" w:ascii="Times New Roman" w:hAnsi="Times New Roman" w:cs="Times New Roman"/>
          <w:color w:val="auto"/>
          <w:sz w:val="24"/>
          <w:szCs w:val="24"/>
        </w:rPr>
        <w:t>（2）严格管理，强化生产装置的密闭性操作，杜绝生产过程中的跑、冒、滴、漏；针对项目特点，制定一套科学、完整和严格的故障处理制度和应急措施，责任到人，以便发生故障时及时处理。</w:t>
      </w:r>
    </w:p>
    <w:p>
      <w:pPr>
        <w:spacing w:line="360" w:lineRule="auto"/>
        <w:ind w:firstLine="480" w:firstLineChars="200"/>
        <w:rPr>
          <w:rFonts w:ascii="Times New Roman" w:hAnsi="Times New Roman" w:cs="Times New Roman"/>
          <w:color w:val="auto"/>
          <w:sz w:val="24"/>
          <w:szCs w:val="24"/>
        </w:rPr>
      </w:pPr>
      <w:r>
        <w:rPr>
          <w:rFonts w:hint="default" w:ascii="Times New Roman" w:hAnsi="Times New Roman" w:cs="Times New Roman"/>
          <w:color w:val="auto"/>
          <w:sz w:val="24"/>
          <w:szCs w:val="24"/>
        </w:rPr>
        <w:t>（3）本项目投产后企业应设专职人员，实施环境管理职能，建立并完善环境管理规章制度，加强环保设施的管理和维护，保证安全、正常运行，做到达标排放。</w:t>
      </w:r>
    </w:p>
    <w:p>
      <w:pPr>
        <w:spacing w:line="360" w:lineRule="auto"/>
        <w:outlineLvl w:val="1"/>
        <w:rPr>
          <w:rFonts w:ascii="Times New Roman" w:hAnsi="Times New Roman" w:cs="Times New Roman"/>
          <w:b/>
          <w:color w:val="auto"/>
          <w:sz w:val="30"/>
          <w:szCs w:val="30"/>
        </w:rPr>
      </w:pPr>
      <w:bookmarkStart w:id="63" w:name="_Toc27694"/>
      <w:bookmarkStart w:id="64" w:name="_Toc85120891"/>
      <w:r>
        <w:rPr>
          <w:rFonts w:hint="default" w:ascii="Times New Roman" w:hAnsi="Times New Roman" w:cs="Times New Roman"/>
          <w:b/>
          <w:color w:val="auto"/>
          <w:sz w:val="30"/>
          <w:szCs w:val="30"/>
        </w:rPr>
        <w:t>5.2  审批部门审批决定</w:t>
      </w:r>
      <w:bookmarkEnd w:id="63"/>
      <w:bookmarkEnd w:id="64"/>
    </w:p>
    <w:p>
      <w:pPr>
        <w:spacing w:line="360" w:lineRule="auto"/>
        <w:ind w:firstLine="480" w:firstLineChars="200"/>
        <w:rPr>
          <w:rFonts w:ascii="Times New Roman" w:hAnsi="Times New Roman" w:cs="Times New Roman"/>
          <w:color w:val="auto"/>
          <w:sz w:val="24"/>
          <w:szCs w:val="24"/>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cs="Times New Roman"/>
          <w:color w:val="auto"/>
          <w:sz w:val="24"/>
          <w:szCs w:val="24"/>
        </w:rPr>
        <w:t>《</w:t>
      </w:r>
      <w:r>
        <w:rPr>
          <w:rFonts w:hint="default" w:ascii="Times New Roman" w:hAnsi="Times New Roman" w:cs="Times New Roman"/>
          <w:color w:val="auto"/>
          <w:kern w:val="0"/>
          <w:sz w:val="24"/>
          <w:szCs w:val="24"/>
        </w:rPr>
        <w:t>岳阳中展科技有限公司12.6kt/a特种胺项目</w:t>
      </w:r>
      <w:r>
        <w:rPr>
          <w:rFonts w:hint="default" w:ascii="Times New Roman" w:hAnsi="Times New Roman" w:cs="Times New Roman"/>
          <w:color w:val="auto"/>
          <w:sz w:val="24"/>
          <w:szCs w:val="24"/>
        </w:rPr>
        <w:t>环境影响报告书》于2019年7月30日获得由岳阳市生态环境局出具的批复（文号：岳环评〔2019〕104号）。具体内容见附件1；批复落实情况见表</w:t>
      </w:r>
      <w:r>
        <w:rPr>
          <w:rFonts w:ascii="Times New Roman" w:hAnsi="Times New Roman" w:cs="Times New Roman"/>
          <w:color w:val="auto"/>
          <w:sz w:val="24"/>
          <w:szCs w:val="24"/>
        </w:rPr>
        <w:t>4.5</w:t>
      </w:r>
      <w:r>
        <w:rPr>
          <w:rFonts w:hint="default" w:ascii="Times New Roman" w:hAnsi="Times New Roman" w:cs="Times New Roman"/>
          <w:color w:val="auto"/>
          <w:sz w:val="24"/>
          <w:szCs w:val="24"/>
        </w:rPr>
        <w:t>-</w:t>
      </w:r>
      <w:r>
        <w:rPr>
          <w:rFonts w:ascii="Times New Roman" w:hAnsi="Times New Roman" w:cs="Times New Roman"/>
          <w:color w:val="auto"/>
          <w:sz w:val="24"/>
          <w:szCs w:val="24"/>
        </w:rPr>
        <w:t>2</w:t>
      </w:r>
      <w:r>
        <w:rPr>
          <w:rFonts w:hint="default" w:ascii="Times New Roman" w:hAnsi="Times New Roman" w:cs="Times New Roman"/>
          <w:color w:val="auto"/>
          <w:sz w:val="24"/>
          <w:szCs w:val="24"/>
        </w:rPr>
        <w:t>。</w:t>
      </w:r>
    </w:p>
    <w:p>
      <w:pPr>
        <w:outlineLvl w:val="0"/>
        <w:rPr>
          <w:rFonts w:ascii="Times New Roman" w:hAnsi="Times New Roman" w:cs="Times New Roman"/>
          <w:b/>
          <w:color w:val="auto"/>
          <w:sz w:val="32"/>
          <w:szCs w:val="32"/>
        </w:rPr>
      </w:pPr>
      <w:bookmarkStart w:id="65" w:name="_Toc22047"/>
      <w:bookmarkStart w:id="66" w:name="_Toc85120892"/>
      <w:r>
        <w:rPr>
          <w:rFonts w:hint="default" w:ascii="Times New Roman" w:hAnsi="Times New Roman" w:cs="Times New Roman"/>
          <w:b/>
          <w:color w:val="auto"/>
          <w:sz w:val="32"/>
          <w:szCs w:val="32"/>
        </w:rPr>
        <w:t>6、验收执行标准</w:t>
      </w:r>
      <w:bookmarkEnd w:id="65"/>
      <w:bookmarkEnd w:id="66"/>
    </w:p>
    <w:p>
      <w:pPr>
        <w:spacing w:line="360" w:lineRule="auto"/>
        <w:ind w:firstLine="480" w:firstLineChars="200"/>
        <w:rPr>
          <w:rFonts w:ascii="Times New Roman" w:hAnsi="Times New Roman" w:cs="Times New Roman"/>
          <w:color w:val="auto"/>
          <w:sz w:val="24"/>
          <w:szCs w:val="24"/>
        </w:rPr>
      </w:pPr>
      <w:r>
        <w:rPr>
          <w:rFonts w:hint="default" w:ascii="Times New Roman" w:hAnsi="Times New Roman" w:cs="Times New Roman"/>
          <w:color w:val="auto"/>
          <w:sz w:val="24"/>
          <w:szCs w:val="24"/>
        </w:rPr>
        <w:t>本工程的环评批复时间为2019年7月30日，根据湖南博咨环境技术咨询服务有限公司编制的</w:t>
      </w:r>
      <w:r>
        <w:rPr>
          <w:rFonts w:hint="default" w:ascii="Times New Roman" w:hAnsi="Times New Roman" w:cs="Times New Roman"/>
          <w:color w:val="auto"/>
          <w:kern w:val="0"/>
          <w:sz w:val="24"/>
          <w:szCs w:val="24"/>
        </w:rPr>
        <w:t>《岳阳中展科技有限公司12.6kt/a特种胺项目</w:t>
      </w:r>
      <w:r>
        <w:rPr>
          <w:rFonts w:hint="default" w:ascii="Times New Roman" w:hAnsi="Times New Roman" w:cs="Times New Roman"/>
          <w:color w:val="auto"/>
          <w:sz w:val="24"/>
          <w:szCs w:val="24"/>
        </w:rPr>
        <w:t>环境影响报告书</w:t>
      </w:r>
      <w:r>
        <w:rPr>
          <w:rFonts w:hint="default" w:ascii="Times New Roman" w:hAnsi="Times New Roman" w:cs="Times New Roman"/>
          <w:color w:val="auto"/>
          <w:kern w:val="0"/>
          <w:sz w:val="24"/>
          <w:szCs w:val="24"/>
        </w:rPr>
        <w:t>》</w:t>
      </w:r>
      <w:r>
        <w:rPr>
          <w:rFonts w:hint="default" w:ascii="Times New Roman" w:hAnsi="Times New Roman" w:cs="Times New Roman"/>
          <w:color w:val="auto"/>
          <w:sz w:val="24"/>
          <w:szCs w:val="24"/>
        </w:rPr>
        <w:t>，本项目验收监测内容及结果的评价标准如下：</w:t>
      </w:r>
    </w:p>
    <w:p>
      <w:pPr>
        <w:outlineLvl w:val="1"/>
        <w:rPr>
          <w:rFonts w:ascii="Times New Roman" w:hAnsi="Times New Roman" w:cs="Times New Roman"/>
          <w:b/>
          <w:color w:val="auto"/>
          <w:sz w:val="30"/>
          <w:szCs w:val="30"/>
        </w:rPr>
      </w:pPr>
      <w:bookmarkStart w:id="67" w:name="_Toc85120893"/>
      <w:bookmarkStart w:id="68" w:name="_Toc1007"/>
      <w:r>
        <w:rPr>
          <w:rFonts w:hint="default" w:ascii="Times New Roman" w:hAnsi="Times New Roman" w:cs="Times New Roman"/>
          <w:b/>
          <w:color w:val="auto"/>
          <w:sz w:val="30"/>
          <w:szCs w:val="30"/>
        </w:rPr>
        <w:t>6.</w:t>
      </w:r>
      <w:r>
        <w:rPr>
          <w:rFonts w:ascii="Times New Roman" w:hAnsi="Times New Roman" w:cs="Times New Roman"/>
          <w:b/>
          <w:color w:val="auto"/>
          <w:sz w:val="30"/>
          <w:szCs w:val="30"/>
        </w:rPr>
        <w:t>1</w:t>
      </w:r>
      <w:r>
        <w:rPr>
          <w:rFonts w:hint="default" w:ascii="Times New Roman" w:hAnsi="Times New Roman" w:cs="Times New Roman"/>
          <w:b/>
          <w:color w:val="auto"/>
          <w:sz w:val="30"/>
          <w:szCs w:val="30"/>
        </w:rPr>
        <w:t>污染物排放标准</w:t>
      </w:r>
      <w:bookmarkEnd w:id="67"/>
      <w:bookmarkEnd w:id="68"/>
    </w:p>
    <w:p>
      <w:pPr>
        <w:adjustRightInd w:val="0"/>
        <w:snapToGrid w:val="0"/>
        <w:spacing w:line="360" w:lineRule="auto"/>
        <w:ind w:firstLine="482" w:firstLineChars="200"/>
        <w:rPr>
          <w:rFonts w:ascii="Times New Roman" w:hAnsi="Times New Roman" w:cs="Times New Roman"/>
          <w:b/>
          <w:color w:val="auto"/>
          <w:sz w:val="24"/>
          <w:szCs w:val="24"/>
        </w:rPr>
      </w:pPr>
      <w:r>
        <w:rPr>
          <w:rFonts w:ascii="Times New Roman" w:hAnsi="Times New Roman" w:cs="Times New Roman"/>
          <w:b/>
          <w:color w:val="auto"/>
          <w:sz w:val="24"/>
          <w:szCs w:val="24"/>
        </w:rPr>
        <w:t>1、废气排放标准</w:t>
      </w:r>
    </w:p>
    <w:p>
      <w:pPr>
        <w:spacing w:line="360" w:lineRule="auto"/>
        <w:ind w:firstLine="480" w:firstLineChars="200"/>
        <w:rPr>
          <w:rFonts w:ascii="Times New Roman" w:hAnsi="Times New Roman" w:cs="Times New Roman"/>
          <w:color w:val="auto"/>
          <w:sz w:val="24"/>
          <w:szCs w:val="24"/>
        </w:rPr>
      </w:pPr>
      <w:r>
        <w:rPr>
          <w:rFonts w:hint="default" w:ascii="Times New Roman" w:hAnsi="Times New Roman" w:cs="Times New Roman"/>
          <w:color w:val="auto"/>
          <w:sz w:val="24"/>
          <w:szCs w:val="24"/>
        </w:rPr>
        <w:t>项目工艺过程及污水处理站产生的VOCs有组织排放参照执行</w:t>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"http://www.baidu.com/link?url=NXEoRSGx3bx_0S32dIHhXZgX6hYj2TrGlqbEAJW4DDfbP-neScgzfZc-3bErtHxNqMgcHP0LGpVh9Sr5hoDHtcXGhsCC2zd3xFfTTLWt6gK" \t "https://www.baidu.com/_blank"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《工业企业挥发性有机物排放控制标准</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t>》（</w:t>
      </w:r>
      <w:r>
        <w:rPr>
          <w:rFonts w:hint="eastAsia" w:ascii="Times New Roman" w:hAnsi="Times New Roman" w:cs="Times New Roman"/>
          <w:color w:val="auto"/>
          <w:sz w:val="24"/>
          <w:szCs w:val="24"/>
          <w:lang w:eastAsia="zh-CN"/>
        </w:rPr>
        <w:t>DB12/524-2020</w:t>
      </w:r>
      <w:r>
        <w:rPr>
          <w:rFonts w:hint="default" w:ascii="Times New Roman" w:hAnsi="Times New Roman" w:cs="Times New Roman"/>
          <w:color w:val="auto"/>
          <w:sz w:val="24"/>
          <w:szCs w:val="24"/>
        </w:rPr>
        <w:t>）中其他行业标准限值，具体标准限值见表</w:t>
      </w:r>
      <w:r>
        <w:rPr>
          <w:rFonts w:hint="eastAsia" w:ascii="Times New Roman" w:hAnsi="Times New Roman" w:cs="Times New Roman"/>
          <w:color w:val="auto"/>
          <w:sz w:val="24"/>
          <w:szCs w:val="24"/>
          <w:lang w:eastAsia="zh-CN"/>
        </w:rPr>
        <w:t>6</w:t>
      </w:r>
      <w:r>
        <w:rPr>
          <w:rFonts w:hint="eastAsia" w:ascii="Times New Roman" w:hAnsi="Times New Roman" w:cs="Times New Roman"/>
          <w:color w:val="auto"/>
          <w:sz w:val="24"/>
          <w:szCs w:val="24"/>
          <w:lang w:val="en-US" w:eastAsia="zh-CN"/>
        </w:rPr>
        <w:t>.1-1</w:t>
      </w:r>
      <w:r>
        <w:rPr>
          <w:rFonts w:hint="default" w:ascii="Times New Roman" w:hAnsi="Times New Roman" w:cs="Times New Roman"/>
          <w:color w:val="auto"/>
          <w:sz w:val="24"/>
          <w:szCs w:val="24"/>
        </w:rPr>
        <w:t>。</w:t>
      </w:r>
    </w:p>
    <w:p>
      <w:pPr>
        <w:adjustRightInd w:val="0"/>
        <w:snapToGrid w:val="0"/>
        <w:spacing w:line="271" w:lineRule="auto"/>
        <w:jc w:val="center"/>
        <w:rPr>
          <w:rFonts w:ascii="Times New Roman" w:hAnsi="Times New Roman" w:cs="Times New Roman"/>
          <w:b/>
          <w:color w:val="auto"/>
        </w:rPr>
      </w:pPr>
      <w:r>
        <w:rPr>
          <w:rFonts w:hint="default" w:ascii="Times New Roman" w:hAnsi="Times New Roman" w:cs="Times New Roman"/>
          <w:b/>
          <w:color w:val="auto"/>
        </w:rPr>
        <w:t>表</w:t>
      </w:r>
      <w:r>
        <w:rPr>
          <w:rFonts w:hint="eastAsia" w:ascii="Times New Roman" w:hAnsi="Times New Roman" w:cs="Times New Roman"/>
          <w:b/>
          <w:color w:val="auto"/>
          <w:lang w:eastAsia="zh-CN"/>
        </w:rPr>
        <w:t>6</w:t>
      </w:r>
      <w:r>
        <w:rPr>
          <w:rFonts w:hint="eastAsia" w:ascii="Times New Roman" w:hAnsi="Times New Roman" w:cs="Times New Roman"/>
          <w:b/>
          <w:color w:val="auto"/>
          <w:lang w:val="en-US" w:eastAsia="zh-CN"/>
        </w:rPr>
        <w:t>.1-1</w:t>
      </w:r>
      <w:r>
        <w:rPr>
          <w:rFonts w:hint="default" w:ascii="Times New Roman" w:hAnsi="Times New Roman" w:cs="Times New Roman"/>
          <w:b/>
          <w:color w:val="auto"/>
        </w:rPr>
        <w:t xml:space="preserve">   </w:t>
      </w:r>
      <w:r>
        <w:rPr>
          <w:rFonts w:ascii="Times New Roman" w:hAnsi="Times New Roman" w:cs="Times New Roman"/>
          <w:color w:val="auto"/>
        </w:rPr>
        <w:fldChar w:fldCharType="begin"/>
      </w:r>
      <w:r>
        <w:rPr>
          <w:rFonts w:ascii="Times New Roman" w:hAnsi="Times New Roman" w:cs="Times New Roman"/>
          <w:color w:val="auto"/>
        </w:rPr>
        <w:instrText xml:space="preserve"> HYPERLINK "http://www.baidu.com/link?url=NXEoRSGx3bx_0S32dIHhXZgX6hYj2TrGlqbEAJW4DDfbP-neScgzfZc-3bErtHxNqMgcHP0LGpVh9Sr5hoDHtcXGhsCC2zd3xFfTTLWt6gK" \t "https://www.baidu.com/_blank" </w:instrText>
      </w:r>
      <w:r>
        <w:rPr>
          <w:rFonts w:ascii="Times New Roman" w:hAnsi="Times New Roman" w:cs="Times New Roman"/>
          <w:color w:val="auto"/>
        </w:rPr>
        <w:fldChar w:fldCharType="separate"/>
      </w:r>
      <w:r>
        <w:rPr>
          <w:rFonts w:hint="default" w:ascii="Times New Roman" w:hAnsi="Times New Roman" w:cs="Times New Roman"/>
          <w:b/>
          <w:color w:val="auto"/>
        </w:rPr>
        <w:t>《</w:t>
      </w:r>
      <w:r>
        <w:rPr>
          <w:rFonts w:ascii="Times New Roman" w:hAnsi="Times New Roman" w:cs="Times New Roman"/>
          <w:b/>
          <w:color w:val="auto"/>
        </w:rPr>
        <w:t>工业企业挥发性有机物排放控制标准</w:t>
      </w:r>
      <w:r>
        <w:rPr>
          <w:rFonts w:ascii="Times New Roman" w:hAnsi="Times New Roman" w:cs="Times New Roman"/>
          <w:b/>
          <w:color w:val="auto"/>
        </w:rPr>
        <w:fldChar w:fldCharType="end"/>
      </w:r>
      <w:r>
        <w:rPr>
          <w:rFonts w:hint="default" w:ascii="Times New Roman" w:hAnsi="Times New Roman" w:cs="Times New Roman"/>
          <w:b/>
          <w:color w:val="auto"/>
        </w:rPr>
        <w:t>》（</w:t>
      </w:r>
      <w:r>
        <w:rPr>
          <w:rFonts w:hint="eastAsia" w:ascii="Times New Roman" w:hAnsi="Times New Roman" w:cs="Times New Roman"/>
          <w:b/>
          <w:color w:val="auto"/>
          <w:lang w:eastAsia="zh-CN"/>
        </w:rPr>
        <w:t>DB12/524-2020</w:t>
      </w:r>
      <w:r>
        <w:rPr>
          <w:rFonts w:hint="default" w:ascii="Times New Roman" w:hAnsi="Times New Roman" w:cs="Times New Roman"/>
          <w:b/>
          <w:color w:val="auto"/>
        </w:rPr>
        <w:t>）</w:t>
      </w:r>
    </w:p>
    <w:tbl>
      <w:tblPr>
        <w:tblStyle w:val="2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51"/>
        <w:gridCol w:w="1185"/>
        <w:gridCol w:w="1630"/>
        <w:gridCol w:w="2519"/>
        <w:gridCol w:w="251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51" w:type="dxa"/>
            <w:tcBorders>
              <w:bottom w:val="single" w:color="auto" w:sz="4" w:space="0"/>
              <w:right w:val="single" w:color="auto" w:sz="4" w:space="0"/>
            </w:tcBorders>
            <w:vAlign w:val="center"/>
          </w:tcPr>
          <w:p>
            <w:pPr>
              <w:adjustRightInd w:val="0"/>
              <w:snapToGrid w:val="0"/>
              <w:jc w:val="center"/>
              <w:rPr>
                <w:rFonts w:ascii="Times New Roman" w:hAnsi="Times New Roman" w:cs="Times New Roman"/>
                <w:color w:val="auto"/>
              </w:rPr>
            </w:pPr>
            <w:r>
              <w:rPr>
                <w:rFonts w:hint="default" w:ascii="Times New Roman" w:hAnsi="Times New Roman" w:cs="Times New Roman"/>
                <w:color w:val="auto"/>
              </w:rPr>
              <w:t>行业</w:t>
            </w:r>
          </w:p>
        </w:tc>
        <w:tc>
          <w:tcPr>
            <w:tcW w:w="1185" w:type="dxa"/>
            <w:tcBorders>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cs="Times New Roman"/>
                <w:color w:val="auto"/>
              </w:rPr>
            </w:pPr>
            <w:r>
              <w:rPr>
                <w:rFonts w:hint="default" w:ascii="Times New Roman" w:hAnsi="Times New Roman" w:cs="Times New Roman"/>
                <w:color w:val="auto"/>
              </w:rPr>
              <w:t>污染物</w:t>
            </w:r>
          </w:p>
        </w:tc>
        <w:tc>
          <w:tcPr>
            <w:tcW w:w="1630" w:type="dxa"/>
            <w:tcBorders>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cs="Times New Roman"/>
                <w:color w:val="auto"/>
              </w:rPr>
            </w:pPr>
            <w:r>
              <w:rPr>
                <w:rFonts w:hint="default" w:ascii="Times New Roman" w:hAnsi="Times New Roman" w:cs="Times New Roman"/>
                <w:color w:val="auto"/>
              </w:rPr>
              <w:t>最高允许排放浓度（mg/m</w:t>
            </w:r>
            <w:r>
              <w:rPr>
                <w:rFonts w:hint="default" w:ascii="Times New Roman" w:hAnsi="Times New Roman" w:cs="Times New Roman"/>
                <w:color w:val="auto"/>
                <w:vertAlign w:val="superscript"/>
              </w:rPr>
              <w:t>3</w:t>
            </w:r>
            <w:r>
              <w:rPr>
                <w:rFonts w:hint="default" w:ascii="Times New Roman" w:hAnsi="Times New Roman" w:cs="Times New Roman"/>
                <w:color w:val="auto"/>
              </w:rPr>
              <w:t>）</w:t>
            </w:r>
          </w:p>
        </w:tc>
        <w:tc>
          <w:tcPr>
            <w:tcW w:w="2519" w:type="dxa"/>
            <w:tcBorders>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cs="Times New Roman"/>
                <w:color w:val="auto"/>
              </w:rPr>
            </w:pPr>
            <w:r>
              <w:rPr>
                <w:rFonts w:hint="default" w:ascii="Times New Roman" w:hAnsi="Times New Roman" w:cs="Times New Roman"/>
                <w:color w:val="auto"/>
              </w:rPr>
              <w:t>排气筒高度（m）</w:t>
            </w:r>
          </w:p>
        </w:tc>
        <w:tc>
          <w:tcPr>
            <w:tcW w:w="2519" w:type="dxa"/>
            <w:tcBorders>
              <w:left w:val="single" w:color="auto" w:sz="4" w:space="0"/>
              <w:bottom w:val="single" w:color="auto" w:sz="4" w:space="0"/>
              <w:right w:val="single" w:color="auto" w:sz="12" w:space="0"/>
            </w:tcBorders>
            <w:vAlign w:val="center"/>
          </w:tcPr>
          <w:p>
            <w:pPr>
              <w:adjustRightInd w:val="0"/>
              <w:snapToGrid w:val="0"/>
              <w:jc w:val="center"/>
              <w:rPr>
                <w:rFonts w:ascii="Times New Roman" w:hAnsi="Times New Roman" w:cs="Times New Roman"/>
                <w:color w:val="auto"/>
              </w:rPr>
            </w:pPr>
            <w:r>
              <w:rPr>
                <w:rFonts w:hint="default" w:ascii="Times New Roman" w:hAnsi="Times New Roman" w:cs="Times New Roman"/>
                <w:color w:val="auto"/>
              </w:rPr>
              <w:t>最高允许排放速率（kg/h）</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51" w:type="dxa"/>
            <w:vMerge w:val="restart"/>
            <w:tcBorders>
              <w:top w:val="single" w:color="auto" w:sz="4" w:space="0"/>
              <w:bottom w:val="single" w:color="auto" w:sz="4" w:space="0"/>
              <w:right w:val="single" w:color="auto" w:sz="4" w:space="0"/>
            </w:tcBorders>
            <w:vAlign w:val="center"/>
          </w:tcPr>
          <w:p>
            <w:pPr>
              <w:adjustRightInd w:val="0"/>
              <w:snapToGrid w:val="0"/>
              <w:jc w:val="center"/>
              <w:rPr>
                <w:rFonts w:ascii="Times New Roman" w:hAnsi="Times New Roman" w:cs="Times New Roman"/>
                <w:color w:val="auto"/>
              </w:rPr>
            </w:pPr>
            <w:r>
              <w:rPr>
                <w:rFonts w:hint="default" w:ascii="Times New Roman" w:hAnsi="Times New Roman" w:cs="Times New Roman"/>
                <w:color w:val="auto"/>
              </w:rPr>
              <w:t>其他行业</w:t>
            </w:r>
          </w:p>
        </w:tc>
        <w:tc>
          <w:tcPr>
            <w:tcW w:w="1185" w:type="dxa"/>
            <w:vMerge w:val="restar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cs="Times New Roman"/>
                <w:color w:val="auto"/>
              </w:rPr>
            </w:pPr>
            <w:r>
              <w:rPr>
                <w:rFonts w:hint="default" w:ascii="Times New Roman" w:hAnsi="Times New Roman" w:cs="Times New Roman"/>
                <w:color w:val="auto"/>
              </w:rPr>
              <w:t>VOCs</w:t>
            </w:r>
          </w:p>
        </w:tc>
        <w:tc>
          <w:tcPr>
            <w:tcW w:w="1630" w:type="dxa"/>
            <w:vMerge w:val="restar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cs="Times New Roman" w:eastAsiaTheme="minorEastAsia"/>
                <w:color w:val="auto"/>
                <w:lang w:val="en-US" w:eastAsia="zh-CN"/>
              </w:rPr>
            </w:pPr>
            <w:r>
              <w:rPr>
                <w:rFonts w:hint="eastAsia" w:ascii="Times New Roman" w:hAnsi="Times New Roman" w:cs="Times New Roman"/>
                <w:color w:val="auto"/>
                <w:lang w:val="en-US" w:eastAsia="zh-CN"/>
              </w:rPr>
              <w:t>60</w:t>
            </w:r>
          </w:p>
        </w:tc>
        <w:tc>
          <w:tcPr>
            <w:tcW w:w="251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30</w:t>
            </w:r>
          </w:p>
        </w:tc>
        <w:tc>
          <w:tcPr>
            <w:tcW w:w="2519" w:type="dxa"/>
            <w:tcBorders>
              <w:top w:val="single" w:color="auto" w:sz="4" w:space="0"/>
              <w:left w:val="single" w:color="auto" w:sz="4" w:space="0"/>
              <w:bottom w:val="single" w:color="auto" w:sz="4" w:space="0"/>
              <w:right w:val="single" w:color="auto" w:sz="12" w:space="0"/>
            </w:tcBorders>
            <w:vAlign w:val="center"/>
          </w:tcPr>
          <w:p>
            <w:pPr>
              <w:adjustRightInd w:val="0"/>
              <w:snapToGrid w:val="0"/>
              <w:jc w:val="center"/>
              <w:rPr>
                <w:rFonts w:hint="default" w:ascii="Times New Roman" w:hAnsi="Times New Roman" w:cs="Times New Roman" w:eastAsiaTheme="minorEastAsia"/>
                <w:color w:val="auto"/>
                <w:lang w:val="en-US" w:eastAsia="zh-CN"/>
              </w:rPr>
            </w:pPr>
            <w:r>
              <w:rPr>
                <w:rFonts w:hint="eastAsia" w:ascii="Times New Roman" w:hAnsi="Times New Roman" w:cs="Times New Roman"/>
                <w:color w:val="auto"/>
                <w:lang w:val="en-US" w:eastAsia="zh-CN"/>
              </w:rPr>
              <w:t>14.3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51" w:type="dxa"/>
            <w:vMerge w:val="continue"/>
            <w:tcBorders>
              <w:top w:val="single" w:color="auto" w:sz="4" w:space="0"/>
              <w:right w:val="single" w:color="auto" w:sz="4" w:space="0"/>
            </w:tcBorders>
            <w:vAlign w:val="center"/>
          </w:tcPr>
          <w:p>
            <w:pPr>
              <w:adjustRightInd w:val="0"/>
              <w:snapToGrid w:val="0"/>
              <w:jc w:val="center"/>
              <w:rPr>
                <w:rFonts w:ascii="Times New Roman" w:hAnsi="Times New Roman" w:cs="Times New Roman"/>
                <w:color w:val="auto"/>
              </w:rPr>
            </w:pPr>
          </w:p>
        </w:tc>
        <w:tc>
          <w:tcPr>
            <w:tcW w:w="1185" w:type="dxa"/>
            <w:vMerge w:val="continue"/>
            <w:tcBorders>
              <w:top w:val="single" w:color="auto" w:sz="4" w:space="0"/>
              <w:left w:val="single" w:color="auto" w:sz="4" w:space="0"/>
              <w:right w:val="single" w:color="auto" w:sz="4" w:space="0"/>
            </w:tcBorders>
            <w:vAlign w:val="center"/>
          </w:tcPr>
          <w:p>
            <w:pPr>
              <w:adjustRightInd w:val="0"/>
              <w:snapToGrid w:val="0"/>
              <w:jc w:val="center"/>
              <w:rPr>
                <w:rFonts w:ascii="Times New Roman" w:hAnsi="Times New Roman" w:cs="Times New Roman"/>
                <w:color w:val="auto"/>
              </w:rPr>
            </w:pPr>
          </w:p>
        </w:tc>
        <w:tc>
          <w:tcPr>
            <w:tcW w:w="1630" w:type="dxa"/>
            <w:vMerge w:val="continue"/>
            <w:tcBorders>
              <w:top w:val="single" w:color="auto" w:sz="4" w:space="0"/>
              <w:left w:val="single" w:color="auto" w:sz="4" w:space="0"/>
              <w:right w:val="single" w:color="auto" w:sz="4" w:space="0"/>
            </w:tcBorders>
            <w:vAlign w:val="center"/>
          </w:tcPr>
          <w:p>
            <w:pPr>
              <w:adjustRightInd w:val="0"/>
              <w:snapToGrid w:val="0"/>
              <w:jc w:val="center"/>
              <w:rPr>
                <w:rFonts w:ascii="Times New Roman" w:hAnsi="Times New Roman" w:cs="Times New Roman"/>
                <w:color w:val="auto"/>
              </w:rPr>
            </w:pPr>
          </w:p>
        </w:tc>
        <w:tc>
          <w:tcPr>
            <w:tcW w:w="2519" w:type="dxa"/>
            <w:tcBorders>
              <w:top w:val="single" w:color="auto" w:sz="4" w:space="0"/>
              <w:left w:val="single" w:color="auto" w:sz="4" w:space="0"/>
              <w:bottom w:val="single" w:color="auto" w:sz="12" w:space="0"/>
              <w:right w:val="single" w:color="auto" w:sz="4" w:space="0"/>
            </w:tcBorders>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15</w:t>
            </w:r>
          </w:p>
        </w:tc>
        <w:tc>
          <w:tcPr>
            <w:tcW w:w="2519" w:type="dxa"/>
            <w:tcBorders>
              <w:top w:val="single" w:color="auto" w:sz="4" w:space="0"/>
              <w:left w:val="single" w:color="auto" w:sz="4" w:space="0"/>
              <w:bottom w:val="single" w:color="auto" w:sz="12" w:space="0"/>
              <w:right w:val="single" w:color="auto" w:sz="12" w:space="0"/>
            </w:tcBorders>
            <w:vAlign w:val="center"/>
          </w:tcPr>
          <w:p>
            <w:pPr>
              <w:adjustRightInd w:val="0"/>
              <w:snapToGrid w:val="0"/>
              <w:jc w:val="center"/>
              <w:rPr>
                <w:rFonts w:hint="default" w:ascii="Times New Roman" w:hAnsi="Times New Roman" w:cs="Times New Roman" w:eastAsiaTheme="minorEastAsia"/>
                <w:color w:val="auto"/>
                <w:lang w:val="en-US" w:eastAsia="zh-CN"/>
              </w:rPr>
            </w:pPr>
            <w:r>
              <w:rPr>
                <w:rFonts w:hint="eastAsia" w:ascii="Times New Roman" w:hAnsi="Times New Roman" w:cs="Times New Roman"/>
                <w:color w:val="auto"/>
                <w:lang w:val="en-US" w:eastAsia="zh-CN"/>
              </w:rPr>
              <w:t>1.8</w:t>
            </w:r>
          </w:p>
        </w:tc>
      </w:tr>
    </w:tbl>
    <w:p>
      <w:pPr>
        <w:spacing w:line="360" w:lineRule="auto"/>
        <w:ind w:firstLine="420" w:firstLineChars="200"/>
        <w:rPr>
          <w:rFonts w:ascii="Times New Roman" w:hAnsi="Times New Roman" w:cs="Times New Roman"/>
          <w:color w:val="auto"/>
          <w:szCs w:val="21"/>
        </w:rPr>
      </w:pPr>
      <w:r>
        <w:rPr>
          <w:rFonts w:hint="default" w:ascii="Times New Roman" w:hAnsi="Times New Roman" w:cs="Times New Roman"/>
          <w:color w:val="auto"/>
          <w:szCs w:val="21"/>
        </w:rPr>
        <w:t>备注：甲醇均属于VOCs范畴，因</w:t>
      </w:r>
      <w:r>
        <w:rPr>
          <w:rFonts w:hint="default" w:ascii="Times New Roman" w:hAnsi="Times New Roman" w:cs="Times New Roman"/>
          <w:color w:val="auto"/>
          <w:szCs w:val="21"/>
        </w:rPr>
        <w:fldChar w:fldCharType="begin"/>
      </w:r>
      <w:r>
        <w:rPr>
          <w:rFonts w:hint="default" w:ascii="Times New Roman" w:hAnsi="Times New Roman" w:cs="Times New Roman"/>
          <w:color w:val="auto"/>
          <w:szCs w:val="21"/>
        </w:rPr>
        <w:instrText xml:space="preserve"> HYPERLINK "http://www.baidu.com/link?url=NXEoRSGx3bx_0S32dIHhXZgX6hYj2TrGlqbEAJW4DDfbP-neScgzfZc-3bErtHxNqMgcHP0LGpVh9Sr5hoDHtcXGhsCC2zd3xFfTTLWt6gK" \t "https://www.baidu.com/_blank" </w:instrText>
      </w:r>
      <w:r>
        <w:rPr>
          <w:rFonts w:hint="default" w:ascii="Times New Roman" w:hAnsi="Times New Roman" w:cs="Times New Roman"/>
          <w:color w:val="auto"/>
          <w:szCs w:val="21"/>
        </w:rPr>
        <w:fldChar w:fldCharType="separate"/>
      </w:r>
      <w:r>
        <w:rPr>
          <w:rFonts w:hint="default" w:ascii="Times New Roman" w:hAnsi="Times New Roman" w:cs="Times New Roman"/>
          <w:color w:val="auto"/>
          <w:szCs w:val="21"/>
        </w:rPr>
        <w:t>《工业企业挥发性有机物排放控制标准</w:t>
      </w:r>
      <w:r>
        <w:rPr>
          <w:rFonts w:hint="default" w:ascii="Times New Roman" w:hAnsi="Times New Roman" w:cs="Times New Roman"/>
          <w:color w:val="auto"/>
          <w:szCs w:val="21"/>
        </w:rPr>
        <w:fldChar w:fldCharType="end"/>
      </w:r>
      <w:r>
        <w:rPr>
          <w:rFonts w:hint="default" w:ascii="Times New Roman" w:hAnsi="Times New Roman" w:cs="Times New Roman"/>
          <w:color w:val="auto"/>
          <w:szCs w:val="21"/>
        </w:rPr>
        <w:t>》（</w:t>
      </w:r>
      <w:r>
        <w:rPr>
          <w:rFonts w:hint="eastAsia" w:ascii="Times New Roman" w:hAnsi="Times New Roman" w:cs="Times New Roman"/>
          <w:color w:val="auto"/>
          <w:szCs w:val="21"/>
          <w:lang w:eastAsia="zh-CN"/>
        </w:rPr>
        <w:t>DB12/524-2020</w:t>
      </w:r>
      <w:r>
        <w:rPr>
          <w:rFonts w:hint="default" w:ascii="Times New Roman" w:hAnsi="Times New Roman" w:cs="Times New Roman"/>
          <w:color w:val="auto"/>
          <w:szCs w:val="21"/>
        </w:rPr>
        <w:t>）VOCs有组织排放限值的浓度严于《大气污染物综合排放标准》（GB16297-1996）要求，因此有组织废气甲醇参照执行</w:t>
      </w:r>
      <w:r>
        <w:rPr>
          <w:rFonts w:hint="default" w:ascii="Times New Roman" w:hAnsi="Times New Roman" w:cs="Times New Roman"/>
          <w:color w:val="auto"/>
          <w:szCs w:val="21"/>
        </w:rPr>
        <w:fldChar w:fldCharType="begin"/>
      </w:r>
      <w:r>
        <w:rPr>
          <w:rFonts w:hint="default" w:ascii="Times New Roman" w:hAnsi="Times New Roman" w:cs="Times New Roman"/>
          <w:color w:val="auto"/>
          <w:szCs w:val="21"/>
        </w:rPr>
        <w:instrText xml:space="preserve"> HYPERLINK "http://www.baidu.com/link?url=NXEoRSGx3bx_0S32dIHhXZgX6hYj2TrGlqbEAJW4DDfbP-neScgzfZc-3bErtHxNqMgcHP0LGpVh9Sr5hoDHtcXGhsCC2zd3xFfTTLWt6gK" \t "https://www.baidu.com/_blank" </w:instrText>
      </w:r>
      <w:r>
        <w:rPr>
          <w:rFonts w:hint="default" w:ascii="Times New Roman" w:hAnsi="Times New Roman" w:cs="Times New Roman"/>
          <w:color w:val="auto"/>
          <w:szCs w:val="21"/>
        </w:rPr>
        <w:fldChar w:fldCharType="separate"/>
      </w:r>
      <w:r>
        <w:rPr>
          <w:rFonts w:hint="default" w:ascii="Times New Roman" w:hAnsi="Times New Roman" w:cs="Times New Roman"/>
          <w:color w:val="auto"/>
          <w:szCs w:val="21"/>
        </w:rPr>
        <w:t>《工业企业挥发性有机物排放控制标准</w:t>
      </w:r>
      <w:r>
        <w:rPr>
          <w:rFonts w:hint="default" w:ascii="Times New Roman" w:hAnsi="Times New Roman" w:cs="Times New Roman"/>
          <w:color w:val="auto"/>
          <w:szCs w:val="21"/>
        </w:rPr>
        <w:fldChar w:fldCharType="end"/>
      </w:r>
      <w:r>
        <w:rPr>
          <w:rFonts w:hint="default" w:ascii="Times New Roman" w:hAnsi="Times New Roman" w:cs="Times New Roman"/>
          <w:color w:val="auto"/>
          <w:szCs w:val="21"/>
        </w:rPr>
        <w:t>》（</w:t>
      </w:r>
      <w:r>
        <w:rPr>
          <w:rFonts w:hint="eastAsia" w:ascii="Times New Roman" w:hAnsi="Times New Roman" w:cs="Times New Roman"/>
          <w:color w:val="auto"/>
          <w:szCs w:val="21"/>
          <w:lang w:eastAsia="zh-CN"/>
        </w:rPr>
        <w:t>DB12/524-2020</w:t>
      </w:r>
      <w:r>
        <w:rPr>
          <w:rFonts w:hint="default" w:ascii="Times New Roman" w:hAnsi="Times New Roman" w:cs="Times New Roman"/>
          <w:color w:val="auto"/>
          <w:szCs w:val="21"/>
        </w:rPr>
        <w:t>）。</w:t>
      </w:r>
    </w:p>
    <w:p>
      <w:pPr>
        <w:spacing w:line="360" w:lineRule="auto"/>
        <w:ind w:firstLine="480" w:firstLineChars="200"/>
        <w:rPr>
          <w:rFonts w:ascii="Times New Roman" w:hAnsi="Times New Roman" w:cs="Times New Roman"/>
          <w:color w:val="auto"/>
          <w:sz w:val="24"/>
          <w:szCs w:val="24"/>
        </w:rPr>
      </w:pPr>
      <w:r>
        <w:rPr>
          <w:rFonts w:hint="default" w:ascii="Times New Roman" w:hAnsi="Times New Roman" w:cs="Times New Roman"/>
          <w:color w:val="auto"/>
          <w:sz w:val="24"/>
          <w:szCs w:val="24"/>
        </w:rPr>
        <w:t>工艺过程其他废气（氨气、苯酚、甲醛）有组织排放执行《合成树脂工业污染物排放标准》（GB31572-2015）中表</w:t>
      </w:r>
      <w:r>
        <w:rPr>
          <w:rFonts w:hint="eastAsia" w:ascii="Times New Roman" w:hAnsi="Times New Roman" w:cs="Times New Roman"/>
          <w:color w:val="auto"/>
          <w:sz w:val="24"/>
          <w:szCs w:val="24"/>
          <w:lang w:val="en-US" w:eastAsia="zh-CN"/>
        </w:rPr>
        <w:t>5</w:t>
      </w:r>
      <w:r>
        <w:rPr>
          <w:rFonts w:hint="default" w:ascii="Times New Roman" w:hAnsi="Times New Roman" w:cs="Times New Roman"/>
          <w:color w:val="auto"/>
          <w:sz w:val="24"/>
          <w:szCs w:val="24"/>
        </w:rPr>
        <w:t>大气污染物</w:t>
      </w:r>
      <w:r>
        <w:rPr>
          <w:rFonts w:hint="eastAsia" w:ascii="Times New Roman" w:hAnsi="Times New Roman" w:cs="Times New Roman"/>
          <w:color w:val="auto"/>
          <w:sz w:val="24"/>
          <w:szCs w:val="24"/>
          <w:lang w:val="en-US" w:eastAsia="zh-CN"/>
        </w:rPr>
        <w:t>特别</w:t>
      </w:r>
      <w:r>
        <w:rPr>
          <w:rFonts w:hint="default" w:ascii="Times New Roman" w:hAnsi="Times New Roman" w:cs="Times New Roman"/>
          <w:color w:val="auto"/>
          <w:sz w:val="24"/>
          <w:szCs w:val="24"/>
        </w:rPr>
        <w:t>排放限值，具体标准限值见表</w:t>
      </w:r>
      <w:r>
        <w:rPr>
          <w:rFonts w:hint="eastAsia" w:ascii="Times New Roman" w:hAnsi="Times New Roman" w:cs="Times New Roman"/>
          <w:color w:val="auto"/>
          <w:sz w:val="24"/>
          <w:szCs w:val="24"/>
          <w:lang w:eastAsia="zh-CN"/>
        </w:rPr>
        <w:t>6</w:t>
      </w:r>
      <w:r>
        <w:rPr>
          <w:rFonts w:hint="eastAsia" w:ascii="Times New Roman" w:hAnsi="Times New Roman" w:cs="Times New Roman"/>
          <w:color w:val="auto"/>
          <w:sz w:val="24"/>
          <w:szCs w:val="24"/>
          <w:lang w:val="en-US" w:eastAsia="zh-CN"/>
        </w:rPr>
        <w:t>.1-2</w:t>
      </w:r>
      <w:r>
        <w:rPr>
          <w:rFonts w:hint="default" w:ascii="Times New Roman" w:hAnsi="Times New Roman" w:cs="Times New Roman"/>
          <w:color w:val="auto"/>
          <w:sz w:val="24"/>
          <w:szCs w:val="24"/>
        </w:rPr>
        <w:t>。</w:t>
      </w:r>
    </w:p>
    <w:p>
      <w:pPr>
        <w:adjustRightInd w:val="0"/>
        <w:snapToGrid w:val="0"/>
        <w:spacing w:line="271" w:lineRule="auto"/>
        <w:jc w:val="center"/>
        <w:rPr>
          <w:rFonts w:ascii="Times New Roman" w:hAnsi="Times New Roman" w:cs="Times New Roman"/>
          <w:b/>
          <w:color w:val="auto"/>
        </w:rPr>
      </w:pPr>
      <w:r>
        <w:rPr>
          <w:rFonts w:hint="default" w:ascii="Times New Roman" w:hAnsi="Times New Roman" w:cs="Times New Roman"/>
          <w:b/>
          <w:color w:val="auto"/>
        </w:rPr>
        <w:t>表</w:t>
      </w:r>
      <w:r>
        <w:rPr>
          <w:rFonts w:hint="eastAsia" w:ascii="Times New Roman" w:hAnsi="Times New Roman" w:cs="Times New Roman"/>
          <w:b/>
          <w:color w:val="auto"/>
          <w:lang w:eastAsia="zh-CN"/>
        </w:rPr>
        <w:t>6</w:t>
      </w:r>
      <w:r>
        <w:rPr>
          <w:rFonts w:hint="eastAsia" w:ascii="Times New Roman" w:hAnsi="Times New Roman" w:cs="Times New Roman"/>
          <w:b/>
          <w:color w:val="auto"/>
          <w:lang w:val="en-US" w:eastAsia="zh-CN"/>
        </w:rPr>
        <w:t>.1-2</w:t>
      </w:r>
      <w:r>
        <w:rPr>
          <w:rFonts w:hint="default" w:ascii="Times New Roman" w:hAnsi="Times New Roman" w:cs="Times New Roman"/>
          <w:b/>
          <w:color w:val="auto"/>
        </w:rPr>
        <w:t xml:space="preserve">   《合成树脂工业污染物排放标准》（GB31572-2015）</w:t>
      </w:r>
    </w:p>
    <w:tbl>
      <w:tblPr>
        <w:tblStyle w:val="28"/>
        <w:tblW w:w="9004"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085"/>
        <w:gridCol w:w="2410"/>
        <w:gridCol w:w="350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085" w:type="dxa"/>
            <w:vAlign w:val="center"/>
          </w:tcPr>
          <w:p>
            <w:pPr>
              <w:adjustRightInd w:val="0"/>
              <w:snapToGrid w:val="0"/>
              <w:jc w:val="center"/>
              <w:rPr>
                <w:rFonts w:ascii="Times New Roman" w:hAnsi="Times New Roman" w:cs="Times New Roman"/>
                <w:color w:val="auto"/>
              </w:rPr>
            </w:pPr>
            <w:r>
              <w:rPr>
                <w:rFonts w:hint="default" w:ascii="Times New Roman" w:hAnsi="Times New Roman" w:cs="Times New Roman"/>
                <w:color w:val="auto"/>
              </w:rPr>
              <w:t>污染物项目</w:t>
            </w:r>
          </w:p>
        </w:tc>
        <w:tc>
          <w:tcPr>
            <w:tcW w:w="2410" w:type="dxa"/>
            <w:vAlign w:val="center"/>
          </w:tcPr>
          <w:p>
            <w:pPr>
              <w:adjustRightInd w:val="0"/>
              <w:snapToGrid w:val="0"/>
              <w:jc w:val="center"/>
              <w:rPr>
                <w:rFonts w:ascii="Times New Roman" w:hAnsi="Times New Roman" w:cs="Times New Roman"/>
                <w:color w:val="auto"/>
              </w:rPr>
            </w:pPr>
            <w:r>
              <w:rPr>
                <w:rFonts w:hint="default" w:ascii="Times New Roman" w:hAnsi="Times New Roman" w:cs="Times New Roman"/>
                <w:color w:val="auto"/>
              </w:rPr>
              <w:t>排放限值</w:t>
            </w:r>
          </w:p>
        </w:tc>
        <w:tc>
          <w:tcPr>
            <w:tcW w:w="3509" w:type="dxa"/>
            <w:vAlign w:val="center"/>
          </w:tcPr>
          <w:p>
            <w:pPr>
              <w:adjustRightInd w:val="0"/>
              <w:snapToGrid w:val="0"/>
              <w:jc w:val="center"/>
              <w:rPr>
                <w:rFonts w:ascii="Times New Roman" w:hAnsi="Times New Roman" w:cs="Times New Roman"/>
                <w:color w:val="auto"/>
              </w:rPr>
            </w:pPr>
            <w:r>
              <w:rPr>
                <w:rFonts w:hint="default" w:ascii="Times New Roman" w:hAnsi="Times New Roman" w:cs="Times New Roman"/>
                <w:color w:val="auto"/>
              </w:rPr>
              <w:t>污染物排放监控位置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40" w:hRule="atLeast"/>
        </w:trPr>
        <w:tc>
          <w:tcPr>
            <w:tcW w:w="3085" w:type="dxa"/>
            <w:vAlign w:val="center"/>
          </w:tcPr>
          <w:p>
            <w:pPr>
              <w:adjustRightInd w:val="0"/>
              <w:snapToGrid w:val="0"/>
              <w:jc w:val="center"/>
              <w:rPr>
                <w:rFonts w:ascii="Times New Roman" w:hAnsi="Times New Roman" w:cs="Times New Roman"/>
                <w:color w:val="auto"/>
              </w:rPr>
            </w:pPr>
            <w:r>
              <w:rPr>
                <w:rFonts w:hint="default" w:ascii="Times New Roman" w:hAnsi="Times New Roman" w:cs="Times New Roman"/>
                <w:color w:val="auto"/>
              </w:rPr>
              <w:t>氨气</w:t>
            </w:r>
          </w:p>
        </w:tc>
        <w:tc>
          <w:tcPr>
            <w:tcW w:w="2410" w:type="dxa"/>
            <w:vAlign w:val="center"/>
          </w:tcPr>
          <w:p>
            <w:pPr>
              <w:adjustRightInd w:val="0"/>
              <w:snapToGrid w:val="0"/>
              <w:jc w:val="center"/>
              <w:rPr>
                <w:rFonts w:ascii="Times New Roman" w:hAnsi="Times New Roman" w:cs="Times New Roman"/>
                <w:color w:val="auto"/>
              </w:rPr>
            </w:pPr>
            <w:r>
              <w:rPr>
                <w:rFonts w:hint="default" w:ascii="Times New Roman" w:hAnsi="Times New Roman" w:cs="Times New Roman"/>
                <w:color w:val="auto"/>
              </w:rPr>
              <w:t>30mg/m</w:t>
            </w:r>
            <w:r>
              <w:rPr>
                <w:rFonts w:hint="default" w:ascii="Times New Roman" w:hAnsi="Times New Roman" w:cs="Times New Roman"/>
                <w:color w:val="auto"/>
                <w:vertAlign w:val="superscript"/>
              </w:rPr>
              <w:t>3</w:t>
            </w:r>
          </w:p>
        </w:tc>
        <w:tc>
          <w:tcPr>
            <w:tcW w:w="3509" w:type="dxa"/>
            <w:vMerge w:val="restart"/>
            <w:vAlign w:val="center"/>
          </w:tcPr>
          <w:p>
            <w:pPr>
              <w:adjustRightInd w:val="0"/>
              <w:snapToGrid w:val="0"/>
              <w:jc w:val="center"/>
              <w:rPr>
                <w:rFonts w:ascii="Times New Roman" w:hAnsi="Times New Roman" w:cs="Times New Roman"/>
                <w:color w:val="auto"/>
              </w:rPr>
            </w:pPr>
            <w:r>
              <w:rPr>
                <w:rFonts w:hint="default" w:ascii="Times New Roman" w:hAnsi="Times New Roman" w:cs="Times New Roman"/>
                <w:color w:val="auto"/>
              </w:rPr>
              <w:t>车间或生产设施排气筒</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085" w:type="dxa"/>
            <w:vAlign w:val="center"/>
          </w:tcPr>
          <w:p>
            <w:pPr>
              <w:adjustRightInd w:val="0"/>
              <w:snapToGrid w:val="0"/>
              <w:jc w:val="center"/>
              <w:rPr>
                <w:rFonts w:ascii="Times New Roman" w:hAnsi="Times New Roman" w:cs="Times New Roman"/>
                <w:color w:val="auto"/>
              </w:rPr>
            </w:pPr>
            <w:r>
              <w:rPr>
                <w:rFonts w:hint="default" w:ascii="Times New Roman" w:hAnsi="Times New Roman" w:cs="Times New Roman"/>
                <w:color w:val="auto"/>
              </w:rPr>
              <w:t>苯酚（以酚类计）</w:t>
            </w:r>
          </w:p>
        </w:tc>
        <w:tc>
          <w:tcPr>
            <w:tcW w:w="2410" w:type="dxa"/>
            <w:vAlign w:val="center"/>
          </w:tcPr>
          <w:p>
            <w:pPr>
              <w:adjustRightInd w:val="0"/>
              <w:snapToGrid w:val="0"/>
              <w:jc w:val="center"/>
              <w:rPr>
                <w:rFonts w:ascii="Times New Roman" w:hAnsi="Times New Roman" w:cs="Times New Roman"/>
                <w:color w:val="auto"/>
              </w:rPr>
            </w:pPr>
            <w:r>
              <w:rPr>
                <w:rFonts w:hint="eastAsia" w:ascii="Times New Roman" w:hAnsi="Times New Roman" w:cs="Times New Roman"/>
                <w:color w:val="auto"/>
                <w:lang w:val="en-US" w:eastAsia="zh-CN"/>
              </w:rPr>
              <w:t>15</w:t>
            </w:r>
            <w:r>
              <w:rPr>
                <w:rFonts w:hint="default" w:ascii="Times New Roman" w:hAnsi="Times New Roman" w:cs="Times New Roman"/>
                <w:color w:val="auto"/>
              </w:rPr>
              <w:t>mg/m</w:t>
            </w:r>
            <w:r>
              <w:rPr>
                <w:rFonts w:hint="default" w:ascii="Times New Roman" w:hAnsi="Times New Roman" w:cs="Times New Roman"/>
                <w:color w:val="auto"/>
                <w:vertAlign w:val="superscript"/>
              </w:rPr>
              <w:t>3</w:t>
            </w:r>
          </w:p>
        </w:tc>
        <w:tc>
          <w:tcPr>
            <w:tcW w:w="3509" w:type="dxa"/>
            <w:vMerge w:val="continue"/>
            <w:vAlign w:val="center"/>
          </w:tcPr>
          <w:p>
            <w:pPr>
              <w:adjustRightInd w:val="0"/>
              <w:snapToGrid w:val="0"/>
              <w:jc w:val="center"/>
              <w:rPr>
                <w:rFonts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085" w:type="dxa"/>
            <w:vAlign w:val="center"/>
          </w:tcPr>
          <w:p>
            <w:pPr>
              <w:adjustRightInd w:val="0"/>
              <w:snapToGrid w:val="0"/>
              <w:jc w:val="center"/>
              <w:rPr>
                <w:rFonts w:ascii="Times New Roman" w:hAnsi="Times New Roman" w:cs="Times New Roman"/>
                <w:color w:val="auto"/>
              </w:rPr>
            </w:pPr>
            <w:r>
              <w:rPr>
                <w:rFonts w:hint="default" w:ascii="Times New Roman" w:hAnsi="Times New Roman" w:cs="Times New Roman"/>
                <w:color w:val="auto"/>
              </w:rPr>
              <w:t>甲醛</w:t>
            </w:r>
          </w:p>
        </w:tc>
        <w:tc>
          <w:tcPr>
            <w:tcW w:w="2410" w:type="dxa"/>
            <w:vAlign w:val="center"/>
          </w:tcPr>
          <w:p>
            <w:pPr>
              <w:adjustRightInd w:val="0"/>
              <w:snapToGrid w:val="0"/>
              <w:jc w:val="center"/>
              <w:rPr>
                <w:rFonts w:ascii="Times New Roman" w:hAnsi="Times New Roman" w:cs="Times New Roman"/>
                <w:color w:val="auto"/>
              </w:rPr>
            </w:pPr>
            <w:r>
              <w:rPr>
                <w:rFonts w:hint="default" w:ascii="Times New Roman" w:hAnsi="Times New Roman" w:cs="Times New Roman"/>
                <w:color w:val="auto"/>
              </w:rPr>
              <w:t>5.0mg/m</w:t>
            </w:r>
            <w:r>
              <w:rPr>
                <w:rFonts w:hint="default" w:ascii="Times New Roman" w:hAnsi="Times New Roman" w:cs="Times New Roman"/>
                <w:color w:val="auto"/>
                <w:vertAlign w:val="superscript"/>
              </w:rPr>
              <w:t>3</w:t>
            </w:r>
          </w:p>
        </w:tc>
        <w:tc>
          <w:tcPr>
            <w:tcW w:w="3509" w:type="dxa"/>
            <w:vMerge w:val="continue"/>
            <w:vAlign w:val="center"/>
          </w:tcPr>
          <w:p>
            <w:pPr>
              <w:adjustRightInd w:val="0"/>
              <w:snapToGrid w:val="0"/>
              <w:jc w:val="center"/>
              <w:rPr>
                <w:rFonts w:ascii="Times New Roman" w:hAnsi="Times New Roman" w:cs="Times New Roman"/>
                <w:color w:val="auto"/>
              </w:rPr>
            </w:pPr>
          </w:p>
        </w:tc>
      </w:tr>
    </w:tbl>
    <w:p>
      <w:pPr>
        <w:spacing w:line="360" w:lineRule="auto"/>
        <w:ind w:firstLine="480" w:firstLineChars="200"/>
        <w:rPr>
          <w:rFonts w:ascii="Times New Roman" w:hAnsi="Times New Roman" w:cs="Times New Roman"/>
          <w:color w:val="auto"/>
          <w:sz w:val="24"/>
          <w:szCs w:val="24"/>
        </w:rPr>
      </w:pPr>
      <w:r>
        <w:rPr>
          <w:rFonts w:hint="default" w:ascii="Times New Roman" w:hAnsi="Times New Roman" w:cs="Times New Roman"/>
          <w:color w:val="auto"/>
          <w:sz w:val="24"/>
          <w:szCs w:val="24"/>
        </w:rPr>
        <w:t>甲醛、酚类、甲醇均属于VOCs范畴，厂区内VOCs无组织排放执行《挥发性有机物无组织排放控制标准》（GB37822-2019）中表A1厂区内VOCs无组织排放限值，具体标准限值见表</w:t>
      </w:r>
      <w:r>
        <w:rPr>
          <w:rFonts w:hint="eastAsia" w:ascii="Times New Roman" w:hAnsi="Times New Roman" w:cs="Times New Roman"/>
          <w:color w:val="auto"/>
          <w:sz w:val="24"/>
          <w:szCs w:val="24"/>
          <w:lang w:eastAsia="zh-CN"/>
        </w:rPr>
        <w:t>6</w:t>
      </w:r>
      <w:r>
        <w:rPr>
          <w:rFonts w:hint="eastAsia" w:ascii="Times New Roman" w:hAnsi="Times New Roman" w:cs="Times New Roman"/>
          <w:color w:val="auto"/>
          <w:sz w:val="24"/>
          <w:szCs w:val="24"/>
          <w:lang w:val="en-US" w:eastAsia="zh-CN"/>
        </w:rPr>
        <w:t>.1-3</w:t>
      </w:r>
      <w:r>
        <w:rPr>
          <w:rFonts w:hint="default" w:ascii="Times New Roman" w:hAnsi="Times New Roman" w:cs="Times New Roman"/>
          <w:color w:val="auto"/>
          <w:sz w:val="24"/>
          <w:szCs w:val="24"/>
        </w:rPr>
        <w:t>。</w:t>
      </w:r>
    </w:p>
    <w:p>
      <w:pPr>
        <w:adjustRightInd w:val="0"/>
        <w:snapToGrid w:val="0"/>
        <w:spacing w:line="271" w:lineRule="auto"/>
        <w:jc w:val="center"/>
        <w:rPr>
          <w:rFonts w:ascii="Times New Roman" w:hAnsi="Times New Roman" w:cs="Times New Roman"/>
          <w:b/>
          <w:color w:val="auto"/>
          <w:szCs w:val="21"/>
        </w:rPr>
      </w:pPr>
      <w:r>
        <w:rPr>
          <w:rFonts w:hint="default" w:ascii="Times New Roman" w:hAnsi="Times New Roman" w:cs="Times New Roman"/>
          <w:b/>
          <w:color w:val="auto"/>
          <w:szCs w:val="21"/>
        </w:rPr>
        <w:t>表</w:t>
      </w:r>
      <w:r>
        <w:rPr>
          <w:rFonts w:hint="eastAsia" w:ascii="Times New Roman" w:hAnsi="Times New Roman" w:cs="Times New Roman"/>
          <w:b/>
          <w:color w:val="auto"/>
          <w:szCs w:val="21"/>
          <w:lang w:eastAsia="zh-CN"/>
        </w:rPr>
        <w:t>6</w:t>
      </w:r>
      <w:r>
        <w:rPr>
          <w:rFonts w:hint="eastAsia" w:ascii="Times New Roman" w:hAnsi="Times New Roman" w:cs="Times New Roman"/>
          <w:b/>
          <w:color w:val="auto"/>
          <w:szCs w:val="21"/>
          <w:lang w:val="en-US" w:eastAsia="zh-CN"/>
        </w:rPr>
        <w:t>.1-3</w:t>
      </w:r>
      <w:r>
        <w:rPr>
          <w:rFonts w:hint="default" w:ascii="Times New Roman" w:hAnsi="Times New Roman" w:cs="Times New Roman"/>
          <w:b/>
          <w:color w:val="auto"/>
          <w:szCs w:val="21"/>
        </w:rPr>
        <w:t xml:space="preserve">   </w:t>
      </w:r>
      <w:r>
        <w:rPr>
          <w:rFonts w:hint="default" w:ascii="Times New Roman" w:hAnsi="Times New Roman" w:cs="Times New Roman"/>
          <w:b/>
          <w:color w:val="auto"/>
          <w:spacing w:val="6"/>
          <w:szCs w:val="21"/>
        </w:rPr>
        <w:t>《挥发性有机物无组织排放控制标准》（GB37822-2019）</w:t>
      </w:r>
      <w:r>
        <w:rPr>
          <w:rFonts w:hint="default" w:ascii="Times New Roman" w:hAnsi="Times New Roman" w:cs="Times New Roman"/>
          <w:b/>
          <w:color w:val="auto"/>
          <w:szCs w:val="21"/>
        </w:rPr>
        <w:t>（摘录）</w:t>
      </w:r>
    </w:p>
    <w:tbl>
      <w:tblPr>
        <w:tblStyle w:val="2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526"/>
        <w:gridCol w:w="1984"/>
        <w:gridCol w:w="3243"/>
        <w:gridCol w:w="225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26" w:type="dxa"/>
            <w:vAlign w:val="center"/>
          </w:tcPr>
          <w:p>
            <w:pPr>
              <w:adjustRightInd w:val="0"/>
              <w:snapToGrid w:val="0"/>
              <w:ind w:left="420" w:leftChars="200"/>
              <w:jc w:val="center"/>
              <w:rPr>
                <w:rFonts w:ascii="Times New Roman" w:hAnsi="Times New Roman" w:cs="Times New Roman"/>
                <w:color w:val="auto"/>
                <w:szCs w:val="21"/>
              </w:rPr>
            </w:pPr>
            <w:r>
              <w:rPr>
                <w:rFonts w:hint="default" w:ascii="Times New Roman" w:hAnsi="Times New Roman" w:cs="Times New Roman"/>
                <w:color w:val="auto"/>
                <w:szCs w:val="21"/>
              </w:rPr>
              <w:t>污染物项目</w:t>
            </w:r>
          </w:p>
        </w:tc>
        <w:tc>
          <w:tcPr>
            <w:tcW w:w="1984" w:type="dxa"/>
            <w:vAlign w:val="center"/>
          </w:tcPr>
          <w:p>
            <w:pPr>
              <w:adjustRightInd w:val="0"/>
              <w:snapToGrid w:val="0"/>
              <w:ind w:left="420" w:leftChars="200"/>
              <w:jc w:val="center"/>
              <w:rPr>
                <w:rFonts w:ascii="Times New Roman" w:hAnsi="Times New Roman" w:cs="Times New Roman"/>
                <w:color w:val="auto"/>
                <w:szCs w:val="21"/>
              </w:rPr>
            </w:pPr>
            <w:r>
              <w:rPr>
                <w:rFonts w:hint="default" w:ascii="Times New Roman" w:hAnsi="Times New Roman" w:cs="Times New Roman"/>
                <w:color w:val="auto"/>
                <w:szCs w:val="21"/>
              </w:rPr>
              <w:t>排放限值</w:t>
            </w:r>
          </w:p>
        </w:tc>
        <w:tc>
          <w:tcPr>
            <w:tcW w:w="3243" w:type="dxa"/>
            <w:vAlign w:val="center"/>
          </w:tcPr>
          <w:p>
            <w:pPr>
              <w:adjustRightInd w:val="0"/>
              <w:snapToGrid w:val="0"/>
              <w:ind w:left="420" w:leftChars="200"/>
              <w:jc w:val="center"/>
              <w:rPr>
                <w:rFonts w:ascii="Times New Roman" w:hAnsi="Times New Roman" w:cs="Times New Roman"/>
                <w:color w:val="auto"/>
                <w:szCs w:val="21"/>
              </w:rPr>
            </w:pPr>
            <w:r>
              <w:rPr>
                <w:rFonts w:hint="default" w:ascii="Times New Roman" w:hAnsi="Times New Roman" w:cs="Times New Roman"/>
                <w:color w:val="auto"/>
                <w:szCs w:val="21"/>
              </w:rPr>
              <w:t>限值含义</w:t>
            </w:r>
          </w:p>
        </w:tc>
        <w:tc>
          <w:tcPr>
            <w:tcW w:w="2251" w:type="dxa"/>
            <w:vAlign w:val="center"/>
          </w:tcPr>
          <w:p>
            <w:pPr>
              <w:adjustRightInd w:val="0"/>
              <w:snapToGrid w:val="0"/>
              <w:ind w:left="420" w:leftChars="200"/>
              <w:jc w:val="center"/>
              <w:rPr>
                <w:rFonts w:ascii="Times New Roman" w:hAnsi="Times New Roman" w:cs="Times New Roman"/>
                <w:color w:val="auto"/>
                <w:szCs w:val="21"/>
              </w:rPr>
            </w:pPr>
            <w:r>
              <w:rPr>
                <w:rFonts w:hint="default" w:ascii="Times New Roman" w:hAnsi="Times New Roman" w:cs="Times New Roman"/>
                <w:color w:val="auto"/>
                <w:szCs w:val="21"/>
              </w:rPr>
              <w:t>无组织排放监控位置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26" w:type="dxa"/>
            <w:vMerge w:val="restart"/>
            <w:vAlign w:val="center"/>
          </w:tcPr>
          <w:p>
            <w:pPr>
              <w:adjustRightInd w:val="0"/>
              <w:snapToGrid w:val="0"/>
              <w:ind w:left="420" w:leftChars="200"/>
              <w:jc w:val="center"/>
              <w:rPr>
                <w:rFonts w:ascii="Times New Roman" w:hAnsi="Times New Roman" w:cs="Times New Roman"/>
                <w:color w:val="auto"/>
                <w:szCs w:val="21"/>
              </w:rPr>
            </w:pPr>
            <w:r>
              <w:rPr>
                <w:rFonts w:hint="default" w:ascii="Times New Roman" w:hAnsi="Times New Roman" w:cs="Times New Roman"/>
                <w:color w:val="auto"/>
                <w:szCs w:val="21"/>
              </w:rPr>
              <w:t>NMHC</w:t>
            </w:r>
          </w:p>
        </w:tc>
        <w:tc>
          <w:tcPr>
            <w:tcW w:w="1984" w:type="dxa"/>
            <w:vAlign w:val="center"/>
          </w:tcPr>
          <w:p>
            <w:pPr>
              <w:adjustRightInd w:val="0"/>
              <w:snapToGrid w:val="0"/>
              <w:ind w:left="420" w:leftChars="200"/>
              <w:jc w:val="center"/>
              <w:rPr>
                <w:rFonts w:ascii="Times New Roman" w:hAnsi="Times New Roman" w:cs="Times New Roman"/>
                <w:color w:val="auto"/>
                <w:szCs w:val="21"/>
              </w:rPr>
            </w:pPr>
            <w:r>
              <w:rPr>
                <w:rFonts w:hint="default" w:ascii="Times New Roman" w:hAnsi="Times New Roman" w:cs="Times New Roman"/>
                <w:color w:val="auto"/>
                <w:szCs w:val="21"/>
              </w:rPr>
              <w:t>10</w:t>
            </w:r>
            <w:r>
              <w:rPr>
                <w:rFonts w:ascii="Times New Roman" w:hAnsi="Times New Roman" w:cs="Times New Roman"/>
                <w:color w:val="auto"/>
                <w:szCs w:val="21"/>
              </w:rPr>
              <w:t>(mg/m</w:t>
            </w:r>
            <w:r>
              <w:rPr>
                <w:rFonts w:ascii="Times New Roman" w:hAnsi="Times New Roman" w:cs="Times New Roman"/>
                <w:color w:val="auto"/>
                <w:szCs w:val="21"/>
                <w:vertAlign w:val="superscript"/>
              </w:rPr>
              <w:t>3</w:t>
            </w:r>
            <w:r>
              <w:rPr>
                <w:rFonts w:ascii="Times New Roman" w:hAnsi="Times New Roman" w:cs="Times New Roman"/>
                <w:color w:val="auto"/>
                <w:szCs w:val="21"/>
              </w:rPr>
              <w:t>)</w:t>
            </w:r>
          </w:p>
        </w:tc>
        <w:tc>
          <w:tcPr>
            <w:tcW w:w="3243" w:type="dxa"/>
            <w:vAlign w:val="center"/>
          </w:tcPr>
          <w:p>
            <w:pPr>
              <w:adjustRightInd w:val="0"/>
              <w:snapToGrid w:val="0"/>
              <w:ind w:left="420" w:leftChars="200"/>
              <w:jc w:val="center"/>
              <w:rPr>
                <w:rFonts w:ascii="Times New Roman" w:hAnsi="Times New Roman" w:cs="Times New Roman"/>
                <w:color w:val="auto"/>
                <w:szCs w:val="21"/>
              </w:rPr>
            </w:pPr>
            <w:r>
              <w:rPr>
                <w:rFonts w:hint="default" w:ascii="Times New Roman" w:hAnsi="Times New Roman" w:cs="Times New Roman"/>
                <w:color w:val="auto"/>
                <w:szCs w:val="21"/>
              </w:rPr>
              <w:t>监控点处1h平均浓度限值</w:t>
            </w:r>
          </w:p>
        </w:tc>
        <w:tc>
          <w:tcPr>
            <w:tcW w:w="2251" w:type="dxa"/>
            <w:vMerge w:val="restart"/>
            <w:vAlign w:val="center"/>
          </w:tcPr>
          <w:p>
            <w:pPr>
              <w:adjustRightInd w:val="0"/>
              <w:snapToGrid w:val="0"/>
              <w:ind w:left="420" w:leftChars="200"/>
              <w:jc w:val="center"/>
              <w:rPr>
                <w:rFonts w:ascii="Times New Roman" w:hAnsi="Times New Roman" w:cs="Times New Roman"/>
                <w:color w:val="auto"/>
                <w:szCs w:val="21"/>
              </w:rPr>
            </w:pPr>
            <w:r>
              <w:rPr>
                <w:rFonts w:hint="default" w:ascii="Times New Roman" w:hAnsi="Times New Roman" w:cs="Times New Roman"/>
                <w:color w:val="auto"/>
                <w:szCs w:val="21"/>
              </w:rPr>
              <w:t>厂房外设置监控点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26" w:type="dxa"/>
            <w:vMerge w:val="continue"/>
            <w:vAlign w:val="center"/>
          </w:tcPr>
          <w:p>
            <w:pPr>
              <w:pStyle w:val="9"/>
              <w:ind w:firstLine="0"/>
              <w:jc w:val="center"/>
              <w:rPr>
                <w:rFonts w:ascii="Times New Roman" w:hAnsi="Times New Roman" w:cs="Times New Roman"/>
                <w:color w:val="auto"/>
                <w:sz w:val="21"/>
                <w:szCs w:val="21"/>
              </w:rPr>
            </w:pPr>
          </w:p>
        </w:tc>
        <w:tc>
          <w:tcPr>
            <w:tcW w:w="1984" w:type="dxa"/>
            <w:vAlign w:val="center"/>
          </w:tcPr>
          <w:p>
            <w:pPr>
              <w:adjustRightInd w:val="0"/>
              <w:snapToGrid w:val="0"/>
              <w:ind w:left="420" w:leftChars="200"/>
              <w:jc w:val="center"/>
              <w:rPr>
                <w:rFonts w:ascii="Times New Roman" w:hAnsi="Times New Roman" w:cs="Times New Roman"/>
                <w:color w:val="auto"/>
                <w:szCs w:val="21"/>
              </w:rPr>
            </w:pPr>
            <w:r>
              <w:rPr>
                <w:rFonts w:hint="default" w:ascii="Times New Roman" w:hAnsi="Times New Roman" w:cs="Times New Roman"/>
                <w:color w:val="auto"/>
                <w:szCs w:val="21"/>
              </w:rPr>
              <w:t>30(mg/m</w:t>
            </w:r>
            <w:r>
              <w:rPr>
                <w:rFonts w:hint="default" w:ascii="Times New Roman" w:hAnsi="Times New Roman" w:cs="Times New Roman"/>
                <w:color w:val="auto"/>
                <w:szCs w:val="21"/>
                <w:vertAlign w:val="superscript"/>
              </w:rPr>
              <w:t>3</w:t>
            </w:r>
            <w:r>
              <w:rPr>
                <w:rFonts w:hint="default" w:ascii="Times New Roman" w:hAnsi="Times New Roman" w:cs="Times New Roman"/>
                <w:color w:val="auto"/>
                <w:szCs w:val="21"/>
              </w:rPr>
              <w:t>)</w:t>
            </w:r>
          </w:p>
        </w:tc>
        <w:tc>
          <w:tcPr>
            <w:tcW w:w="3243" w:type="dxa"/>
            <w:vAlign w:val="center"/>
          </w:tcPr>
          <w:p>
            <w:pPr>
              <w:adjustRightInd w:val="0"/>
              <w:snapToGrid w:val="0"/>
              <w:ind w:left="420" w:leftChars="200"/>
              <w:jc w:val="center"/>
              <w:rPr>
                <w:rFonts w:ascii="Times New Roman" w:hAnsi="Times New Roman" w:cs="Times New Roman"/>
                <w:color w:val="auto"/>
                <w:szCs w:val="21"/>
              </w:rPr>
            </w:pPr>
            <w:r>
              <w:rPr>
                <w:rFonts w:hint="default" w:ascii="Times New Roman" w:hAnsi="Times New Roman" w:cs="Times New Roman"/>
                <w:color w:val="auto"/>
                <w:szCs w:val="21"/>
              </w:rPr>
              <w:t>监控点处任意一次浓度限值</w:t>
            </w:r>
          </w:p>
        </w:tc>
        <w:tc>
          <w:tcPr>
            <w:tcW w:w="2251" w:type="dxa"/>
            <w:vMerge w:val="continue"/>
            <w:vAlign w:val="center"/>
          </w:tcPr>
          <w:p>
            <w:pPr>
              <w:pStyle w:val="9"/>
              <w:ind w:firstLine="0"/>
              <w:jc w:val="center"/>
              <w:rPr>
                <w:rFonts w:ascii="Times New Roman" w:hAnsi="Times New Roman" w:cs="Times New Roman"/>
                <w:color w:val="auto"/>
                <w:sz w:val="21"/>
                <w:szCs w:val="21"/>
              </w:rPr>
            </w:pPr>
          </w:p>
        </w:tc>
      </w:tr>
    </w:tbl>
    <w:p>
      <w:pPr>
        <w:spacing w:line="360" w:lineRule="auto"/>
        <w:ind w:firstLine="480" w:firstLineChars="200"/>
        <w:rPr>
          <w:rFonts w:ascii="Times New Roman" w:hAnsi="Times New Roman" w:cs="Times New Roman"/>
          <w:color w:val="auto"/>
          <w:sz w:val="24"/>
          <w:szCs w:val="24"/>
        </w:rPr>
      </w:pPr>
      <w:r>
        <w:rPr>
          <w:rFonts w:hint="default" w:ascii="Times New Roman" w:hAnsi="Times New Roman" w:cs="Times New Roman"/>
          <w:color w:val="auto"/>
          <w:sz w:val="24"/>
          <w:szCs w:val="24"/>
        </w:rPr>
        <w:t>污水处理站废气氨气、硫化氢、臭气浓度排放执行《恶臭污染物排放标准》（GB14554-93）中恶臭污染物排放标准值，具体标准限值详见表</w:t>
      </w:r>
      <w:r>
        <w:rPr>
          <w:rFonts w:hint="eastAsia" w:ascii="Times New Roman" w:hAnsi="Times New Roman" w:cs="Times New Roman"/>
          <w:color w:val="auto"/>
          <w:sz w:val="24"/>
          <w:szCs w:val="24"/>
          <w:lang w:eastAsia="zh-CN"/>
        </w:rPr>
        <w:t>6</w:t>
      </w:r>
      <w:r>
        <w:rPr>
          <w:rFonts w:hint="eastAsia" w:ascii="Times New Roman" w:hAnsi="Times New Roman" w:cs="Times New Roman"/>
          <w:color w:val="auto"/>
          <w:sz w:val="24"/>
          <w:szCs w:val="24"/>
          <w:lang w:val="en-US" w:eastAsia="zh-CN"/>
        </w:rPr>
        <w:t>.1-4</w:t>
      </w:r>
      <w:r>
        <w:rPr>
          <w:rFonts w:hint="default" w:ascii="Times New Roman" w:hAnsi="Times New Roman" w:cs="Times New Roman"/>
          <w:color w:val="auto"/>
          <w:sz w:val="24"/>
          <w:szCs w:val="24"/>
        </w:rPr>
        <w:t>。</w:t>
      </w:r>
    </w:p>
    <w:p>
      <w:pPr>
        <w:adjustRightInd w:val="0"/>
        <w:snapToGrid w:val="0"/>
        <w:spacing w:line="271" w:lineRule="auto"/>
        <w:jc w:val="center"/>
        <w:rPr>
          <w:rFonts w:ascii="Times New Roman" w:hAnsi="Times New Roman" w:cs="Times New Roman"/>
          <w:b/>
          <w:color w:val="auto"/>
          <w:spacing w:val="6"/>
        </w:rPr>
      </w:pPr>
      <w:r>
        <w:rPr>
          <w:rFonts w:hint="default" w:ascii="Times New Roman" w:hAnsi="Times New Roman" w:cs="Times New Roman"/>
          <w:b/>
          <w:color w:val="auto"/>
          <w:spacing w:val="6"/>
        </w:rPr>
        <w:t>表</w:t>
      </w:r>
      <w:r>
        <w:rPr>
          <w:rFonts w:hint="eastAsia" w:ascii="Times New Roman" w:hAnsi="Times New Roman" w:cs="Times New Roman"/>
          <w:b/>
          <w:color w:val="auto"/>
          <w:spacing w:val="6"/>
          <w:lang w:eastAsia="zh-CN"/>
        </w:rPr>
        <w:t>6</w:t>
      </w:r>
      <w:r>
        <w:rPr>
          <w:rFonts w:hint="eastAsia" w:ascii="Times New Roman" w:hAnsi="Times New Roman" w:cs="Times New Roman"/>
          <w:b/>
          <w:color w:val="auto"/>
          <w:spacing w:val="6"/>
          <w:lang w:val="en-US" w:eastAsia="zh-CN"/>
        </w:rPr>
        <w:t>.1-4</w:t>
      </w:r>
      <w:r>
        <w:rPr>
          <w:rFonts w:hint="default" w:ascii="Times New Roman" w:hAnsi="Times New Roman" w:cs="Times New Roman"/>
          <w:b/>
          <w:color w:val="auto"/>
          <w:spacing w:val="6"/>
        </w:rPr>
        <w:t xml:space="preserve">  </w:t>
      </w:r>
      <w:r>
        <w:rPr>
          <w:rFonts w:hint="default" w:ascii="Times New Roman" w:hAnsi="Times New Roman" w:cs="Times New Roman"/>
          <w:b/>
          <w:color w:val="auto"/>
        </w:rPr>
        <w:t>《恶臭污染物排放标准》（GB14554-93）</w:t>
      </w:r>
    </w:p>
    <w:tbl>
      <w:tblPr>
        <w:tblStyle w:val="2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951"/>
        <w:gridCol w:w="1985"/>
        <w:gridCol w:w="2268"/>
        <w:gridCol w:w="280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951" w:type="dxa"/>
            <w:vAlign w:val="center"/>
          </w:tcPr>
          <w:p>
            <w:pPr>
              <w:adjustRightInd w:val="0"/>
              <w:snapToGrid w:val="0"/>
              <w:jc w:val="center"/>
              <w:rPr>
                <w:rFonts w:ascii="Times New Roman" w:hAnsi="Times New Roman" w:cs="Times New Roman"/>
                <w:color w:val="auto"/>
                <w:spacing w:val="6"/>
              </w:rPr>
            </w:pPr>
            <w:r>
              <w:rPr>
                <w:rFonts w:hint="default" w:ascii="Times New Roman" w:hAnsi="Times New Roman" w:cs="Times New Roman"/>
                <w:color w:val="auto"/>
                <w:spacing w:val="6"/>
              </w:rPr>
              <w:t>控制项目</w:t>
            </w:r>
          </w:p>
        </w:tc>
        <w:tc>
          <w:tcPr>
            <w:tcW w:w="1985" w:type="dxa"/>
            <w:vAlign w:val="center"/>
          </w:tcPr>
          <w:p>
            <w:pPr>
              <w:adjustRightInd w:val="0"/>
              <w:snapToGrid w:val="0"/>
              <w:jc w:val="center"/>
              <w:rPr>
                <w:rFonts w:ascii="Times New Roman" w:hAnsi="Times New Roman" w:cs="Times New Roman"/>
                <w:color w:val="auto"/>
                <w:spacing w:val="6"/>
              </w:rPr>
            </w:pPr>
            <w:r>
              <w:rPr>
                <w:rFonts w:hint="default" w:ascii="Times New Roman" w:hAnsi="Times New Roman" w:cs="Times New Roman"/>
                <w:color w:val="auto"/>
                <w:spacing w:val="6"/>
              </w:rPr>
              <w:t>排气筒高度，m</w:t>
            </w:r>
          </w:p>
        </w:tc>
        <w:tc>
          <w:tcPr>
            <w:tcW w:w="2268" w:type="dxa"/>
            <w:tcBorders>
              <w:right w:val="single" w:color="auto" w:sz="4" w:space="0"/>
            </w:tcBorders>
            <w:vAlign w:val="center"/>
          </w:tcPr>
          <w:p>
            <w:pPr>
              <w:adjustRightInd w:val="0"/>
              <w:snapToGrid w:val="0"/>
              <w:jc w:val="center"/>
              <w:rPr>
                <w:rFonts w:ascii="Times New Roman" w:hAnsi="Times New Roman" w:cs="Times New Roman"/>
                <w:color w:val="auto"/>
                <w:spacing w:val="6"/>
              </w:rPr>
            </w:pPr>
            <w:r>
              <w:rPr>
                <w:rFonts w:hint="default" w:ascii="Times New Roman" w:hAnsi="Times New Roman" w:cs="Times New Roman"/>
                <w:color w:val="auto"/>
                <w:spacing w:val="6"/>
              </w:rPr>
              <w:t>排放量，kg/h</w:t>
            </w:r>
          </w:p>
        </w:tc>
        <w:tc>
          <w:tcPr>
            <w:tcW w:w="2800" w:type="dxa"/>
            <w:tcBorders>
              <w:left w:val="single" w:color="auto" w:sz="4" w:space="0"/>
            </w:tcBorders>
            <w:vAlign w:val="center"/>
          </w:tcPr>
          <w:p>
            <w:pPr>
              <w:adjustRightInd w:val="0"/>
              <w:snapToGrid w:val="0"/>
              <w:jc w:val="center"/>
              <w:rPr>
                <w:rFonts w:ascii="Times New Roman" w:hAnsi="Times New Roman" w:cs="Times New Roman"/>
                <w:color w:val="auto"/>
                <w:spacing w:val="6"/>
              </w:rPr>
            </w:pPr>
            <w:r>
              <w:rPr>
                <w:rFonts w:hint="default" w:ascii="Times New Roman" w:hAnsi="Times New Roman" w:cs="Times New Roman"/>
                <w:color w:val="auto"/>
                <w:spacing w:val="6"/>
              </w:rPr>
              <w:t>恶臭污染物厂界标准值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951" w:type="dxa"/>
            <w:vAlign w:val="center"/>
          </w:tcPr>
          <w:p>
            <w:pPr>
              <w:adjustRightInd w:val="0"/>
              <w:snapToGrid w:val="0"/>
              <w:jc w:val="center"/>
              <w:rPr>
                <w:rFonts w:ascii="Times New Roman" w:hAnsi="Times New Roman" w:cs="Times New Roman"/>
                <w:color w:val="auto"/>
                <w:spacing w:val="6"/>
              </w:rPr>
            </w:pPr>
            <w:r>
              <w:rPr>
                <w:rFonts w:hint="default" w:ascii="Times New Roman" w:hAnsi="Times New Roman" w:cs="Times New Roman"/>
                <w:color w:val="auto"/>
                <w:spacing w:val="6"/>
              </w:rPr>
              <w:t>氨气</w:t>
            </w:r>
          </w:p>
        </w:tc>
        <w:tc>
          <w:tcPr>
            <w:tcW w:w="1985" w:type="dxa"/>
            <w:vAlign w:val="center"/>
          </w:tcPr>
          <w:p>
            <w:pPr>
              <w:adjustRightInd w:val="0"/>
              <w:snapToGrid w:val="0"/>
              <w:jc w:val="center"/>
              <w:rPr>
                <w:rFonts w:ascii="Times New Roman" w:hAnsi="Times New Roman" w:cs="Times New Roman"/>
                <w:color w:val="auto"/>
                <w:spacing w:val="6"/>
              </w:rPr>
            </w:pPr>
            <w:r>
              <w:rPr>
                <w:rFonts w:hint="default" w:ascii="Times New Roman" w:hAnsi="Times New Roman" w:cs="Times New Roman"/>
                <w:color w:val="auto"/>
                <w:spacing w:val="6"/>
              </w:rPr>
              <w:t>15</w:t>
            </w:r>
          </w:p>
        </w:tc>
        <w:tc>
          <w:tcPr>
            <w:tcW w:w="2268" w:type="dxa"/>
            <w:tcBorders>
              <w:right w:val="single" w:color="auto" w:sz="4" w:space="0"/>
            </w:tcBorders>
            <w:vAlign w:val="center"/>
          </w:tcPr>
          <w:p>
            <w:pPr>
              <w:adjustRightInd w:val="0"/>
              <w:snapToGrid w:val="0"/>
              <w:jc w:val="center"/>
              <w:rPr>
                <w:rFonts w:ascii="Times New Roman" w:hAnsi="Times New Roman" w:cs="Times New Roman"/>
                <w:color w:val="auto"/>
                <w:spacing w:val="6"/>
              </w:rPr>
            </w:pPr>
            <w:r>
              <w:rPr>
                <w:rFonts w:hint="default" w:ascii="Times New Roman" w:hAnsi="Times New Roman" w:cs="Times New Roman"/>
                <w:color w:val="auto"/>
                <w:spacing w:val="6"/>
              </w:rPr>
              <w:t>4.9</w:t>
            </w:r>
          </w:p>
        </w:tc>
        <w:tc>
          <w:tcPr>
            <w:tcW w:w="2800" w:type="dxa"/>
            <w:tcBorders>
              <w:left w:val="single" w:color="auto" w:sz="4" w:space="0"/>
            </w:tcBorders>
            <w:vAlign w:val="center"/>
          </w:tcPr>
          <w:p>
            <w:pPr>
              <w:adjustRightInd w:val="0"/>
              <w:snapToGrid w:val="0"/>
              <w:jc w:val="center"/>
              <w:rPr>
                <w:rFonts w:ascii="Times New Roman" w:hAnsi="Times New Roman" w:cs="Times New Roman"/>
                <w:color w:val="auto"/>
                <w:spacing w:val="6"/>
              </w:rPr>
            </w:pPr>
            <w:r>
              <w:rPr>
                <w:rFonts w:hint="default" w:ascii="Times New Roman" w:hAnsi="Times New Roman" w:cs="Times New Roman"/>
                <w:color w:val="auto"/>
                <w:spacing w:val="6"/>
              </w:rPr>
              <w:t>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951" w:type="dxa"/>
            <w:vAlign w:val="center"/>
          </w:tcPr>
          <w:p>
            <w:pPr>
              <w:adjustRightInd w:val="0"/>
              <w:snapToGrid w:val="0"/>
              <w:jc w:val="center"/>
              <w:rPr>
                <w:rFonts w:ascii="Times New Roman" w:hAnsi="Times New Roman" w:cs="Times New Roman"/>
                <w:color w:val="auto"/>
                <w:spacing w:val="6"/>
              </w:rPr>
            </w:pPr>
            <w:r>
              <w:rPr>
                <w:rFonts w:hint="default" w:ascii="Times New Roman" w:hAnsi="Times New Roman" w:cs="Times New Roman"/>
                <w:color w:val="auto"/>
                <w:spacing w:val="6"/>
              </w:rPr>
              <w:t>硫化氢</w:t>
            </w:r>
          </w:p>
        </w:tc>
        <w:tc>
          <w:tcPr>
            <w:tcW w:w="1985" w:type="dxa"/>
            <w:vAlign w:val="center"/>
          </w:tcPr>
          <w:p>
            <w:pPr>
              <w:adjustRightInd w:val="0"/>
              <w:snapToGrid w:val="0"/>
              <w:jc w:val="center"/>
              <w:rPr>
                <w:rFonts w:ascii="Times New Roman" w:hAnsi="Times New Roman" w:cs="Times New Roman"/>
                <w:color w:val="auto"/>
                <w:spacing w:val="6"/>
              </w:rPr>
            </w:pPr>
            <w:r>
              <w:rPr>
                <w:rFonts w:hint="default" w:ascii="Times New Roman" w:hAnsi="Times New Roman" w:cs="Times New Roman"/>
                <w:color w:val="auto"/>
                <w:spacing w:val="6"/>
              </w:rPr>
              <w:t>15</w:t>
            </w:r>
          </w:p>
        </w:tc>
        <w:tc>
          <w:tcPr>
            <w:tcW w:w="2268" w:type="dxa"/>
            <w:tcBorders>
              <w:right w:val="single" w:color="auto" w:sz="4" w:space="0"/>
            </w:tcBorders>
            <w:vAlign w:val="center"/>
          </w:tcPr>
          <w:p>
            <w:pPr>
              <w:adjustRightInd w:val="0"/>
              <w:snapToGrid w:val="0"/>
              <w:jc w:val="center"/>
              <w:rPr>
                <w:rFonts w:ascii="Times New Roman" w:hAnsi="Times New Roman" w:cs="Times New Roman"/>
                <w:color w:val="auto"/>
                <w:spacing w:val="6"/>
              </w:rPr>
            </w:pPr>
            <w:r>
              <w:rPr>
                <w:rFonts w:hint="default" w:ascii="Times New Roman" w:hAnsi="Times New Roman" w:cs="Times New Roman"/>
                <w:color w:val="auto"/>
                <w:spacing w:val="6"/>
              </w:rPr>
              <w:t>0.33</w:t>
            </w:r>
          </w:p>
        </w:tc>
        <w:tc>
          <w:tcPr>
            <w:tcW w:w="2800" w:type="dxa"/>
            <w:tcBorders>
              <w:left w:val="single" w:color="auto" w:sz="4" w:space="0"/>
            </w:tcBorders>
            <w:vAlign w:val="center"/>
          </w:tcPr>
          <w:p>
            <w:pPr>
              <w:adjustRightInd w:val="0"/>
              <w:snapToGrid w:val="0"/>
              <w:jc w:val="center"/>
              <w:rPr>
                <w:rFonts w:ascii="Times New Roman" w:hAnsi="Times New Roman" w:cs="Times New Roman"/>
                <w:color w:val="auto"/>
                <w:spacing w:val="6"/>
              </w:rPr>
            </w:pPr>
            <w:r>
              <w:rPr>
                <w:rFonts w:hint="default" w:ascii="Times New Roman" w:hAnsi="Times New Roman" w:cs="Times New Roman"/>
                <w:color w:val="auto"/>
                <w:spacing w:val="6"/>
              </w:rPr>
              <w:t>0.06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40" w:hRule="atLeast"/>
        </w:trPr>
        <w:tc>
          <w:tcPr>
            <w:tcW w:w="1951" w:type="dxa"/>
            <w:vAlign w:val="center"/>
          </w:tcPr>
          <w:p>
            <w:pPr>
              <w:adjustRightInd w:val="0"/>
              <w:snapToGrid w:val="0"/>
              <w:jc w:val="center"/>
              <w:rPr>
                <w:rFonts w:ascii="Times New Roman" w:hAnsi="Times New Roman" w:cs="Times New Roman"/>
                <w:color w:val="auto"/>
                <w:spacing w:val="6"/>
              </w:rPr>
            </w:pPr>
            <w:r>
              <w:rPr>
                <w:rFonts w:hint="default" w:ascii="Times New Roman" w:hAnsi="Times New Roman" w:cs="Times New Roman"/>
                <w:color w:val="auto"/>
                <w:spacing w:val="6"/>
              </w:rPr>
              <w:t>臭气浓度</w:t>
            </w:r>
          </w:p>
        </w:tc>
        <w:tc>
          <w:tcPr>
            <w:tcW w:w="1985" w:type="dxa"/>
            <w:vAlign w:val="center"/>
          </w:tcPr>
          <w:p>
            <w:pPr>
              <w:adjustRightInd w:val="0"/>
              <w:snapToGrid w:val="0"/>
              <w:jc w:val="center"/>
              <w:rPr>
                <w:rFonts w:ascii="Times New Roman" w:hAnsi="Times New Roman" w:cs="Times New Roman"/>
                <w:color w:val="auto"/>
                <w:spacing w:val="6"/>
              </w:rPr>
            </w:pPr>
            <w:r>
              <w:rPr>
                <w:rFonts w:hint="default" w:ascii="Times New Roman" w:hAnsi="Times New Roman" w:cs="Times New Roman"/>
                <w:color w:val="auto"/>
                <w:spacing w:val="6"/>
              </w:rPr>
              <w:t>15</w:t>
            </w:r>
          </w:p>
        </w:tc>
        <w:tc>
          <w:tcPr>
            <w:tcW w:w="2268" w:type="dxa"/>
            <w:tcBorders>
              <w:right w:val="single" w:color="auto" w:sz="4" w:space="0"/>
            </w:tcBorders>
            <w:vAlign w:val="center"/>
          </w:tcPr>
          <w:p>
            <w:pPr>
              <w:adjustRightInd w:val="0"/>
              <w:snapToGrid w:val="0"/>
              <w:jc w:val="center"/>
              <w:rPr>
                <w:rFonts w:ascii="Times New Roman" w:hAnsi="Times New Roman" w:cs="Times New Roman"/>
                <w:color w:val="auto"/>
                <w:spacing w:val="6"/>
              </w:rPr>
            </w:pPr>
            <w:r>
              <w:rPr>
                <w:rFonts w:hint="default" w:ascii="Times New Roman" w:hAnsi="Times New Roman" w:cs="Times New Roman"/>
                <w:color w:val="auto"/>
                <w:spacing w:val="6"/>
              </w:rPr>
              <w:t>2000（无量纲）</w:t>
            </w:r>
          </w:p>
        </w:tc>
        <w:tc>
          <w:tcPr>
            <w:tcW w:w="2800" w:type="dxa"/>
            <w:tcBorders>
              <w:left w:val="single" w:color="auto" w:sz="4" w:space="0"/>
            </w:tcBorders>
            <w:vAlign w:val="center"/>
          </w:tcPr>
          <w:p>
            <w:pPr>
              <w:adjustRightInd w:val="0"/>
              <w:snapToGrid w:val="0"/>
              <w:jc w:val="center"/>
              <w:rPr>
                <w:rFonts w:ascii="Times New Roman" w:hAnsi="Times New Roman" w:cs="Times New Roman"/>
                <w:color w:val="auto"/>
                <w:spacing w:val="6"/>
              </w:rPr>
            </w:pPr>
            <w:r>
              <w:rPr>
                <w:rFonts w:hint="default" w:ascii="Times New Roman" w:hAnsi="Times New Roman" w:cs="Times New Roman"/>
                <w:color w:val="auto"/>
                <w:spacing w:val="6"/>
              </w:rPr>
              <w:t>20（无量纲）</w:t>
            </w:r>
          </w:p>
        </w:tc>
      </w:tr>
    </w:tbl>
    <w:p>
      <w:pPr>
        <w:spacing w:line="360" w:lineRule="auto"/>
        <w:ind w:firstLine="480" w:firstLineChars="200"/>
        <w:rPr>
          <w:rFonts w:ascii="Times New Roman" w:hAnsi="Times New Roman" w:cs="Times New Roman"/>
          <w:color w:val="auto"/>
          <w:sz w:val="24"/>
          <w:szCs w:val="24"/>
        </w:rPr>
      </w:pPr>
      <w:r>
        <w:rPr>
          <w:rFonts w:hint="default" w:ascii="Times New Roman" w:hAnsi="Times New Roman" w:cs="Times New Roman"/>
          <w:color w:val="auto"/>
          <w:sz w:val="24"/>
          <w:szCs w:val="24"/>
        </w:rPr>
        <w:t>食堂油烟排放参照执行《饮食业油烟排放标准》（GB18483-2001）标准，具体标准值见表</w:t>
      </w:r>
      <w:r>
        <w:rPr>
          <w:rFonts w:hint="eastAsia" w:ascii="Times New Roman" w:hAnsi="Times New Roman" w:cs="Times New Roman"/>
          <w:color w:val="auto"/>
          <w:sz w:val="24"/>
          <w:szCs w:val="24"/>
          <w:lang w:eastAsia="zh-CN"/>
        </w:rPr>
        <w:t>6</w:t>
      </w:r>
      <w:r>
        <w:rPr>
          <w:rFonts w:hint="eastAsia" w:ascii="Times New Roman" w:hAnsi="Times New Roman" w:cs="Times New Roman"/>
          <w:color w:val="auto"/>
          <w:sz w:val="24"/>
          <w:szCs w:val="24"/>
          <w:lang w:val="en-US" w:eastAsia="zh-CN"/>
        </w:rPr>
        <w:t>.1-5</w:t>
      </w:r>
      <w:r>
        <w:rPr>
          <w:rFonts w:hint="default" w:ascii="Times New Roman" w:hAnsi="Times New Roman" w:cs="Times New Roman"/>
          <w:color w:val="auto"/>
          <w:sz w:val="24"/>
          <w:szCs w:val="24"/>
        </w:rPr>
        <w:t>。</w:t>
      </w:r>
    </w:p>
    <w:p>
      <w:pPr>
        <w:adjustRightInd w:val="0"/>
        <w:snapToGrid w:val="0"/>
        <w:spacing w:line="271" w:lineRule="auto"/>
        <w:ind w:left="420" w:leftChars="200"/>
        <w:jc w:val="center"/>
        <w:rPr>
          <w:rFonts w:ascii="Times New Roman" w:hAnsi="Times New Roman" w:cs="Times New Roman"/>
          <w:b/>
          <w:color w:val="auto"/>
        </w:rPr>
      </w:pPr>
      <w:r>
        <w:rPr>
          <w:rFonts w:ascii="Times New Roman" w:hAnsi="Times New Roman" w:cs="Times New Roman"/>
          <w:b/>
          <w:color w:val="auto"/>
        </w:rPr>
        <w:t>表</w:t>
      </w:r>
      <w:r>
        <w:rPr>
          <w:rFonts w:hint="eastAsia" w:ascii="Times New Roman" w:hAnsi="Times New Roman" w:cs="Times New Roman"/>
          <w:b/>
          <w:color w:val="auto"/>
          <w:lang w:eastAsia="zh-CN"/>
        </w:rPr>
        <w:t>6</w:t>
      </w:r>
      <w:r>
        <w:rPr>
          <w:rFonts w:hint="eastAsia" w:ascii="Times New Roman" w:hAnsi="Times New Roman" w:cs="Times New Roman"/>
          <w:b/>
          <w:color w:val="auto"/>
          <w:lang w:val="en-US" w:eastAsia="zh-CN"/>
        </w:rPr>
        <w:t>.1-5</w:t>
      </w:r>
      <w:r>
        <w:rPr>
          <w:rFonts w:hint="default" w:ascii="Times New Roman" w:hAnsi="Times New Roman" w:cs="Times New Roman"/>
          <w:b/>
          <w:color w:val="auto"/>
        </w:rPr>
        <w:t xml:space="preserve"> </w:t>
      </w:r>
      <w:r>
        <w:rPr>
          <w:rFonts w:ascii="Times New Roman" w:hAnsi="Times New Roman" w:cs="Times New Roman"/>
          <w:b/>
          <w:color w:val="auto"/>
        </w:rPr>
        <w:t xml:space="preserve">  《饮食业油烟排放标准（试行）》（GB18483-2001）摘录</w:t>
      </w:r>
    </w:p>
    <w:tbl>
      <w:tblPr>
        <w:tblStyle w:val="2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707"/>
        <w:gridCol w:w="479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40" w:hRule="atLeast"/>
          <w:jc w:val="center"/>
        </w:trPr>
        <w:tc>
          <w:tcPr>
            <w:tcW w:w="3707" w:type="dxa"/>
            <w:vAlign w:val="center"/>
          </w:tcPr>
          <w:p>
            <w:pPr>
              <w:adjustRightInd w:val="0"/>
              <w:snapToGrid w:val="0"/>
              <w:ind w:left="420" w:leftChars="200"/>
              <w:jc w:val="center"/>
              <w:rPr>
                <w:rFonts w:ascii="Times New Roman" w:hAnsi="Times New Roman" w:cs="Times New Roman"/>
                <w:color w:val="auto"/>
                <w:szCs w:val="21"/>
              </w:rPr>
            </w:pPr>
            <w:r>
              <w:rPr>
                <w:rFonts w:ascii="Times New Roman" w:hAnsi="Times New Roman" w:cs="Times New Roman"/>
                <w:color w:val="auto"/>
                <w:szCs w:val="21"/>
              </w:rPr>
              <w:t>规模</w:t>
            </w:r>
          </w:p>
        </w:tc>
        <w:tc>
          <w:tcPr>
            <w:tcW w:w="4799" w:type="dxa"/>
            <w:vAlign w:val="center"/>
          </w:tcPr>
          <w:p>
            <w:pPr>
              <w:adjustRightInd w:val="0"/>
              <w:snapToGrid w:val="0"/>
              <w:ind w:left="420" w:leftChars="200"/>
              <w:jc w:val="center"/>
              <w:rPr>
                <w:rFonts w:ascii="Times New Roman" w:hAnsi="Times New Roman" w:cs="Times New Roman"/>
                <w:color w:val="auto"/>
                <w:szCs w:val="21"/>
              </w:rPr>
            </w:pPr>
            <w:r>
              <w:rPr>
                <w:rFonts w:ascii="Times New Roman" w:hAnsi="Times New Roman" w:cs="Times New Roman"/>
                <w:color w:val="auto"/>
                <w:szCs w:val="21"/>
              </w:rPr>
              <w:t>中型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07" w:type="dxa"/>
            <w:vAlign w:val="center"/>
          </w:tcPr>
          <w:p>
            <w:pPr>
              <w:adjustRightInd w:val="0"/>
              <w:snapToGrid w:val="0"/>
              <w:ind w:left="420" w:leftChars="200"/>
              <w:jc w:val="center"/>
              <w:rPr>
                <w:rFonts w:ascii="Times New Roman" w:hAnsi="Times New Roman" w:cs="Times New Roman"/>
                <w:color w:val="auto"/>
                <w:szCs w:val="21"/>
              </w:rPr>
            </w:pPr>
            <w:r>
              <w:rPr>
                <w:rFonts w:ascii="Times New Roman" w:hAnsi="Times New Roman" w:cs="Times New Roman"/>
                <w:color w:val="auto"/>
                <w:szCs w:val="21"/>
              </w:rPr>
              <w:t>基准灶头数（个）</w:t>
            </w:r>
          </w:p>
        </w:tc>
        <w:tc>
          <w:tcPr>
            <w:tcW w:w="4799" w:type="dxa"/>
            <w:vAlign w:val="center"/>
          </w:tcPr>
          <w:p>
            <w:pPr>
              <w:adjustRightInd w:val="0"/>
              <w:snapToGrid w:val="0"/>
              <w:ind w:left="420" w:leftChars="200"/>
              <w:jc w:val="center"/>
              <w:rPr>
                <w:rFonts w:ascii="Times New Roman" w:hAnsi="Times New Roman" w:cs="Times New Roman"/>
                <w:color w:val="auto"/>
                <w:szCs w:val="21"/>
              </w:rPr>
            </w:pPr>
            <w:r>
              <w:rPr>
                <w:rFonts w:ascii="Times New Roman" w:hAnsi="Times New Roman" w:cs="Times New Roman"/>
                <w:color w:val="auto"/>
                <w:szCs w:val="21"/>
              </w:rPr>
              <w:t>≥1，＜3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07" w:type="dxa"/>
            <w:vAlign w:val="center"/>
          </w:tcPr>
          <w:p>
            <w:pPr>
              <w:adjustRightInd w:val="0"/>
              <w:snapToGrid w:val="0"/>
              <w:ind w:left="420" w:leftChars="200"/>
              <w:jc w:val="center"/>
              <w:rPr>
                <w:rFonts w:ascii="Times New Roman" w:hAnsi="Times New Roman" w:cs="Times New Roman"/>
                <w:color w:val="auto"/>
                <w:szCs w:val="21"/>
              </w:rPr>
            </w:pPr>
            <w:r>
              <w:rPr>
                <w:rFonts w:ascii="Times New Roman" w:hAnsi="Times New Roman" w:cs="Times New Roman"/>
                <w:color w:val="auto"/>
                <w:szCs w:val="21"/>
              </w:rPr>
              <w:t>最高允许排放浓度（mg/m³）</w:t>
            </w:r>
          </w:p>
        </w:tc>
        <w:tc>
          <w:tcPr>
            <w:tcW w:w="4799" w:type="dxa"/>
            <w:vAlign w:val="center"/>
          </w:tcPr>
          <w:p>
            <w:pPr>
              <w:adjustRightInd w:val="0"/>
              <w:snapToGrid w:val="0"/>
              <w:ind w:left="420" w:leftChars="200"/>
              <w:jc w:val="center"/>
              <w:rPr>
                <w:rFonts w:ascii="Times New Roman" w:hAnsi="Times New Roman" w:cs="Times New Roman"/>
                <w:color w:val="auto"/>
                <w:szCs w:val="21"/>
              </w:rPr>
            </w:pPr>
            <w:r>
              <w:rPr>
                <w:rFonts w:ascii="Times New Roman" w:hAnsi="Times New Roman" w:cs="Times New Roman"/>
                <w:color w:val="auto"/>
                <w:szCs w:val="21"/>
              </w:rP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707" w:type="dxa"/>
            <w:vAlign w:val="center"/>
          </w:tcPr>
          <w:p>
            <w:pPr>
              <w:adjustRightInd w:val="0"/>
              <w:snapToGrid w:val="0"/>
              <w:ind w:left="420" w:leftChars="200"/>
              <w:jc w:val="center"/>
              <w:rPr>
                <w:rFonts w:ascii="Times New Roman" w:hAnsi="Times New Roman" w:cs="Times New Roman"/>
                <w:color w:val="auto"/>
                <w:szCs w:val="21"/>
              </w:rPr>
            </w:pPr>
            <w:r>
              <w:rPr>
                <w:rFonts w:ascii="Times New Roman" w:hAnsi="Times New Roman" w:cs="Times New Roman"/>
                <w:color w:val="auto"/>
                <w:szCs w:val="21"/>
              </w:rPr>
              <w:t>净化设施最低去除效率（%）</w:t>
            </w:r>
          </w:p>
        </w:tc>
        <w:tc>
          <w:tcPr>
            <w:tcW w:w="4799" w:type="dxa"/>
            <w:vAlign w:val="center"/>
          </w:tcPr>
          <w:p>
            <w:pPr>
              <w:adjustRightInd w:val="0"/>
              <w:snapToGrid w:val="0"/>
              <w:ind w:left="420" w:leftChars="200"/>
              <w:jc w:val="center"/>
              <w:rPr>
                <w:rFonts w:ascii="Times New Roman" w:hAnsi="Times New Roman" w:cs="Times New Roman"/>
                <w:color w:val="auto"/>
                <w:szCs w:val="21"/>
              </w:rPr>
            </w:pPr>
            <w:r>
              <w:rPr>
                <w:rFonts w:ascii="Times New Roman" w:hAnsi="Times New Roman" w:cs="Times New Roman"/>
                <w:color w:val="auto"/>
                <w:szCs w:val="21"/>
              </w:rPr>
              <w:t>60</w:t>
            </w:r>
          </w:p>
        </w:tc>
      </w:tr>
    </w:tbl>
    <w:p>
      <w:pPr>
        <w:spacing w:before="156" w:beforeLines="50" w:line="360" w:lineRule="auto"/>
        <w:ind w:firstLine="480" w:firstLineChars="200"/>
        <w:rPr>
          <w:rFonts w:hint="eastAsia" w:ascii="Times New Roman" w:hAnsi="Times New Roman" w:cs="Times New Roman"/>
          <w:b w:val="0"/>
          <w:bCs/>
          <w:color w:val="auto"/>
          <w:sz w:val="24"/>
          <w:szCs w:val="24"/>
          <w:lang w:val="en-US" w:eastAsia="zh-CN"/>
        </w:rPr>
      </w:pPr>
      <w:r>
        <w:rPr>
          <w:rFonts w:hint="eastAsia" w:ascii="Times New Roman" w:hAnsi="Times New Roman" w:cs="Times New Roman"/>
          <w:b w:val="0"/>
          <w:bCs/>
          <w:color w:val="auto"/>
          <w:sz w:val="24"/>
          <w:szCs w:val="24"/>
          <w:lang w:val="en-US" w:eastAsia="zh-CN"/>
        </w:rPr>
        <w:t>实验室废气氯化氢排放标准执行《大气污染物综合排放标准》GB16297-1996，</w:t>
      </w:r>
      <w:r>
        <w:rPr>
          <w:rFonts w:hint="eastAsia" w:ascii="Times New Roman" w:hAnsi="Times New Roman" w:cs="Times New Roman"/>
          <w:color w:val="auto"/>
          <w:spacing w:val="6"/>
          <w:lang w:val="en-US" w:eastAsia="zh-CN"/>
        </w:rPr>
        <w:t>VOCs参照</w:t>
      </w:r>
      <w:r>
        <w:rPr>
          <w:rFonts w:hint="default" w:ascii="Times New Roman" w:hAnsi="Times New Roman" w:cs="Times New Roman"/>
          <w:color w:val="auto"/>
          <w:sz w:val="24"/>
          <w:szCs w:val="24"/>
        </w:rPr>
        <w:t>执行</w:t>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"http://www.baidu.com/link?url=NXEoRSGx3bx_0S32dIHhXZgX6hYj2TrGlqbEAJW4DDfbP-neScgzfZc-3bErtHxNqMgcHP0LGpVh9Sr5hoDHtcXGhsCC2zd3xFfTTLWt6gK" \t "https://www.baidu.com/_blank"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《工业企业挥发性有机物排放控制标准</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t>》（</w:t>
      </w:r>
      <w:r>
        <w:rPr>
          <w:rFonts w:hint="eastAsia" w:ascii="Times New Roman" w:hAnsi="Times New Roman" w:cs="Times New Roman"/>
          <w:color w:val="auto"/>
          <w:sz w:val="24"/>
          <w:szCs w:val="24"/>
          <w:lang w:eastAsia="zh-CN"/>
        </w:rPr>
        <w:t>DB12/524-2020</w:t>
      </w:r>
      <w:r>
        <w:rPr>
          <w:rFonts w:hint="default" w:ascii="Times New Roman" w:hAnsi="Times New Roman" w:cs="Times New Roman"/>
          <w:color w:val="auto"/>
          <w:sz w:val="24"/>
          <w:szCs w:val="24"/>
        </w:rPr>
        <w:t>）中其他行业标准限值</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见</w:t>
      </w:r>
      <w:r>
        <w:rPr>
          <w:rFonts w:hint="default" w:ascii="Times New Roman" w:hAnsi="Times New Roman" w:cs="Times New Roman"/>
          <w:color w:val="auto"/>
          <w:sz w:val="24"/>
          <w:szCs w:val="24"/>
        </w:rPr>
        <w:t>表</w:t>
      </w:r>
      <w:r>
        <w:rPr>
          <w:rFonts w:hint="eastAsia" w:ascii="Times New Roman" w:hAnsi="Times New Roman" w:cs="Times New Roman"/>
          <w:color w:val="auto"/>
          <w:sz w:val="24"/>
          <w:szCs w:val="24"/>
          <w:lang w:eastAsia="zh-CN"/>
        </w:rPr>
        <w:t>6</w:t>
      </w:r>
      <w:r>
        <w:rPr>
          <w:rFonts w:hint="eastAsia" w:ascii="Times New Roman" w:hAnsi="Times New Roman" w:cs="Times New Roman"/>
          <w:color w:val="auto"/>
          <w:sz w:val="24"/>
          <w:szCs w:val="24"/>
          <w:lang w:val="en-US" w:eastAsia="zh-CN"/>
        </w:rPr>
        <w:t>.1-1）</w:t>
      </w:r>
      <w:r>
        <w:rPr>
          <w:rFonts w:hint="eastAsia" w:ascii="Times New Roman" w:hAnsi="Times New Roman" w:cs="Times New Roman"/>
          <w:color w:val="auto"/>
          <w:sz w:val="24"/>
          <w:szCs w:val="24"/>
          <w:lang w:eastAsia="zh-CN"/>
        </w:rPr>
        <w:t>。</w:t>
      </w:r>
      <w:r>
        <w:rPr>
          <w:rFonts w:hint="eastAsia" w:ascii="Times New Roman" w:hAnsi="Times New Roman" w:cs="Times New Roman"/>
          <w:b w:val="0"/>
          <w:bCs/>
          <w:color w:val="auto"/>
          <w:sz w:val="24"/>
          <w:szCs w:val="24"/>
          <w:lang w:val="en-US" w:eastAsia="zh-CN"/>
        </w:rPr>
        <w:t xml:space="preserve">具体标准值见6.1-6  </w:t>
      </w:r>
    </w:p>
    <w:p>
      <w:pPr>
        <w:pStyle w:val="2"/>
        <w:ind w:firstLine="1681" w:firstLineChars="700"/>
        <w:rPr>
          <w:rFonts w:hint="default"/>
          <w:lang w:val="en-US" w:eastAsia="zh-CN"/>
        </w:rPr>
      </w:pPr>
      <w:r>
        <w:rPr>
          <w:rFonts w:ascii="Times New Roman" w:hAnsi="Times New Roman" w:cs="Times New Roman"/>
          <w:b/>
          <w:color w:val="auto"/>
        </w:rPr>
        <w:t>表</w:t>
      </w:r>
      <w:r>
        <w:rPr>
          <w:rFonts w:hint="eastAsia" w:ascii="Times New Roman" w:hAnsi="Times New Roman" w:cs="Times New Roman"/>
          <w:b/>
          <w:color w:val="auto"/>
          <w:lang w:eastAsia="zh-CN"/>
        </w:rPr>
        <w:t>6</w:t>
      </w:r>
      <w:r>
        <w:rPr>
          <w:rFonts w:hint="eastAsia" w:ascii="Times New Roman" w:hAnsi="Times New Roman" w:cs="Times New Roman"/>
          <w:b/>
          <w:color w:val="auto"/>
          <w:lang w:val="en-US" w:eastAsia="zh-CN"/>
        </w:rPr>
        <w:t>.1-6</w:t>
      </w:r>
      <w:r>
        <w:rPr>
          <w:rFonts w:ascii="Times New Roman" w:hAnsi="Times New Roman" w:cs="Times New Roman"/>
          <w:b/>
          <w:color w:val="auto"/>
        </w:rPr>
        <w:t xml:space="preserve">  《</w:t>
      </w:r>
      <w:r>
        <w:rPr>
          <w:rFonts w:hint="eastAsia" w:ascii="Times New Roman" w:hAnsi="Times New Roman" w:cs="Times New Roman"/>
          <w:b w:val="0"/>
          <w:bCs/>
          <w:color w:val="auto"/>
          <w:sz w:val="24"/>
          <w:szCs w:val="24"/>
          <w:lang w:val="en-US" w:eastAsia="zh-CN"/>
        </w:rPr>
        <w:t>大气污染物综合排放标准</w:t>
      </w:r>
      <w:r>
        <w:rPr>
          <w:rFonts w:ascii="Times New Roman" w:hAnsi="Times New Roman" w:cs="Times New Roman"/>
          <w:b/>
          <w:color w:val="auto"/>
        </w:rPr>
        <w:t>》（GB</w:t>
      </w:r>
      <w:r>
        <w:rPr>
          <w:rFonts w:hint="eastAsia" w:ascii="Times New Roman" w:hAnsi="Times New Roman" w:eastAsia="宋体" w:cs="Times New Roman"/>
          <w:b/>
          <w:color w:val="auto"/>
          <w:lang w:val="en-US" w:eastAsia="zh-CN"/>
        </w:rPr>
        <w:t>16297</w:t>
      </w:r>
      <w:r>
        <w:rPr>
          <w:rFonts w:ascii="Times New Roman" w:hAnsi="Times New Roman" w:cs="Times New Roman"/>
          <w:b/>
          <w:color w:val="auto"/>
        </w:rPr>
        <w:t>-</w:t>
      </w:r>
      <w:r>
        <w:rPr>
          <w:rFonts w:hint="eastAsia" w:ascii="Times New Roman" w:hAnsi="Times New Roman" w:eastAsia="宋体" w:cs="Times New Roman"/>
          <w:b/>
          <w:color w:val="auto"/>
          <w:lang w:val="en-US" w:eastAsia="zh-CN"/>
        </w:rPr>
        <w:t>1996</w:t>
      </w:r>
      <w:r>
        <w:rPr>
          <w:rFonts w:ascii="Times New Roman" w:hAnsi="Times New Roman" w:cs="Times New Roman"/>
          <w:b/>
          <w:color w:val="auto"/>
        </w:rPr>
        <w:t>）</w:t>
      </w:r>
    </w:p>
    <w:tbl>
      <w:tblPr>
        <w:tblStyle w:val="28"/>
        <w:tblW w:w="9004"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951"/>
        <w:gridCol w:w="1985"/>
        <w:gridCol w:w="2268"/>
        <w:gridCol w:w="280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951" w:type="dxa"/>
            <w:vAlign w:val="center"/>
          </w:tcPr>
          <w:p>
            <w:pPr>
              <w:adjustRightInd w:val="0"/>
              <w:snapToGrid w:val="0"/>
              <w:jc w:val="center"/>
              <w:rPr>
                <w:rFonts w:ascii="Times New Roman" w:hAnsi="Times New Roman" w:cs="Times New Roman"/>
                <w:color w:val="auto"/>
                <w:spacing w:val="6"/>
              </w:rPr>
            </w:pPr>
            <w:r>
              <w:rPr>
                <w:rFonts w:hint="default" w:ascii="Times New Roman" w:hAnsi="Times New Roman" w:cs="Times New Roman"/>
                <w:color w:val="auto"/>
                <w:spacing w:val="6"/>
              </w:rPr>
              <w:t>控制项目</w:t>
            </w:r>
          </w:p>
        </w:tc>
        <w:tc>
          <w:tcPr>
            <w:tcW w:w="1985" w:type="dxa"/>
            <w:vAlign w:val="center"/>
          </w:tcPr>
          <w:p>
            <w:pPr>
              <w:adjustRightInd w:val="0"/>
              <w:snapToGrid w:val="0"/>
              <w:jc w:val="center"/>
              <w:rPr>
                <w:rFonts w:ascii="Times New Roman" w:hAnsi="Times New Roman" w:cs="Times New Roman"/>
                <w:color w:val="auto"/>
                <w:spacing w:val="6"/>
              </w:rPr>
            </w:pPr>
            <w:r>
              <w:rPr>
                <w:rFonts w:hint="default" w:ascii="Times New Roman" w:hAnsi="Times New Roman" w:cs="Times New Roman"/>
                <w:color w:val="auto"/>
                <w:spacing w:val="6"/>
              </w:rPr>
              <w:t>排气筒高度，m</w:t>
            </w:r>
          </w:p>
        </w:tc>
        <w:tc>
          <w:tcPr>
            <w:tcW w:w="2268" w:type="dxa"/>
            <w:tcBorders>
              <w:right w:val="single" w:color="auto" w:sz="4" w:space="0"/>
            </w:tcBorders>
            <w:vAlign w:val="center"/>
          </w:tcPr>
          <w:p>
            <w:pPr>
              <w:adjustRightInd w:val="0"/>
              <w:snapToGrid w:val="0"/>
              <w:jc w:val="center"/>
              <w:rPr>
                <w:rFonts w:ascii="Times New Roman" w:hAnsi="Times New Roman" w:cs="Times New Roman"/>
                <w:color w:val="auto"/>
                <w:spacing w:val="6"/>
              </w:rPr>
            </w:pPr>
            <w:r>
              <w:rPr>
                <w:rFonts w:hint="default" w:ascii="Times New Roman" w:hAnsi="Times New Roman" w:cs="Times New Roman"/>
                <w:color w:val="auto"/>
                <w:spacing w:val="6"/>
              </w:rPr>
              <w:t>排放量，kg/h</w:t>
            </w:r>
          </w:p>
        </w:tc>
        <w:tc>
          <w:tcPr>
            <w:tcW w:w="2800" w:type="dxa"/>
            <w:tcBorders>
              <w:left w:val="single" w:color="auto" w:sz="4" w:space="0"/>
            </w:tcBorders>
            <w:vAlign w:val="center"/>
          </w:tcPr>
          <w:p>
            <w:pPr>
              <w:adjustRightInd w:val="0"/>
              <w:snapToGrid w:val="0"/>
              <w:jc w:val="center"/>
              <w:rPr>
                <w:rFonts w:hint="default" w:ascii="Times New Roman" w:hAnsi="Times New Roman" w:cs="Times New Roman"/>
                <w:color w:val="auto"/>
                <w:spacing w:val="6"/>
                <w:lang w:val="en-US"/>
              </w:rPr>
            </w:pPr>
            <w:r>
              <w:rPr>
                <w:rFonts w:hint="eastAsia" w:ascii="Times New Roman" w:hAnsi="Times New Roman" w:cs="Times New Roman"/>
                <w:color w:val="auto"/>
                <w:spacing w:val="6"/>
                <w:lang w:val="en-US" w:eastAsia="zh-CN"/>
              </w:rPr>
              <w:t>排放浓度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951" w:type="dxa"/>
            <w:vAlign w:val="center"/>
          </w:tcPr>
          <w:p>
            <w:pPr>
              <w:adjustRightInd w:val="0"/>
              <w:snapToGrid w:val="0"/>
              <w:jc w:val="center"/>
              <w:rPr>
                <w:rFonts w:hint="eastAsia" w:ascii="Times New Roman" w:hAnsi="Times New Roman" w:cs="Times New Roman" w:eastAsiaTheme="minorEastAsia"/>
                <w:color w:val="auto"/>
                <w:spacing w:val="6"/>
                <w:lang w:eastAsia="zh-CN"/>
              </w:rPr>
            </w:pPr>
            <w:r>
              <w:rPr>
                <w:rFonts w:hint="eastAsia" w:ascii="Times New Roman" w:hAnsi="Times New Roman" w:cs="Times New Roman"/>
                <w:color w:val="auto"/>
                <w:spacing w:val="6"/>
                <w:lang w:val="en-US" w:eastAsia="zh-CN"/>
              </w:rPr>
              <w:t>氯化氢</w:t>
            </w:r>
          </w:p>
        </w:tc>
        <w:tc>
          <w:tcPr>
            <w:tcW w:w="1985" w:type="dxa"/>
            <w:vAlign w:val="center"/>
          </w:tcPr>
          <w:p>
            <w:pPr>
              <w:adjustRightInd w:val="0"/>
              <w:snapToGrid w:val="0"/>
              <w:jc w:val="center"/>
              <w:rPr>
                <w:rFonts w:ascii="Times New Roman" w:hAnsi="Times New Roman" w:cs="Times New Roman"/>
                <w:color w:val="auto"/>
                <w:spacing w:val="6"/>
              </w:rPr>
            </w:pPr>
            <w:r>
              <w:rPr>
                <w:rFonts w:hint="default" w:ascii="Times New Roman" w:hAnsi="Times New Roman" w:cs="Times New Roman"/>
                <w:color w:val="auto"/>
                <w:spacing w:val="6"/>
              </w:rPr>
              <w:t>15</w:t>
            </w:r>
          </w:p>
        </w:tc>
        <w:tc>
          <w:tcPr>
            <w:tcW w:w="2268" w:type="dxa"/>
            <w:tcBorders>
              <w:right w:val="single" w:color="auto" w:sz="4" w:space="0"/>
            </w:tcBorders>
            <w:vAlign w:val="center"/>
          </w:tcPr>
          <w:p>
            <w:pPr>
              <w:adjustRightInd w:val="0"/>
              <w:snapToGrid w:val="0"/>
              <w:jc w:val="center"/>
              <w:rPr>
                <w:rFonts w:hint="default" w:ascii="Times New Roman" w:hAnsi="Times New Roman" w:cs="Times New Roman" w:eastAsiaTheme="minorEastAsia"/>
                <w:color w:val="auto"/>
                <w:spacing w:val="6"/>
                <w:lang w:val="en-US" w:eastAsia="zh-CN"/>
              </w:rPr>
            </w:pPr>
            <w:r>
              <w:rPr>
                <w:rFonts w:hint="eastAsia" w:ascii="Times New Roman" w:hAnsi="Times New Roman" w:cs="Times New Roman"/>
                <w:color w:val="auto"/>
                <w:spacing w:val="6"/>
                <w:lang w:val="en-US" w:eastAsia="zh-CN"/>
              </w:rPr>
              <w:t>0.06</w:t>
            </w:r>
          </w:p>
        </w:tc>
        <w:tc>
          <w:tcPr>
            <w:tcW w:w="2800" w:type="dxa"/>
            <w:tcBorders>
              <w:left w:val="single" w:color="auto" w:sz="4" w:space="0"/>
            </w:tcBorders>
            <w:vAlign w:val="center"/>
          </w:tcPr>
          <w:p>
            <w:pPr>
              <w:adjustRightInd w:val="0"/>
              <w:snapToGrid w:val="0"/>
              <w:jc w:val="center"/>
              <w:rPr>
                <w:rFonts w:hint="default" w:ascii="Times New Roman" w:hAnsi="Times New Roman" w:cs="Times New Roman" w:eastAsiaTheme="minorEastAsia"/>
                <w:color w:val="auto"/>
                <w:spacing w:val="6"/>
                <w:lang w:val="en-US" w:eastAsia="zh-CN"/>
              </w:rPr>
            </w:pPr>
            <w:r>
              <w:rPr>
                <w:rFonts w:hint="eastAsia" w:ascii="Times New Roman" w:hAnsi="Times New Roman" w:cs="Times New Roman"/>
                <w:color w:val="auto"/>
                <w:spacing w:val="6"/>
                <w:lang w:val="en-US" w:eastAsia="zh-CN"/>
              </w:rPr>
              <w:t>100</w:t>
            </w:r>
            <w:r>
              <w:rPr>
                <w:rFonts w:hint="default" w:ascii="Times New Roman" w:hAnsi="Times New Roman" w:cs="Times New Roman"/>
                <w:color w:val="auto"/>
              </w:rPr>
              <w:t>mg/m</w:t>
            </w:r>
            <w:r>
              <w:rPr>
                <w:rFonts w:hint="default" w:ascii="Times New Roman" w:hAnsi="Times New Roman" w:cs="Times New Roman"/>
                <w:color w:val="auto"/>
                <w:vertAlign w:val="superscript"/>
              </w:rPr>
              <w:t>3</w:t>
            </w:r>
          </w:p>
        </w:tc>
      </w:tr>
    </w:tbl>
    <w:p>
      <w:pPr>
        <w:spacing w:before="156" w:beforeLines="50" w:line="360" w:lineRule="auto"/>
        <w:rPr>
          <w:rFonts w:ascii="Times New Roman" w:hAnsi="Times New Roman" w:cs="Times New Roman"/>
          <w:b/>
          <w:color w:val="auto"/>
          <w:sz w:val="24"/>
          <w:szCs w:val="24"/>
        </w:rPr>
      </w:pPr>
      <w:r>
        <w:rPr>
          <w:rFonts w:ascii="Times New Roman" w:hAnsi="Times New Roman" w:cs="Times New Roman"/>
          <w:b/>
          <w:color w:val="auto"/>
          <w:sz w:val="24"/>
          <w:szCs w:val="24"/>
        </w:rPr>
        <w:t>2、废水排放标准</w:t>
      </w:r>
    </w:p>
    <w:p>
      <w:pPr>
        <w:adjustRightInd w:val="0"/>
        <w:snapToGrid w:val="0"/>
        <w:spacing w:line="360" w:lineRule="auto"/>
        <w:ind w:firstLine="504" w:firstLineChars="200"/>
        <w:rPr>
          <w:rFonts w:ascii="Times New Roman" w:hAnsi="Times New Roman" w:cs="Times New Roman"/>
          <w:b/>
          <w:color w:val="auto"/>
          <w:sz w:val="24"/>
          <w:szCs w:val="24"/>
        </w:rPr>
      </w:pPr>
      <w:r>
        <w:rPr>
          <w:rFonts w:ascii="Times New Roman" w:hAnsi="Times New Roman" w:cs="Times New Roman"/>
          <w:color w:val="auto"/>
          <w:spacing w:val="6"/>
          <w:sz w:val="24"/>
          <w:szCs w:val="24"/>
        </w:rPr>
        <w:t>本项目位于岳阳绿色化工产业园，废水可排入云溪污水处理厂处理，本项目废水排放执行《合成树脂工业污染物排放标准》（GB31572-2015）中表1的间接排放限值，同时废水排放应满足云溪污水处理厂纳管限值要求，具体标准限值见下表。</w:t>
      </w:r>
    </w:p>
    <w:p>
      <w:pPr>
        <w:adjustRightInd w:val="0"/>
        <w:snapToGrid w:val="0"/>
        <w:spacing w:line="271" w:lineRule="auto"/>
        <w:ind w:left="420"/>
        <w:jc w:val="center"/>
        <w:rPr>
          <w:rFonts w:ascii="Times New Roman" w:hAnsi="Times New Roman" w:cs="Times New Roman"/>
          <w:b/>
          <w:color w:val="auto"/>
        </w:rPr>
      </w:pPr>
      <w:r>
        <w:rPr>
          <w:rFonts w:ascii="Times New Roman" w:hAnsi="Times New Roman" w:cs="Times New Roman"/>
          <w:b/>
          <w:color w:val="auto"/>
        </w:rPr>
        <w:t>表</w:t>
      </w:r>
      <w:r>
        <w:rPr>
          <w:rFonts w:hint="eastAsia" w:ascii="Times New Roman" w:hAnsi="Times New Roman" w:cs="Times New Roman"/>
          <w:b/>
          <w:color w:val="auto"/>
          <w:lang w:val="en-US" w:eastAsia="zh-CN"/>
        </w:rPr>
        <w:t>6.1-7</w:t>
      </w:r>
      <w:r>
        <w:rPr>
          <w:rFonts w:ascii="Times New Roman" w:hAnsi="Times New Roman" w:cs="Times New Roman"/>
          <w:b/>
          <w:color w:val="auto"/>
        </w:rPr>
        <w:t xml:space="preserve">  水污染物排放限值  单位：mg/L，pH无量纲</w:t>
      </w:r>
    </w:p>
    <w:tbl>
      <w:tblPr>
        <w:tblStyle w:val="28"/>
        <w:tblW w:w="0" w:type="auto"/>
        <w:tblInd w:w="108"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701"/>
        <w:gridCol w:w="2706"/>
        <w:gridCol w:w="2271"/>
        <w:gridCol w:w="222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trPr>
        <w:tc>
          <w:tcPr>
            <w:tcW w:w="1701" w:type="dxa"/>
            <w:vMerge w:val="restart"/>
            <w:vAlign w:val="center"/>
          </w:tcPr>
          <w:p>
            <w:pPr>
              <w:pStyle w:val="13"/>
              <w:adjustRightInd w:val="0"/>
              <w:snapToGrid w:val="0"/>
              <w:spacing w:after="0"/>
              <w:jc w:val="center"/>
              <w:rPr>
                <w:rFonts w:ascii="Times New Roman" w:hAnsi="Times New Roman" w:cs="Times New Roman"/>
                <w:color w:val="auto"/>
                <w:kern w:val="0"/>
                <w:szCs w:val="21"/>
              </w:rPr>
            </w:pPr>
            <w:r>
              <w:rPr>
                <w:rFonts w:ascii="Times New Roman" w:hAnsi="Times New Roman" w:cs="Times New Roman"/>
                <w:color w:val="auto"/>
                <w:kern w:val="0"/>
                <w:szCs w:val="21"/>
              </w:rPr>
              <w:t>项目</w:t>
            </w:r>
          </w:p>
        </w:tc>
        <w:tc>
          <w:tcPr>
            <w:tcW w:w="7199" w:type="dxa"/>
            <w:gridSpan w:val="3"/>
            <w:vAlign w:val="center"/>
          </w:tcPr>
          <w:p>
            <w:pPr>
              <w:pStyle w:val="13"/>
              <w:adjustRightInd w:val="0"/>
              <w:snapToGrid w:val="0"/>
              <w:spacing w:after="0"/>
              <w:jc w:val="center"/>
              <w:rPr>
                <w:rFonts w:ascii="Times New Roman" w:hAnsi="Times New Roman" w:cs="Times New Roman"/>
                <w:color w:val="auto"/>
                <w:kern w:val="0"/>
                <w:szCs w:val="21"/>
              </w:rPr>
            </w:pPr>
            <w:r>
              <w:rPr>
                <w:rFonts w:ascii="Times New Roman" w:hAnsi="Times New Roman" w:cs="Times New Roman"/>
                <w:color w:val="auto"/>
                <w:kern w:val="0"/>
                <w:szCs w:val="21"/>
              </w:rPr>
              <w:t>最高允许浓度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trPr>
        <w:tc>
          <w:tcPr>
            <w:tcW w:w="1701" w:type="dxa"/>
            <w:vMerge w:val="continue"/>
            <w:vAlign w:val="center"/>
          </w:tcPr>
          <w:p>
            <w:pPr>
              <w:pStyle w:val="13"/>
              <w:adjustRightInd w:val="0"/>
              <w:snapToGrid w:val="0"/>
              <w:spacing w:after="0"/>
              <w:jc w:val="center"/>
              <w:rPr>
                <w:rFonts w:ascii="Times New Roman" w:hAnsi="Times New Roman" w:cs="Times New Roman"/>
                <w:color w:val="auto"/>
                <w:kern w:val="0"/>
                <w:szCs w:val="21"/>
              </w:rPr>
            </w:pPr>
          </w:p>
        </w:tc>
        <w:tc>
          <w:tcPr>
            <w:tcW w:w="2706" w:type="dxa"/>
            <w:vAlign w:val="center"/>
          </w:tcPr>
          <w:p>
            <w:pPr>
              <w:pStyle w:val="13"/>
              <w:adjustRightInd w:val="0"/>
              <w:snapToGrid w:val="0"/>
              <w:spacing w:after="0"/>
              <w:jc w:val="center"/>
              <w:rPr>
                <w:rFonts w:ascii="Times New Roman" w:hAnsi="Times New Roman" w:cs="Times New Roman"/>
                <w:color w:val="auto"/>
                <w:kern w:val="0"/>
                <w:szCs w:val="21"/>
              </w:rPr>
            </w:pPr>
            <w:r>
              <w:rPr>
                <w:rFonts w:ascii="Times New Roman" w:hAnsi="Times New Roman" w:cs="Times New Roman"/>
                <w:color w:val="auto"/>
                <w:kern w:val="0"/>
                <w:szCs w:val="21"/>
              </w:rPr>
              <w:t>GB31572-2015标准限值</w:t>
            </w:r>
          </w:p>
        </w:tc>
        <w:tc>
          <w:tcPr>
            <w:tcW w:w="2271" w:type="dxa"/>
            <w:vAlign w:val="center"/>
          </w:tcPr>
          <w:p>
            <w:pPr>
              <w:pStyle w:val="13"/>
              <w:adjustRightInd w:val="0"/>
              <w:snapToGrid w:val="0"/>
              <w:spacing w:after="0"/>
              <w:jc w:val="center"/>
              <w:rPr>
                <w:rFonts w:ascii="Times New Roman" w:hAnsi="Times New Roman" w:cs="Times New Roman"/>
                <w:color w:val="auto"/>
                <w:kern w:val="0"/>
                <w:szCs w:val="21"/>
              </w:rPr>
            </w:pPr>
            <w:r>
              <w:rPr>
                <w:rFonts w:ascii="Times New Roman" w:hAnsi="Times New Roman" w:cs="Times New Roman"/>
                <w:color w:val="auto"/>
                <w:kern w:val="0"/>
                <w:szCs w:val="21"/>
              </w:rPr>
              <w:t>污水处理厂纳污标准</w:t>
            </w:r>
          </w:p>
        </w:tc>
        <w:tc>
          <w:tcPr>
            <w:tcW w:w="2222" w:type="dxa"/>
            <w:vAlign w:val="center"/>
          </w:tcPr>
          <w:p>
            <w:pPr>
              <w:pStyle w:val="13"/>
              <w:adjustRightInd w:val="0"/>
              <w:snapToGrid w:val="0"/>
              <w:spacing w:after="0"/>
              <w:jc w:val="center"/>
              <w:rPr>
                <w:rFonts w:ascii="Times New Roman" w:hAnsi="Times New Roman" w:cs="Times New Roman"/>
                <w:color w:val="auto"/>
                <w:kern w:val="0"/>
                <w:szCs w:val="21"/>
              </w:rPr>
            </w:pPr>
            <w:r>
              <w:rPr>
                <w:rFonts w:ascii="Times New Roman" w:hAnsi="Times New Roman" w:cs="Times New Roman"/>
                <w:color w:val="auto"/>
                <w:kern w:val="0"/>
                <w:szCs w:val="21"/>
              </w:rPr>
              <w:t>本项目外排执行标准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701" w:type="dxa"/>
            <w:vAlign w:val="center"/>
          </w:tcPr>
          <w:p>
            <w:pPr>
              <w:pStyle w:val="13"/>
              <w:adjustRightInd w:val="0"/>
              <w:snapToGrid w:val="0"/>
              <w:spacing w:after="0"/>
              <w:jc w:val="center"/>
              <w:rPr>
                <w:rFonts w:ascii="Times New Roman" w:hAnsi="Times New Roman" w:cs="Times New Roman"/>
                <w:color w:val="auto"/>
                <w:kern w:val="0"/>
                <w:szCs w:val="21"/>
              </w:rPr>
            </w:pPr>
            <w:r>
              <w:rPr>
                <w:rFonts w:ascii="Times New Roman" w:hAnsi="Times New Roman" w:cs="Times New Roman"/>
                <w:color w:val="auto"/>
                <w:kern w:val="0"/>
                <w:szCs w:val="21"/>
              </w:rPr>
              <w:t>pH</w:t>
            </w:r>
          </w:p>
        </w:tc>
        <w:tc>
          <w:tcPr>
            <w:tcW w:w="2706" w:type="dxa"/>
            <w:vAlign w:val="center"/>
          </w:tcPr>
          <w:p>
            <w:pPr>
              <w:pStyle w:val="13"/>
              <w:adjustRightInd w:val="0"/>
              <w:snapToGrid w:val="0"/>
              <w:spacing w:after="0"/>
              <w:jc w:val="center"/>
              <w:rPr>
                <w:rFonts w:ascii="Times New Roman" w:hAnsi="Times New Roman" w:cs="Times New Roman"/>
                <w:color w:val="auto"/>
                <w:kern w:val="0"/>
                <w:szCs w:val="21"/>
              </w:rPr>
            </w:pPr>
            <w:r>
              <w:rPr>
                <w:rFonts w:ascii="Times New Roman" w:hAnsi="Times New Roman" w:cs="Times New Roman"/>
                <w:color w:val="auto"/>
                <w:kern w:val="0"/>
                <w:szCs w:val="21"/>
              </w:rPr>
              <w:t>/</w:t>
            </w:r>
          </w:p>
        </w:tc>
        <w:tc>
          <w:tcPr>
            <w:tcW w:w="2271" w:type="dxa"/>
            <w:vAlign w:val="center"/>
          </w:tcPr>
          <w:p>
            <w:pPr>
              <w:pStyle w:val="13"/>
              <w:adjustRightInd w:val="0"/>
              <w:snapToGrid w:val="0"/>
              <w:spacing w:after="0"/>
              <w:jc w:val="center"/>
              <w:rPr>
                <w:rFonts w:ascii="Times New Roman" w:hAnsi="Times New Roman" w:cs="Times New Roman"/>
                <w:color w:val="auto"/>
                <w:kern w:val="0"/>
                <w:szCs w:val="21"/>
              </w:rPr>
            </w:pPr>
            <w:r>
              <w:rPr>
                <w:rFonts w:ascii="Times New Roman" w:hAnsi="Times New Roman" w:cs="Times New Roman"/>
                <w:color w:val="auto"/>
                <w:kern w:val="0"/>
                <w:szCs w:val="21"/>
              </w:rPr>
              <w:t>6～9</w:t>
            </w:r>
          </w:p>
        </w:tc>
        <w:tc>
          <w:tcPr>
            <w:tcW w:w="2222" w:type="dxa"/>
            <w:vAlign w:val="center"/>
          </w:tcPr>
          <w:p>
            <w:pPr>
              <w:pStyle w:val="13"/>
              <w:adjustRightInd w:val="0"/>
              <w:snapToGrid w:val="0"/>
              <w:spacing w:after="0"/>
              <w:jc w:val="center"/>
              <w:rPr>
                <w:rFonts w:ascii="Times New Roman" w:hAnsi="Times New Roman" w:cs="Times New Roman"/>
                <w:color w:val="auto"/>
                <w:kern w:val="0"/>
                <w:szCs w:val="21"/>
              </w:rPr>
            </w:pPr>
            <w:r>
              <w:rPr>
                <w:rFonts w:ascii="Times New Roman" w:hAnsi="Times New Roman" w:cs="Times New Roman"/>
                <w:color w:val="auto"/>
                <w:kern w:val="0"/>
                <w:szCs w:val="21"/>
              </w:rPr>
              <w:t>6～9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701" w:type="dxa"/>
            <w:vAlign w:val="center"/>
          </w:tcPr>
          <w:p>
            <w:pPr>
              <w:pStyle w:val="13"/>
              <w:adjustRightInd w:val="0"/>
              <w:snapToGrid w:val="0"/>
              <w:spacing w:after="0"/>
              <w:jc w:val="center"/>
              <w:rPr>
                <w:rFonts w:ascii="Times New Roman" w:hAnsi="Times New Roman" w:cs="Times New Roman"/>
                <w:color w:val="auto"/>
                <w:kern w:val="0"/>
                <w:szCs w:val="21"/>
              </w:rPr>
            </w:pPr>
            <w:r>
              <w:rPr>
                <w:rFonts w:ascii="Times New Roman" w:hAnsi="Times New Roman" w:cs="Times New Roman"/>
                <w:color w:val="auto"/>
                <w:kern w:val="0"/>
                <w:szCs w:val="21"/>
              </w:rPr>
              <w:t>COD</w:t>
            </w:r>
          </w:p>
        </w:tc>
        <w:tc>
          <w:tcPr>
            <w:tcW w:w="2706" w:type="dxa"/>
            <w:vAlign w:val="center"/>
          </w:tcPr>
          <w:p>
            <w:pPr>
              <w:pStyle w:val="13"/>
              <w:adjustRightInd w:val="0"/>
              <w:snapToGrid w:val="0"/>
              <w:spacing w:after="0"/>
              <w:jc w:val="center"/>
              <w:rPr>
                <w:rFonts w:ascii="Times New Roman" w:hAnsi="Times New Roman" w:cs="Times New Roman"/>
                <w:color w:val="auto"/>
                <w:kern w:val="0"/>
                <w:szCs w:val="21"/>
              </w:rPr>
            </w:pPr>
            <w:r>
              <w:rPr>
                <w:rFonts w:ascii="Times New Roman" w:hAnsi="Times New Roman" w:cs="Times New Roman"/>
                <w:color w:val="auto"/>
                <w:kern w:val="0"/>
                <w:szCs w:val="21"/>
              </w:rPr>
              <w:t>/</w:t>
            </w:r>
          </w:p>
        </w:tc>
        <w:tc>
          <w:tcPr>
            <w:tcW w:w="2271" w:type="dxa"/>
            <w:vAlign w:val="center"/>
          </w:tcPr>
          <w:p>
            <w:pPr>
              <w:pStyle w:val="13"/>
              <w:adjustRightInd w:val="0"/>
              <w:snapToGrid w:val="0"/>
              <w:spacing w:after="0"/>
              <w:jc w:val="center"/>
              <w:rPr>
                <w:rFonts w:ascii="Times New Roman" w:hAnsi="Times New Roman" w:cs="Times New Roman"/>
                <w:color w:val="auto"/>
                <w:kern w:val="0"/>
                <w:szCs w:val="21"/>
              </w:rPr>
            </w:pPr>
            <w:r>
              <w:rPr>
                <w:rFonts w:ascii="Times New Roman" w:hAnsi="Times New Roman" w:cs="Times New Roman"/>
                <w:color w:val="auto"/>
                <w:kern w:val="0"/>
                <w:szCs w:val="21"/>
              </w:rPr>
              <w:t>1000</w:t>
            </w:r>
          </w:p>
        </w:tc>
        <w:tc>
          <w:tcPr>
            <w:tcW w:w="2222" w:type="dxa"/>
            <w:vAlign w:val="center"/>
          </w:tcPr>
          <w:p>
            <w:pPr>
              <w:pStyle w:val="13"/>
              <w:adjustRightInd w:val="0"/>
              <w:snapToGrid w:val="0"/>
              <w:spacing w:after="0"/>
              <w:jc w:val="center"/>
              <w:rPr>
                <w:rFonts w:ascii="Times New Roman" w:hAnsi="Times New Roman" w:cs="Times New Roman"/>
                <w:color w:val="auto"/>
                <w:kern w:val="0"/>
                <w:szCs w:val="21"/>
              </w:rPr>
            </w:pPr>
            <w:r>
              <w:rPr>
                <w:rFonts w:ascii="Times New Roman" w:hAnsi="Times New Roman" w:cs="Times New Roman"/>
                <w:color w:val="auto"/>
                <w:kern w:val="0"/>
                <w:szCs w:val="21"/>
              </w:rPr>
              <w:t>1000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701" w:type="dxa"/>
            <w:vAlign w:val="center"/>
          </w:tcPr>
          <w:p>
            <w:pPr>
              <w:pStyle w:val="13"/>
              <w:adjustRightInd w:val="0"/>
              <w:snapToGrid w:val="0"/>
              <w:spacing w:after="0"/>
              <w:jc w:val="center"/>
              <w:rPr>
                <w:rFonts w:ascii="Times New Roman" w:hAnsi="Times New Roman" w:cs="Times New Roman"/>
                <w:color w:val="auto"/>
                <w:kern w:val="0"/>
                <w:szCs w:val="21"/>
              </w:rPr>
            </w:pPr>
            <w:r>
              <w:rPr>
                <w:rFonts w:ascii="Times New Roman" w:hAnsi="Times New Roman" w:cs="Times New Roman"/>
                <w:color w:val="auto"/>
                <w:kern w:val="0"/>
                <w:szCs w:val="21"/>
              </w:rPr>
              <w:t>BOD</w:t>
            </w:r>
            <w:r>
              <w:rPr>
                <w:rFonts w:ascii="Times New Roman" w:hAnsi="Times New Roman" w:cs="Times New Roman"/>
                <w:color w:val="auto"/>
                <w:kern w:val="0"/>
                <w:szCs w:val="21"/>
                <w:vertAlign w:val="subscript"/>
              </w:rPr>
              <w:t>5</w:t>
            </w:r>
          </w:p>
        </w:tc>
        <w:tc>
          <w:tcPr>
            <w:tcW w:w="2706" w:type="dxa"/>
            <w:vAlign w:val="center"/>
          </w:tcPr>
          <w:p>
            <w:pPr>
              <w:pStyle w:val="13"/>
              <w:adjustRightInd w:val="0"/>
              <w:snapToGrid w:val="0"/>
              <w:spacing w:after="0"/>
              <w:jc w:val="center"/>
              <w:rPr>
                <w:rFonts w:ascii="Times New Roman" w:hAnsi="Times New Roman" w:cs="Times New Roman"/>
                <w:color w:val="auto"/>
                <w:kern w:val="0"/>
                <w:szCs w:val="21"/>
              </w:rPr>
            </w:pPr>
            <w:r>
              <w:rPr>
                <w:rFonts w:ascii="Times New Roman" w:hAnsi="Times New Roman" w:cs="Times New Roman"/>
                <w:color w:val="auto"/>
                <w:kern w:val="0"/>
                <w:szCs w:val="21"/>
              </w:rPr>
              <w:t>/</w:t>
            </w:r>
          </w:p>
        </w:tc>
        <w:tc>
          <w:tcPr>
            <w:tcW w:w="2271" w:type="dxa"/>
            <w:vAlign w:val="center"/>
          </w:tcPr>
          <w:p>
            <w:pPr>
              <w:pStyle w:val="13"/>
              <w:adjustRightInd w:val="0"/>
              <w:snapToGrid w:val="0"/>
              <w:spacing w:after="0"/>
              <w:jc w:val="center"/>
              <w:rPr>
                <w:rFonts w:ascii="Times New Roman" w:hAnsi="Times New Roman" w:cs="Times New Roman"/>
                <w:color w:val="auto"/>
                <w:kern w:val="0"/>
                <w:szCs w:val="21"/>
              </w:rPr>
            </w:pPr>
            <w:r>
              <w:rPr>
                <w:rFonts w:ascii="Times New Roman" w:hAnsi="Times New Roman" w:cs="Times New Roman"/>
                <w:color w:val="auto"/>
                <w:kern w:val="0"/>
                <w:szCs w:val="21"/>
              </w:rPr>
              <w:t>300</w:t>
            </w:r>
          </w:p>
        </w:tc>
        <w:tc>
          <w:tcPr>
            <w:tcW w:w="2222" w:type="dxa"/>
            <w:vAlign w:val="center"/>
          </w:tcPr>
          <w:p>
            <w:pPr>
              <w:pStyle w:val="13"/>
              <w:adjustRightInd w:val="0"/>
              <w:snapToGrid w:val="0"/>
              <w:spacing w:after="0"/>
              <w:jc w:val="center"/>
              <w:rPr>
                <w:rFonts w:ascii="Times New Roman" w:hAnsi="Times New Roman" w:cs="Times New Roman"/>
                <w:color w:val="auto"/>
                <w:kern w:val="0"/>
                <w:szCs w:val="21"/>
              </w:rPr>
            </w:pPr>
            <w:r>
              <w:rPr>
                <w:rFonts w:ascii="Times New Roman" w:hAnsi="Times New Roman" w:cs="Times New Roman"/>
                <w:color w:val="auto"/>
                <w:kern w:val="0"/>
                <w:szCs w:val="21"/>
              </w:rPr>
              <w:t>300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701" w:type="dxa"/>
            <w:vAlign w:val="center"/>
          </w:tcPr>
          <w:p>
            <w:pPr>
              <w:pStyle w:val="13"/>
              <w:adjustRightInd w:val="0"/>
              <w:snapToGrid w:val="0"/>
              <w:spacing w:after="0"/>
              <w:jc w:val="center"/>
              <w:rPr>
                <w:rFonts w:ascii="Times New Roman" w:hAnsi="Times New Roman" w:cs="Times New Roman"/>
                <w:color w:val="auto"/>
                <w:kern w:val="0"/>
                <w:szCs w:val="21"/>
              </w:rPr>
            </w:pPr>
            <w:r>
              <w:rPr>
                <w:rFonts w:ascii="Times New Roman" w:hAnsi="Times New Roman" w:cs="Times New Roman"/>
                <w:color w:val="auto"/>
                <w:kern w:val="0"/>
                <w:szCs w:val="21"/>
              </w:rPr>
              <w:t>氨氮</w:t>
            </w:r>
          </w:p>
        </w:tc>
        <w:tc>
          <w:tcPr>
            <w:tcW w:w="2706" w:type="dxa"/>
            <w:vAlign w:val="center"/>
          </w:tcPr>
          <w:p>
            <w:pPr>
              <w:pStyle w:val="13"/>
              <w:adjustRightInd w:val="0"/>
              <w:snapToGrid w:val="0"/>
              <w:spacing w:after="0"/>
              <w:jc w:val="center"/>
              <w:rPr>
                <w:rFonts w:ascii="Times New Roman" w:hAnsi="Times New Roman" w:cs="Times New Roman"/>
                <w:color w:val="auto"/>
                <w:kern w:val="0"/>
                <w:szCs w:val="21"/>
              </w:rPr>
            </w:pPr>
            <w:r>
              <w:rPr>
                <w:rFonts w:ascii="Times New Roman" w:hAnsi="Times New Roman" w:cs="Times New Roman"/>
                <w:color w:val="auto"/>
                <w:kern w:val="0"/>
                <w:szCs w:val="21"/>
              </w:rPr>
              <w:t>/</w:t>
            </w:r>
          </w:p>
        </w:tc>
        <w:tc>
          <w:tcPr>
            <w:tcW w:w="2271" w:type="dxa"/>
            <w:vAlign w:val="center"/>
          </w:tcPr>
          <w:p>
            <w:pPr>
              <w:pStyle w:val="13"/>
              <w:adjustRightInd w:val="0"/>
              <w:snapToGrid w:val="0"/>
              <w:spacing w:after="0"/>
              <w:jc w:val="center"/>
              <w:rPr>
                <w:rFonts w:hint="default" w:ascii="Times New Roman" w:hAnsi="Times New Roman" w:cs="Times New Roman" w:eastAsiaTheme="minorEastAsia"/>
                <w:color w:val="auto"/>
                <w:kern w:val="0"/>
                <w:szCs w:val="21"/>
                <w:lang w:val="en-US" w:eastAsia="zh-CN"/>
              </w:rPr>
            </w:pPr>
            <w:r>
              <w:rPr>
                <w:rFonts w:hint="eastAsia" w:ascii="Times New Roman" w:hAnsi="Times New Roman" w:cs="Times New Roman"/>
                <w:color w:val="auto"/>
                <w:kern w:val="0"/>
                <w:szCs w:val="21"/>
                <w:lang w:val="en-US" w:eastAsia="zh-CN"/>
              </w:rPr>
              <w:t>30</w:t>
            </w:r>
          </w:p>
        </w:tc>
        <w:tc>
          <w:tcPr>
            <w:tcW w:w="2222" w:type="dxa"/>
            <w:vAlign w:val="center"/>
          </w:tcPr>
          <w:p>
            <w:pPr>
              <w:pStyle w:val="13"/>
              <w:adjustRightInd w:val="0"/>
              <w:snapToGrid w:val="0"/>
              <w:spacing w:after="0"/>
              <w:jc w:val="center"/>
              <w:rPr>
                <w:rFonts w:hint="default" w:ascii="Times New Roman" w:hAnsi="Times New Roman" w:cs="Times New Roman" w:eastAsiaTheme="minorEastAsia"/>
                <w:color w:val="auto"/>
                <w:kern w:val="0"/>
                <w:szCs w:val="21"/>
                <w:lang w:val="en-US" w:eastAsia="zh-CN"/>
              </w:rPr>
            </w:pPr>
            <w:r>
              <w:rPr>
                <w:rFonts w:hint="eastAsia" w:ascii="Times New Roman" w:hAnsi="Times New Roman" w:cs="Times New Roman"/>
                <w:color w:val="auto"/>
                <w:kern w:val="0"/>
                <w:szCs w:val="21"/>
                <w:lang w:val="en-US" w:eastAsia="zh-CN"/>
              </w:rPr>
              <w:t>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701" w:type="dxa"/>
            <w:vAlign w:val="center"/>
          </w:tcPr>
          <w:p>
            <w:pPr>
              <w:pStyle w:val="13"/>
              <w:adjustRightInd w:val="0"/>
              <w:snapToGrid w:val="0"/>
              <w:spacing w:after="0"/>
              <w:jc w:val="center"/>
              <w:rPr>
                <w:rFonts w:ascii="Times New Roman" w:hAnsi="Times New Roman" w:cs="Times New Roman"/>
                <w:color w:val="auto"/>
                <w:kern w:val="0"/>
                <w:szCs w:val="21"/>
              </w:rPr>
            </w:pPr>
            <w:r>
              <w:rPr>
                <w:rFonts w:ascii="Times New Roman" w:hAnsi="Times New Roman" w:cs="Times New Roman"/>
                <w:color w:val="auto"/>
                <w:kern w:val="0"/>
                <w:szCs w:val="21"/>
              </w:rPr>
              <w:t>苯酚</w:t>
            </w:r>
          </w:p>
        </w:tc>
        <w:tc>
          <w:tcPr>
            <w:tcW w:w="2706" w:type="dxa"/>
            <w:vAlign w:val="center"/>
          </w:tcPr>
          <w:p>
            <w:pPr>
              <w:pStyle w:val="13"/>
              <w:adjustRightInd w:val="0"/>
              <w:snapToGrid w:val="0"/>
              <w:spacing w:after="0"/>
              <w:jc w:val="center"/>
              <w:rPr>
                <w:rFonts w:ascii="Times New Roman" w:hAnsi="Times New Roman" w:cs="Times New Roman"/>
                <w:color w:val="auto"/>
                <w:kern w:val="0"/>
                <w:szCs w:val="21"/>
              </w:rPr>
            </w:pPr>
            <w:r>
              <w:rPr>
                <w:rFonts w:ascii="Times New Roman" w:hAnsi="Times New Roman" w:cs="Times New Roman"/>
                <w:color w:val="auto"/>
                <w:kern w:val="0"/>
                <w:szCs w:val="21"/>
              </w:rPr>
              <w:t>0.5</w:t>
            </w:r>
          </w:p>
        </w:tc>
        <w:tc>
          <w:tcPr>
            <w:tcW w:w="2271" w:type="dxa"/>
            <w:vAlign w:val="center"/>
          </w:tcPr>
          <w:p>
            <w:pPr>
              <w:pStyle w:val="13"/>
              <w:adjustRightInd w:val="0"/>
              <w:snapToGrid w:val="0"/>
              <w:spacing w:after="0"/>
              <w:jc w:val="center"/>
              <w:rPr>
                <w:rFonts w:ascii="Times New Roman" w:hAnsi="Times New Roman" w:cs="Times New Roman"/>
                <w:color w:val="auto"/>
                <w:kern w:val="0"/>
                <w:szCs w:val="21"/>
              </w:rPr>
            </w:pPr>
            <w:r>
              <w:rPr>
                <w:rFonts w:ascii="Times New Roman" w:hAnsi="Times New Roman" w:cs="Times New Roman"/>
                <w:color w:val="auto"/>
                <w:kern w:val="0"/>
                <w:szCs w:val="21"/>
              </w:rPr>
              <w:t>/</w:t>
            </w:r>
          </w:p>
        </w:tc>
        <w:tc>
          <w:tcPr>
            <w:tcW w:w="2222" w:type="dxa"/>
            <w:vAlign w:val="center"/>
          </w:tcPr>
          <w:p>
            <w:pPr>
              <w:pStyle w:val="13"/>
              <w:adjustRightInd w:val="0"/>
              <w:snapToGrid w:val="0"/>
              <w:spacing w:after="0"/>
              <w:jc w:val="center"/>
              <w:rPr>
                <w:rFonts w:ascii="Times New Roman" w:hAnsi="Times New Roman" w:cs="Times New Roman"/>
                <w:color w:val="auto"/>
                <w:kern w:val="0"/>
                <w:szCs w:val="21"/>
              </w:rPr>
            </w:pPr>
            <w:r>
              <w:rPr>
                <w:rFonts w:ascii="Times New Roman" w:hAnsi="Times New Roman" w:cs="Times New Roman"/>
                <w:color w:val="auto"/>
                <w:kern w:val="0"/>
                <w:szCs w:val="21"/>
              </w:rPr>
              <w:t>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701" w:type="dxa"/>
            <w:vAlign w:val="center"/>
          </w:tcPr>
          <w:p>
            <w:pPr>
              <w:pStyle w:val="13"/>
              <w:adjustRightInd w:val="0"/>
              <w:snapToGrid w:val="0"/>
              <w:spacing w:after="0"/>
              <w:jc w:val="center"/>
              <w:rPr>
                <w:rFonts w:ascii="Times New Roman" w:hAnsi="Times New Roman" w:cs="Times New Roman"/>
                <w:color w:val="auto"/>
                <w:kern w:val="0"/>
                <w:szCs w:val="21"/>
              </w:rPr>
            </w:pPr>
            <w:r>
              <w:rPr>
                <w:rFonts w:ascii="Times New Roman" w:hAnsi="Times New Roman" w:cs="Times New Roman"/>
                <w:color w:val="auto"/>
                <w:kern w:val="0"/>
                <w:szCs w:val="21"/>
              </w:rPr>
              <w:t>甲醛</w:t>
            </w:r>
          </w:p>
        </w:tc>
        <w:tc>
          <w:tcPr>
            <w:tcW w:w="2706" w:type="dxa"/>
            <w:vAlign w:val="center"/>
          </w:tcPr>
          <w:p>
            <w:pPr>
              <w:pStyle w:val="13"/>
              <w:adjustRightInd w:val="0"/>
              <w:snapToGrid w:val="0"/>
              <w:spacing w:after="0"/>
              <w:jc w:val="center"/>
              <w:rPr>
                <w:rFonts w:ascii="Times New Roman" w:hAnsi="Times New Roman" w:cs="Times New Roman"/>
                <w:color w:val="auto"/>
                <w:kern w:val="0"/>
                <w:szCs w:val="21"/>
              </w:rPr>
            </w:pPr>
            <w:r>
              <w:rPr>
                <w:rFonts w:ascii="Times New Roman" w:hAnsi="Times New Roman" w:cs="Times New Roman"/>
                <w:color w:val="auto"/>
                <w:kern w:val="0"/>
                <w:szCs w:val="21"/>
              </w:rPr>
              <w:t>5.0</w:t>
            </w:r>
          </w:p>
        </w:tc>
        <w:tc>
          <w:tcPr>
            <w:tcW w:w="2271" w:type="dxa"/>
            <w:vAlign w:val="center"/>
          </w:tcPr>
          <w:p>
            <w:pPr>
              <w:pStyle w:val="13"/>
              <w:adjustRightInd w:val="0"/>
              <w:snapToGrid w:val="0"/>
              <w:spacing w:after="0"/>
              <w:jc w:val="center"/>
              <w:rPr>
                <w:rFonts w:ascii="Times New Roman" w:hAnsi="Times New Roman" w:cs="Times New Roman"/>
                <w:color w:val="auto"/>
                <w:kern w:val="0"/>
                <w:szCs w:val="21"/>
              </w:rPr>
            </w:pPr>
            <w:r>
              <w:rPr>
                <w:rFonts w:ascii="Times New Roman" w:hAnsi="Times New Roman" w:cs="Times New Roman"/>
                <w:color w:val="auto"/>
                <w:kern w:val="0"/>
                <w:szCs w:val="21"/>
              </w:rPr>
              <w:t>/</w:t>
            </w:r>
          </w:p>
        </w:tc>
        <w:tc>
          <w:tcPr>
            <w:tcW w:w="2222" w:type="dxa"/>
            <w:vAlign w:val="center"/>
          </w:tcPr>
          <w:p>
            <w:pPr>
              <w:pStyle w:val="13"/>
              <w:adjustRightInd w:val="0"/>
              <w:snapToGrid w:val="0"/>
              <w:spacing w:after="0"/>
              <w:jc w:val="center"/>
              <w:rPr>
                <w:rFonts w:ascii="Times New Roman" w:hAnsi="Times New Roman" w:cs="Times New Roman"/>
                <w:color w:val="auto"/>
                <w:kern w:val="0"/>
                <w:szCs w:val="21"/>
              </w:rPr>
            </w:pPr>
            <w:r>
              <w:rPr>
                <w:rFonts w:ascii="Times New Roman" w:hAnsi="Times New Roman" w:cs="Times New Roman"/>
                <w:color w:val="auto"/>
                <w:kern w:val="0"/>
                <w:szCs w:val="21"/>
              </w:rPr>
              <w:t>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0" w:hRule="atLeast"/>
        </w:trPr>
        <w:tc>
          <w:tcPr>
            <w:tcW w:w="1701" w:type="dxa"/>
            <w:vAlign w:val="center"/>
          </w:tcPr>
          <w:p>
            <w:pPr>
              <w:pStyle w:val="13"/>
              <w:adjustRightInd w:val="0"/>
              <w:snapToGrid w:val="0"/>
              <w:spacing w:after="0"/>
              <w:jc w:val="center"/>
              <w:rPr>
                <w:rFonts w:ascii="Times New Roman" w:hAnsi="Times New Roman" w:cs="Times New Roman"/>
                <w:color w:val="auto"/>
                <w:kern w:val="0"/>
                <w:szCs w:val="21"/>
              </w:rPr>
            </w:pPr>
            <w:r>
              <w:rPr>
                <w:rFonts w:ascii="Times New Roman" w:hAnsi="Times New Roman" w:cs="Times New Roman"/>
                <w:color w:val="auto"/>
                <w:kern w:val="0"/>
                <w:szCs w:val="21"/>
              </w:rPr>
              <w:t>SS</w:t>
            </w:r>
          </w:p>
        </w:tc>
        <w:tc>
          <w:tcPr>
            <w:tcW w:w="2706" w:type="dxa"/>
            <w:vAlign w:val="center"/>
          </w:tcPr>
          <w:p>
            <w:pPr>
              <w:pStyle w:val="13"/>
              <w:adjustRightInd w:val="0"/>
              <w:snapToGrid w:val="0"/>
              <w:spacing w:after="0"/>
              <w:jc w:val="center"/>
              <w:rPr>
                <w:rFonts w:ascii="Times New Roman" w:hAnsi="Times New Roman" w:cs="Times New Roman"/>
                <w:color w:val="auto"/>
                <w:kern w:val="0"/>
                <w:szCs w:val="21"/>
              </w:rPr>
            </w:pPr>
            <w:r>
              <w:rPr>
                <w:rFonts w:ascii="Times New Roman" w:hAnsi="Times New Roman" w:cs="Times New Roman"/>
                <w:color w:val="auto"/>
                <w:kern w:val="0"/>
                <w:szCs w:val="21"/>
              </w:rPr>
              <w:t>/</w:t>
            </w:r>
          </w:p>
        </w:tc>
        <w:tc>
          <w:tcPr>
            <w:tcW w:w="2271" w:type="dxa"/>
            <w:vAlign w:val="center"/>
          </w:tcPr>
          <w:p>
            <w:pPr>
              <w:pStyle w:val="13"/>
              <w:adjustRightInd w:val="0"/>
              <w:snapToGrid w:val="0"/>
              <w:spacing w:after="0"/>
              <w:jc w:val="center"/>
              <w:rPr>
                <w:rFonts w:ascii="Times New Roman" w:hAnsi="Times New Roman" w:cs="Times New Roman"/>
                <w:color w:val="auto"/>
                <w:kern w:val="0"/>
                <w:szCs w:val="21"/>
              </w:rPr>
            </w:pPr>
            <w:r>
              <w:rPr>
                <w:rFonts w:ascii="Times New Roman" w:hAnsi="Times New Roman" w:cs="Times New Roman"/>
                <w:color w:val="auto"/>
                <w:kern w:val="0"/>
                <w:szCs w:val="21"/>
              </w:rPr>
              <w:t>400</w:t>
            </w:r>
          </w:p>
        </w:tc>
        <w:tc>
          <w:tcPr>
            <w:tcW w:w="2222" w:type="dxa"/>
            <w:vAlign w:val="center"/>
          </w:tcPr>
          <w:p>
            <w:pPr>
              <w:pStyle w:val="13"/>
              <w:adjustRightInd w:val="0"/>
              <w:snapToGrid w:val="0"/>
              <w:spacing w:after="0"/>
              <w:jc w:val="center"/>
              <w:rPr>
                <w:rFonts w:ascii="Times New Roman" w:hAnsi="Times New Roman" w:cs="Times New Roman"/>
                <w:color w:val="auto"/>
                <w:kern w:val="0"/>
                <w:szCs w:val="21"/>
              </w:rPr>
            </w:pPr>
            <w:r>
              <w:rPr>
                <w:rFonts w:ascii="Times New Roman" w:hAnsi="Times New Roman" w:cs="Times New Roman"/>
                <w:color w:val="auto"/>
                <w:kern w:val="0"/>
                <w:szCs w:val="21"/>
              </w:rPr>
              <w:t>400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701" w:type="dxa"/>
            <w:vAlign w:val="center"/>
          </w:tcPr>
          <w:p>
            <w:pPr>
              <w:pStyle w:val="13"/>
              <w:adjustRightInd w:val="0"/>
              <w:snapToGrid w:val="0"/>
              <w:spacing w:after="0"/>
              <w:jc w:val="center"/>
              <w:rPr>
                <w:rFonts w:ascii="Times New Roman" w:hAnsi="Times New Roman" w:cs="Times New Roman"/>
                <w:color w:val="auto"/>
                <w:kern w:val="0"/>
                <w:szCs w:val="21"/>
              </w:rPr>
            </w:pPr>
            <w:r>
              <w:rPr>
                <w:rFonts w:ascii="Times New Roman" w:hAnsi="Times New Roman" w:cs="Times New Roman"/>
                <w:color w:val="auto"/>
                <w:kern w:val="0"/>
                <w:szCs w:val="21"/>
              </w:rPr>
              <w:t>动植物油</w:t>
            </w:r>
          </w:p>
        </w:tc>
        <w:tc>
          <w:tcPr>
            <w:tcW w:w="2706" w:type="dxa"/>
            <w:vAlign w:val="center"/>
          </w:tcPr>
          <w:p>
            <w:pPr>
              <w:pStyle w:val="13"/>
              <w:adjustRightInd w:val="0"/>
              <w:snapToGrid w:val="0"/>
              <w:spacing w:after="0"/>
              <w:jc w:val="center"/>
              <w:rPr>
                <w:rFonts w:ascii="Times New Roman" w:hAnsi="Times New Roman" w:cs="Times New Roman"/>
                <w:color w:val="auto"/>
                <w:kern w:val="0"/>
                <w:szCs w:val="21"/>
              </w:rPr>
            </w:pPr>
            <w:r>
              <w:rPr>
                <w:rFonts w:ascii="Times New Roman" w:hAnsi="Times New Roman" w:cs="Times New Roman"/>
                <w:color w:val="auto"/>
                <w:kern w:val="0"/>
                <w:szCs w:val="21"/>
              </w:rPr>
              <w:t>/</w:t>
            </w:r>
          </w:p>
        </w:tc>
        <w:tc>
          <w:tcPr>
            <w:tcW w:w="2271" w:type="dxa"/>
            <w:vAlign w:val="center"/>
          </w:tcPr>
          <w:p>
            <w:pPr>
              <w:pStyle w:val="13"/>
              <w:adjustRightInd w:val="0"/>
              <w:snapToGrid w:val="0"/>
              <w:spacing w:after="0"/>
              <w:jc w:val="center"/>
              <w:rPr>
                <w:rFonts w:ascii="Times New Roman" w:hAnsi="Times New Roman" w:cs="Times New Roman"/>
                <w:color w:val="auto"/>
                <w:kern w:val="0"/>
                <w:szCs w:val="21"/>
              </w:rPr>
            </w:pPr>
            <w:r>
              <w:rPr>
                <w:rFonts w:ascii="Times New Roman" w:hAnsi="Times New Roman" w:cs="Times New Roman"/>
                <w:color w:val="auto"/>
                <w:kern w:val="0"/>
                <w:szCs w:val="21"/>
              </w:rPr>
              <w:t>100</w:t>
            </w:r>
          </w:p>
        </w:tc>
        <w:tc>
          <w:tcPr>
            <w:tcW w:w="2222" w:type="dxa"/>
            <w:vAlign w:val="center"/>
          </w:tcPr>
          <w:p>
            <w:pPr>
              <w:pStyle w:val="13"/>
              <w:adjustRightInd w:val="0"/>
              <w:snapToGrid w:val="0"/>
              <w:spacing w:after="0"/>
              <w:jc w:val="center"/>
              <w:rPr>
                <w:rFonts w:ascii="Times New Roman" w:hAnsi="Times New Roman" w:cs="Times New Roman"/>
                <w:color w:val="auto"/>
                <w:kern w:val="0"/>
                <w:szCs w:val="21"/>
              </w:rPr>
            </w:pPr>
            <w:r>
              <w:rPr>
                <w:rFonts w:ascii="Times New Roman" w:hAnsi="Times New Roman" w:cs="Times New Roman"/>
                <w:color w:val="auto"/>
                <w:kern w:val="0"/>
                <w:szCs w:val="21"/>
              </w:rPr>
              <w:t>100</w:t>
            </w:r>
          </w:p>
        </w:tc>
      </w:tr>
    </w:tbl>
    <w:p>
      <w:pPr>
        <w:adjustRightInd w:val="0"/>
        <w:snapToGrid w:val="0"/>
        <w:spacing w:before="156" w:beforeLines="50" w:line="360" w:lineRule="auto"/>
        <w:ind w:firstLine="482" w:firstLineChars="200"/>
        <w:rPr>
          <w:rFonts w:ascii="Times New Roman" w:hAnsi="Times New Roman" w:cs="Times New Roman"/>
          <w:b/>
          <w:color w:val="auto"/>
          <w:sz w:val="24"/>
          <w:szCs w:val="24"/>
        </w:rPr>
      </w:pPr>
      <w:r>
        <w:rPr>
          <w:rFonts w:ascii="Times New Roman" w:hAnsi="Times New Roman" w:cs="Times New Roman"/>
          <w:b/>
          <w:color w:val="auto"/>
          <w:sz w:val="24"/>
          <w:szCs w:val="24"/>
        </w:rPr>
        <w:t>3、噪声排放标准</w:t>
      </w:r>
    </w:p>
    <w:p>
      <w:pPr>
        <w:pStyle w:val="27"/>
        <w:spacing w:after="0" w:line="360" w:lineRule="auto"/>
        <w:ind w:firstLine="504" w:firstLineChars="200"/>
        <w:rPr>
          <w:rFonts w:ascii="Times New Roman" w:hAnsi="Times New Roman"/>
          <w:color w:val="auto"/>
          <w:spacing w:val="6"/>
          <w:sz w:val="24"/>
          <w:szCs w:val="24"/>
        </w:rPr>
      </w:pPr>
      <w:r>
        <w:rPr>
          <w:rFonts w:ascii="Times New Roman" w:hAnsi="Times New Roman"/>
          <w:color w:val="auto"/>
          <w:spacing w:val="6"/>
          <w:sz w:val="24"/>
          <w:szCs w:val="24"/>
        </w:rPr>
        <w:t>运营期执行《工业企业厂界环境噪声排放标准》（GB12348-2008）中的3类标准限值。</w:t>
      </w:r>
    </w:p>
    <w:p>
      <w:pPr>
        <w:adjustRightInd w:val="0"/>
        <w:snapToGrid w:val="0"/>
        <w:spacing w:line="271" w:lineRule="auto"/>
        <w:jc w:val="center"/>
        <w:rPr>
          <w:rFonts w:ascii="Times New Roman" w:hAnsi="Times New Roman" w:eastAsia="黑体" w:cs="Times New Roman"/>
          <w:b/>
          <w:color w:val="auto"/>
        </w:rPr>
      </w:pPr>
    </w:p>
    <w:p>
      <w:pPr>
        <w:adjustRightInd w:val="0"/>
        <w:snapToGrid w:val="0"/>
        <w:spacing w:line="271" w:lineRule="auto"/>
        <w:jc w:val="center"/>
        <w:rPr>
          <w:rFonts w:ascii="Times New Roman" w:hAnsi="Times New Roman" w:eastAsia="黑体" w:cs="Times New Roman"/>
          <w:b/>
          <w:color w:val="auto"/>
        </w:rPr>
      </w:pPr>
      <w:r>
        <w:rPr>
          <w:rFonts w:ascii="Times New Roman" w:hAnsi="Times New Roman" w:eastAsia="黑体" w:cs="Times New Roman"/>
          <w:b/>
          <w:color w:val="auto"/>
        </w:rPr>
        <w:t>表</w:t>
      </w:r>
      <w:r>
        <w:rPr>
          <w:rFonts w:hint="eastAsia" w:ascii="Times New Roman" w:hAnsi="Times New Roman" w:eastAsia="黑体" w:cs="Times New Roman"/>
          <w:b/>
          <w:color w:val="auto"/>
          <w:lang w:val="en-US" w:eastAsia="zh-CN"/>
        </w:rPr>
        <w:t>6.1-7</w:t>
      </w:r>
      <w:r>
        <w:rPr>
          <w:rFonts w:ascii="Times New Roman" w:hAnsi="Times New Roman" w:eastAsia="黑体" w:cs="Times New Roman"/>
          <w:b/>
          <w:color w:val="auto"/>
        </w:rPr>
        <w:t xml:space="preserve">   噪声排放标准  dB（A）</w:t>
      </w:r>
    </w:p>
    <w:tbl>
      <w:tblPr>
        <w:tblStyle w:val="28"/>
        <w:tblW w:w="8795" w:type="dxa"/>
        <w:tblInd w:w="108"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931"/>
        <w:gridCol w:w="2932"/>
        <w:gridCol w:w="293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31" w:type="dxa"/>
            <w:vAlign w:val="center"/>
          </w:tcPr>
          <w:p>
            <w:pPr>
              <w:tabs>
                <w:tab w:val="left" w:pos="1365"/>
              </w:tabs>
              <w:adjustRightInd w:val="0"/>
              <w:snapToGrid w:val="0"/>
              <w:jc w:val="center"/>
              <w:rPr>
                <w:rFonts w:ascii="Times New Roman" w:hAnsi="Times New Roman" w:cs="Times New Roman"/>
                <w:b/>
                <w:color w:val="auto"/>
                <w:spacing w:val="4"/>
                <w:szCs w:val="21"/>
              </w:rPr>
            </w:pPr>
            <w:r>
              <w:rPr>
                <w:rFonts w:ascii="Times New Roman" w:hAnsi="Times New Roman" w:cs="Times New Roman"/>
                <w:b/>
                <w:color w:val="auto"/>
                <w:spacing w:val="4"/>
                <w:szCs w:val="21"/>
              </w:rPr>
              <w:t>阶段</w:t>
            </w:r>
          </w:p>
        </w:tc>
        <w:tc>
          <w:tcPr>
            <w:tcW w:w="2932" w:type="dxa"/>
            <w:vAlign w:val="center"/>
          </w:tcPr>
          <w:p>
            <w:pPr>
              <w:tabs>
                <w:tab w:val="left" w:pos="1365"/>
              </w:tabs>
              <w:adjustRightInd w:val="0"/>
              <w:snapToGrid w:val="0"/>
              <w:jc w:val="center"/>
              <w:rPr>
                <w:rFonts w:ascii="Times New Roman" w:hAnsi="Times New Roman" w:cs="Times New Roman"/>
                <w:b/>
                <w:color w:val="auto"/>
                <w:spacing w:val="4"/>
                <w:szCs w:val="21"/>
              </w:rPr>
            </w:pPr>
            <w:r>
              <w:rPr>
                <w:rFonts w:ascii="Times New Roman" w:hAnsi="Times New Roman" w:cs="Times New Roman"/>
                <w:b/>
                <w:color w:val="auto"/>
                <w:spacing w:val="4"/>
                <w:szCs w:val="21"/>
              </w:rPr>
              <w:t>昼  夜</w:t>
            </w:r>
          </w:p>
        </w:tc>
        <w:tc>
          <w:tcPr>
            <w:tcW w:w="2932" w:type="dxa"/>
            <w:vAlign w:val="center"/>
          </w:tcPr>
          <w:p>
            <w:pPr>
              <w:tabs>
                <w:tab w:val="left" w:pos="1365"/>
              </w:tabs>
              <w:adjustRightInd w:val="0"/>
              <w:snapToGrid w:val="0"/>
              <w:jc w:val="center"/>
              <w:rPr>
                <w:rFonts w:ascii="Times New Roman" w:hAnsi="Times New Roman" w:cs="Times New Roman"/>
                <w:b/>
                <w:color w:val="auto"/>
                <w:spacing w:val="4"/>
                <w:szCs w:val="21"/>
              </w:rPr>
            </w:pPr>
            <w:r>
              <w:rPr>
                <w:rFonts w:ascii="Times New Roman" w:hAnsi="Times New Roman" w:cs="Times New Roman"/>
                <w:b/>
                <w:color w:val="auto"/>
                <w:spacing w:val="4"/>
                <w:szCs w:val="21"/>
              </w:rPr>
              <w:t>夜  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31" w:type="dxa"/>
            <w:vAlign w:val="center"/>
          </w:tcPr>
          <w:p>
            <w:pPr>
              <w:tabs>
                <w:tab w:val="left" w:pos="1365"/>
              </w:tabs>
              <w:adjustRightInd w:val="0"/>
              <w:snapToGrid w:val="0"/>
              <w:jc w:val="center"/>
              <w:rPr>
                <w:rFonts w:ascii="Times New Roman" w:hAnsi="Times New Roman" w:cs="Times New Roman"/>
                <w:color w:val="auto"/>
                <w:spacing w:val="4"/>
                <w:szCs w:val="21"/>
              </w:rPr>
            </w:pPr>
            <w:r>
              <w:rPr>
                <w:rFonts w:ascii="Times New Roman" w:hAnsi="Times New Roman" w:cs="Times New Roman"/>
                <w:color w:val="auto"/>
                <w:spacing w:val="4"/>
                <w:szCs w:val="21"/>
              </w:rPr>
              <w:t>运营期</w:t>
            </w:r>
          </w:p>
        </w:tc>
        <w:tc>
          <w:tcPr>
            <w:tcW w:w="2932" w:type="dxa"/>
            <w:vAlign w:val="center"/>
          </w:tcPr>
          <w:p>
            <w:pPr>
              <w:tabs>
                <w:tab w:val="left" w:pos="1365"/>
              </w:tabs>
              <w:adjustRightInd w:val="0"/>
              <w:snapToGrid w:val="0"/>
              <w:jc w:val="center"/>
              <w:rPr>
                <w:rFonts w:ascii="Times New Roman" w:hAnsi="Times New Roman" w:cs="Times New Roman"/>
                <w:color w:val="auto"/>
                <w:spacing w:val="4"/>
                <w:szCs w:val="21"/>
              </w:rPr>
            </w:pPr>
            <w:r>
              <w:rPr>
                <w:rFonts w:ascii="Times New Roman" w:hAnsi="Times New Roman" w:cs="Times New Roman"/>
                <w:color w:val="auto"/>
                <w:spacing w:val="4"/>
                <w:szCs w:val="21"/>
              </w:rPr>
              <w:t>65</w:t>
            </w:r>
          </w:p>
        </w:tc>
        <w:tc>
          <w:tcPr>
            <w:tcW w:w="2932" w:type="dxa"/>
            <w:vAlign w:val="center"/>
          </w:tcPr>
          <w:p>
            <w:pPr>
              <w:tabs>
                <w:tab w:val="left" w:pos="1365"/>
              </w:tabs>
              <w:adjustRightInd w:val="0"/>
              <w:snapToGrid w:val="0"/>
              <w:jc w:val="center"/>
              <w:rPr>
                <w:rFonts w:ascii="Times New Roman" w:hAnsi="Times New Roman" w:cs="Times New Roman"/>
                <w:color w:val="auto"/>
                <w:spacing w:val="4"/>
                <w:szCs w:val="21"/>
              </w:rPr>
            </w:pPr>
            <w:r>
              <w:rPr>
                <w:rFonts w:ascii="Times New Roman" w:hAnsi="Times New Roman" w:cs="Times New Roman"/>
                <w:color w:val="auto"/>
                <w:spacing w:val="4"/>
                <w:szCs w:val="21"/>
              </w:rPr>
              <w:t>55</w:t>
            </w:r>
          </w:p>
        </w:tc>
      </w:tr>
    </w:tbl>
    <w:p>
      <w:pPr>
        <w:adjustRightInd w:val="0"/>
        <w:snapToGrid w:val="0"/>
        <w:spacing w:before="156" w:beforeLines="50" w:line="360" w:lineRule="auto"/>
        <w:ind w:firstLine="482" w:firstLineChars="200"/>
        <w:rPr>
          <w:rFonts w:ascii="Times New Roman" w:hAnsi="Times New Roman" w:cs="Times New Roman"/>
          <w:b/>
          <w:color w:val="auto"/>
          <w:sz w:val="24"/>
          <w:szCs w:val="24"/>
        </w:rPr>
      </w:pPr>
      <w:r>
        <w:rPr>
          <w:rFonts w:ascii="Times New Roman" w:hAnsi="Times New Roman" w:cs="Times New Roman"/>
          <w:b/>
          <w:color w:val="auto"/>
          <w:sz w:val="24"/>
          <w:szCs w:val="24"/>
        </w:rPr>
        <w:t>4、固体废物</w:t>
      </w:r>
    </w:p>
    <w:p>
      <w:pPr>
        <w:pStyle w:val="27"/>
        <w:spacing w:after="0" w:line="360" w:lineRule="auto"/>
        <w:ind w:firstLine="504" w:firstLineChars="200"/>
        <w:rPr>
          <w:rFonts w:ascii="Times New Roman" w:hAnsi="Times New Roman"/>
          <w:color w:val="auto"/>
          <w:spacing w:val="6"/>
          <w:sz w:val="24"/>
          <w:szCs w:val="24"/>
        </w:rPr>
      </w:pPr>
      <w:r>
        <w:rPr>
          <w:rFonts w:ascii="Times New Roman" w:hAnsi="Times New Roman"/>
          <w:color w:val="auto"/>
          <w:spacing w:val="6"/>
          <w:sz w:val="24"/>
          <w:szCs w:val="24"/>
        </w:rPr>
        <w:t>一般工业固体废物贮存执行</w:t>
      </w:r>
      <w:r>
        <w:rPr>
          <w:rFonts w:hint="eastAsia" w:ascii="Times New Roman" w:hAnsi="Times New Roman"/>
          <w:color w:val="auto"/>
          <w:spacing w:val="6"/>
          <w:sz w:val="24"/>
          <w:szCs w:val="24"/>
          <w:lang w:eastAsia="zh-CN"/>
        </w:rPr>
        <w:t>《一般工业固体废物贮存和填埋污染控制标准》（GB18599-2020）</w:t>
      </w:r>
      <w:r>
        <w:rPr>
          <w:rFonts w:ascii="Times New Roman" w:hAnsi="Times New Roman"/>
          <w:color w:val="auto"/>
          <w:spacing w:val="6"/>
          <w:sz w:val="24"/>
          <w:szCs w:val="24"/>
        </w:rPr>
        <w:t>。危险废物贮存执行《危险废物贮存污染控制标准》（GB18597-2001）及其2013年修改单中的相关标准。</w:t>
      </w:r>
    </w:p>
    <w:p>
      <w:pPr>
        <w:pStyle w:val="41"/>
        <w:spacing w:line="240" w:lineRule="auto"/>
        <w:ind w:firstLine="0" w:firstLineChars="0"/>
        <w:rPr>
          <w:rFonts w:hAnsi="Times New Roman"/>
          <w:color w:val="auto"/>
          <w:spacing w:val="10"/>
          <w:kern w:val="24"/>
          <w:szCs w:val="21"/>
        </w:rPr>
      </w:pPr>
      <w:r>
        <w:rPr>
          <w:rFonts w:hAnsi="Times New Roman"/>
          <w:color w:val="auto"/>
          <w:spacing w:val="10"/>
          <w:kern w:val="24"/>
          <w:szCs w:val="21"/>
        </w:rPr>
        <w:t>表</w:t>
      </w:r>
      <w:r>
        <w:rPr>
          <w:rFonts w:hint="default" w:hAnsi="Times New Roman"/>
          <w:color w:val="auto"/>
          <w:spacing w:val="10"/>
          <w:kern w:val="24"/>
          <w:szCs w:val="21"/>
        </w:rPr>
        <w:t>6</w:t>
      </w:r>
      <w:r>
        <w:rPr>
          <w:rFonts w:hAnsi="Times New Roman"/>
          <w:color w:val="auto"/>
          <w:spacing w:val="10"/>
          <w:kern w:val="24"/>
          <w:szCs w:val="21"/>
        </w:rPr>
        <w:t>.</w:t>
      </w:r>
      <w:r>
        <w:rPr>
          <w:rFonts w:hint="eastAsia" w:hAnsi="Times New Roman"/>
          <w:color w:val="auto"/>
          <w:spacing w:val="10"/>
          <w:kern w:val="24"/>
          <w:szCs w:val="21"/>
          <w:lang w:val="en-US" w:eastAsia="zh-CN"/>
        </w:rPr>
        <w:t>1</w:t>
      </w:r>
      <w:r>
        <w:rPr>
          <w:rFonts w:hAnsi="Times New Roman"/>
          <w:color w:val="auto"/>
          <w:spacing w:val="10"/>
          <w:kern w:val="24"/>
          <w:szCs w:val="21"/>
        </w:rPr>
        <w:t>-</w:t>
      </w:r>
      <w:r>
        <w:rPr>
          <w:rFonts w:hint="eastAsia" w:hAnsi="Times New Roman"/>
          <w:color w:val="auto"/>
          <w:spacing w:val="10"/>
          <w:kern w:val="24"/>
          <w:szCs w:val="21"/>
          <w:lang w:val="en-US" w:eastAsia="zh-CN"/>
        </w:rPr>
        <w:t>8</w:t>
      </w:r>
      <w:r>
        <w:rPr>
          <w:rFonts w:hAnsi="Times New Roman"/>
          <w:color w:val="auto"/>
          <w:spacing w:val="10"/>
          <w:kern w:val="24"/>
          <w:szCs w:val="21"/>
        </w:rPr>
        <w:t xml:space="preserve">  </w:t>
      </w:r>
      <w:r>
        <w:rPr>
          <w:rFonts w:hint="default" w:hAnsi="Times New Roman"/>
          <w:color w:val="auto"/>
          <w:spacing w:val="10"/>
          <w:kern w:val="24"/>
          <w:szCs w:val="21"/>
        </w:rPr>
        <w:t>环评排放标准与验收排放标准对比一览表</w:t>
      </w:r>
    </w:p>
    <w:tbl>
      <w:tblPr>
        <w:tblStyle w:val="29"/>
        <w:tblW w:w="852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81"/>
        <w:gridCol w:w="706"/>
        <w:gridCol w:w="2987"/>
        <w:gridCol w:w="2786"/>
        <w:gridCol w:w="166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1087" w:type="dxa"/>
            <w:gridSpan w:val="2"/>
            <w:tcBorders>
              <w:tl2br w:val="nil"/>
              <w:tr2bl w:val="nil"/>
            </w:tcBorders>
            <w:vAlign w:val="center"/>
          </w:tcPr>
          <w:p>
            <w:pPr>
              <w:jc w:val="center"/>
              <w:rPr>
                <w:rFonts w:ascii="Times New Roman" w:hAnsi="Times New Roman" w:eastAsia="宋体" w:cs="Times New Roman"/>
                <w:color w:val="auto"/>
                <w:szCs w:val="21"/>
              </w:rPr>
            </w:pPr>
            <w:r>
              <w:rPr>
                <w:rFonts w:hint="default" w:ascii="Times New Roman" w:hAnsi="Times New Roman" w:eastAsia="宋体" w:cs="Times New Roman"/>
                <w:color w:val="auto"/>
                <w:szCs w:val="21"/>
              </w:rPr>
              <w:t>名称</w:t>
            </w:r>
          </w:p>
        </w:tc>
        <w:tc>
          <w:tcPr>
            <w:tcW w:w="2987" w:type="dxa"/>
            <w:tcBorders>
              <w:tl2br w:val="nil"/>
              <w:tr2bl w:val="nil"/>
            </w:tcBorders>
            <w:vAlign w:val="center"/>
          </w:tcPr>
          <w:p>
            <w:pPr>
              <w:jc w:val="center"/>
              <w:rPr>
                <w:rFonts w:ascii="Times New Roman" w:hAnsi="Times New Roman" w:eastAsia="宋体" w:cs="Times New Roman"/>
                <w:color w:val="auto"/>
                <w:szCs w:val="21"/>
              </w:rPr>
            </w:pPr>
            <w:r>
              <w:rPr>
                <w:rFonts w:hint="default" w:ascii="Times New Roman" w:hAnsi="Times New Roman" w:eastAsia="宋体" w:cs="Times New Roman"/>
                <w:color w:val="auto"/>
                <w:szCs w:val="21"/>
              </w:rPr>
              <w:t>环评</w:t>
            </w:r>
          </w:p>
        </w:tc>
        <w:tc>
          <w:tcPr>
            <w:tcW w:w="2786" w:type="dxa"/>
            <w:tcBorders>
              <w:tl2br w:val="nil"/>
              <w:tr2bl w:val="nil"/>
            </w:tcBorders>
            <w:vAlign w:val="center"/>
          </w:tcPr>
          <w:p>
            <w:pPr>
              <w:jc w:val="center"/>
              <w:rPr>
                <w:rFonts w:ascii="Times New Roman" w:hAnsi="Times New Roman" w:eastAsia="宋体" w:cs="Times New Roman"/>
                <w:color w:val="auto"/>
                <w:szCs w:val="21"/>
              </w:rPr>
            </w:pPr>
            <w:r>
              <w:rPr>
                <w:rFonts w:hint="default" w:ascii="Times New Roman" w:hAnsi="Times New Roman" w:eastAsia="宋体" w:cs="Times New Roman"/>
                <w:color w:val="auto"/>
                <w:szCs w:val="21"/>
              </w:rPr>
              <w:t>验收</w:t>
            </w:r>
          </w:p>
        </w:tc>
        <w:tc>
          <w:tcPr>
            <w:tcW w:w="1662" w:type="dxa"/>
            <w:tcBorders>
              <w:tl2br w:val="nil"/>
              <w:tr2bl w:val="nil"/>
            </w:tcBorders>
            <w:vAlign w:val="center"/>
          </w:tcPr>
          <w:p>
            <w:pPr>
              <w:jc w:val="center"/>
              <w:rPr>
                <w:rFonts w:ascii="Times New Roman" w:hAnsi="Times New Roman" w:eastAsia="宋体" w:cs="Times New Roman"/>
                <w:color w:val="auto"/>
                <w:szCs w:val="21"/>
              </w:rPr>
            </w:pPr>
            <w:r>
              <w:rPr>
                <w:rFonts w:hint="default" w:ascii="Times New Roman" w:hAnsi="Times New Roman" w:eastAsia="宋体" w:cs="Times New Roman"/>
                <w:color w:val="auto"/>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8" w:hRule="atLeast"/>
          <w:jc w:val="center"/>
        </w:trPr>
        <w:tc>
          <w:tcPr>
            <w:tcW w:w="381" w:type="dxa"/>
            <w:vMerge w:val="restart"/>
            <w:tcBorders>
              <w:tl2br w:val="nil"/>
              <w:tr2bl w:val="nil"/>
            </w:tcBorders>
            <w:vAlign w:val="center"/>
          </w:tcPr>
          <w:p>
            <w:pPr>
              <w:jc w:val="center"/>
              <w:rPr>
                <w:rFonts w:ascii="Times New Roman" w:hAnsi="Times New Roman" w:eastAsia="宋体" w:cs="Times New Roman"/>
                <w:color w:val="auto"/>
                <w:szCs w:val="21"/>
              </w:rPr>
            </w:pPr>
            <w:r>
              <w:rPr>
                <w:rFonts w:hint="default" w:ascii="Times New Roman" w:hAnsi="Times New Roman" w:eastAsia="宋体" w:cs="Times New Roman"/>
                <w:color w:val="auto"/>
                <w:szCs w:val="21"/>
              </w:rPr>
              <w:t>排放标准</w:t>
            </w:r>
          </w:p>
        </w:tc>
        <w:tc>
          <w:tcPr>
            <w:tcW w:w="706" w:type="dxa"/>
            <w:tcBorders>
              <w:tl2br w:val="nil"/>
              <w:tr2bl w:val="nil"/>
            </w:tcBorders>
            <w:vAlign w:val="center"/>
          </w:tcPr>
          <w:p>
            <w:pPr>
              <w:jc w:val="center"/>
              <w:rPr>
                <w:rFonts w:ascii="Times New Roman" w:hAnsi="Times New Roman" w:eastAsia="宋体" w:cs="Times New Roman"/>
                <w:color w:val="auto"/>
                <w:szCs w:val="21"/>
              </w:rPr>
            </w:pPr>
            <w:r>
              <w:rPr>
                <w:rFonts w:hint="default" w:ascii="Times New Roman" w:hAnsi="Times New Roman" w:eastAsia="宋体" w:cs="Times New Roman"/>
                <w:color w:val="auto"/>
                <w:szCs w:val="21"/>
              </w:rPr>
              <w:t>废水</w:t>
            </w:r>
          </w:p>
        </w:tc>
        <w:tc>
          <w:tcPr>
            <w:tcW w:w="2987" w:type="dxa"/>
            <w:tcBorders>
              <w:tl2br w:val="nil"/>
              <w:tr2bl w:val="nil"/>
            </w:tcBorders>
            <w:vAlign w:val="center"/>
          </w:tcPr>
          <w:p>
            <w:pPr>
              <w:jc w:val="center"/>
              <w:rPr>
                <w:rFonts w:ascii="Times New Roman" w:hAnsi="Times New Roman" w:eastAsia="宋体" w:cs="Times New Roman"/>
                <w:color w:val="auto"/>
                <w:szCs w:val="21"/>
              </w:rPr>
            </w:pPr>
            <w:r>
              <w:rPr>
                <w:rFonts w:hint="default" w:ascii="Times New Roman" w:hAnsi="Times New Roman" w:eastAsia="宋体" w:cs="Times New Roman"/>
                <w:color w:val="auto"/>
                <w:szCs w:val="21"/>
              </w:rPr>
              <w:t>本项目废水排放执行《合成树脂工业污染物排放标准》（GB31572-2015）中表1的间接排放限值，同时废水排放应满足云溪污水处理厂纳管限值要求。</w:t>
            </w:r>
          </w:p>
        </w:tc>
        <w:tc>
          <w:tcPr>
            <w:tcW w:w="2786" w:type="dxa"/>
            <w:tcBorders>
              <w:tl2br w:val="nil"/>
              <w:tr2bl w:val="nil"/>
            </w:tcBorders>
            <w:vAlign w:val="center"/>
          </w:tcPr>
          <w:p>
            <w:pPr>
              <w:jc w:val="center"/>
              <w:rPr>
                <w:rFonts w:ascii="Times New Roman" w:hAnsi="Times New Roman" w:eastAsia="宋体" w:cs="Times New Roman"/>
                <w:color w:val="auto"/>
                <w:szCs w:val="21"/>
              </w:rPr>
            </w:pPr>
            <w:r>
              <w:rPr>
                <w:rFonts w:hint="default" w:ascii="Times New Roman" w:hAnsi="Times New Roman" w:eastAsia="宋体" w:cs="Times New Roman"/>
                <w:color w:val="auto"/>
                <w:szCs w:val="21"/>
              </w:rPr>
              <w:t>执行《污水综合排放标准》（GB8978-1996）中三级标准、湖南城陵矶临港产业新区污水处理厂进水水质要求</w:t>
            </w:r>
          </w:p>
        </w:tc>
        <w:tc>
          <w:tcPr>
            <w:tcW w:w="1662" w:type="dxa"/>
            <w:tcBorders>
              <w:tl2br w:val="nil"/>
              <w:tr2bl w:val="nil"/>
            </w:tcBorders>
            <w:vAlign w:val="center"/>
          </w:tcPr>
          <w:p>
            <w:pPr>
              <w:jc w:val="center"/>
              <w:rPr>
                <w:rFonts w:ascii="Times New Roman" w:hAnsi="Times New Roman" w:eastAsia="宋体" w:cs="Times New Roman"/>
                <w:color w:val="auto"/>
                <w:szCs w:val="21"/>
              </w:rPr>
            </w:pPr>
            <w:r>
              <w:rPr>
                <w:rFonts w:hint="default" w:ascii="Times New Roman" w:hAnsi="Times New Roman" w:eastAsia="宋体" w:cs="Times New Roman"/>
                <w:color w:val="auto"/>
                <w:szCs w:val="21"/>
              </w:rPr>
              <w:t>一致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57" w:hRule="atLeast"/>
          <w:jc w:val="center"/>
        </w:trPr>
        <w:tc>
          <w:tcPr>
            <w:tcW w:w="381" w:type="dxa"/>
            <w:vMerge w:val="continue"/>
            <w:tcBorders>
              <w:tl2br w:val="nil"/>
              <w:tr2bl w:val="nil"/>
            </w:tcBorders>
            <w:vAlign w:val="center"/>
          </w:tcPr>
          <w:p>
            <w:pPr>
              <w:jc w:val="center"/>
              <w:rPr>
                <w:rFonts w:ascii="Times New Roman" w:hAnsi="Times New Roman" w:eastAsia="宋体" w:cs="Times New Roman"/>
                <w:color w:val="auto"/>
                <w:szCs w:val="21"/>
              </w:rPr>
            </w:pPr>
          </w:p>
        </w:tc>
        <w:tc>
          <w:tcPr>
            <w:tcW w:w="706" w:type="dxa"/>
            <w:tcBorders>
              <w:tl2br w:val="nil"/>
              <w:tr2bl w:val="nil"/>
            </w:tcBorders>
            <w:vAlign w:val="center"/>
          </w:tcPr>
          <w:p>
            <w:pPr>
              <w:jc w:val="center"/>
              <w:rPr>
                <w:rFonts w:ascii="Times New Roman" w:hAnsi="Times New Roman" w:eastAsia="宋体" w:cs="Times New Roman"/>
                <w:color w:val="auto"/>
                <w:szCs w:val="21"/>
              </w:rPr>
            </w:pPr>
            <w:r>
              <w:rPr>
                <w:rFonts w:hint="default" w:ascii="Times New Roman" w:hAnsi="Times New Roman" w:eastAsia="宋体" w:cs="Times New Roman"/>
                <w:color w:val="auto"/>
                <w:szCs w:val="21"/>
              </w:rPr>
              <w:t>废气</w:t>
            </w:r>
          </w:p>
        </w:tc>
        <w:tc>
          <w:tcPr>
            <w:tcW w:w="2987" w:type="dxa"/>
            <w:tcBorders>
              <w:tl2br w:val="nil"/>
              <w:tr2bl w:val="nil"/>
            </w:tcBorders>
            <w:vAlign w:val="center"/>
          </w:tcPr>
          <w:p>
            <w:pPr>
              <w:jc w:val="center"/>
              <w:rPr>
                <w:rFonts w:ascii="Times New Roman" w:hAnsi="Times New Roman" w:cs="Times New Roman"/>
                <w:color w:val="auto"/>
              </w:rPr>
            </w:pPr>
            <w:r>
              <w:rPr>
                <w:rFonts w:hint="default" w:ascii="Times New Roman" w:hAnsi="Times New Roman" w:cs="Times New Roman"/>
                <w:color w:val="auto"/>
              </w:rPr>
              <w:t>工艺过程及污水处理站产生的VOCs有组织排放参照执行《工业企业挥发性有机物排放控制标准》（</w:t>
            </w:r>
            <w:r>
              <w:rPr>
                <w:rFonts w:hint="eastAsia" w:ascii="Times New Roman" w:hAnsi="Times New Roman" w:cs="Times New Roman"/>
                <w:color w:val="auto"/>
                <w:lang w:eastAsia="zh-CN"/>
              </w:rPr>
              <w:t>DB12/524-20</w:t>
            </w:r>
            <w:r>
              <w:rPr>
                <w:rFonts w:hint="eastAsia" w:ascii="Times New Roman" w:hAnsi="Times New Roman" w:cs="Times New Roman"/>
                <w:color w:val="auto"/>
                <w:lang w:val="en-US" w:eastAsia="zh-CN"/>
              </w:rPr>
              <w:t>14</w:t>
            </w:r>
            <w:r>
              <w:rPr>
                <w:rFonts w:hint="default" w:ascii="Times New Roman" w:hAnsi="Times New Roman" w:cs="Times New Roman"/>
                <w:color w:val="auto"/>
              </w:rPr>
              <w:t>）中其他行业标准限值；工艺过程其他废气（氨气、苯酚、甲醛）有组织排放执行《合成树脂工业污染物排放标准》（GB31572-2015）中表4大气污染物排放限值；厂区内VOCs无组织排放执行《挥发性有机物无组织排放控制标准》（GB37822-2019）中表A1厂区内VOCs无组织排放限值；污水处理站废气氨气、硫化氢、臭气浓度排放执行《恶臭污染物排放标准》（GB14554-93）中恶臭污染物排放标准值。</w:t>
            </w:r>
          </w:p>
          <w:p>
            <w:pPr>
              <w:pStyle w:val="13"/>
              <w:rPr>
                <w:rFonts w:ascii="Times New Roman" w:hAnsi="Times New Roman" w:cs="Times New Roman"/>
                <w:color w:val="auto"/>
              </w:rPr>
            </w:pPr>
          </w:p>
        </w:tc>
        <w:tc>
          <w:tcPr>
            <w:tcW w:w="2786" w:type="dxa"/>
            <w:tcBorders>
              <w:tl2br w:val="nil"/>
              <w:tr2bl w:val="nil"/>
            </w:tcBorders>
            <w:vAlign w:val="center"/>
          </w:tcPr>
          <w:p>
            <w:pPr>
              <w:jc w:val="center"/>
              <w:rPr>
                <w:rFonts w:ascii="Times New Roman" w:hAnsi="Times New Roman" w:cs="Times New Roman"/>
                <w:color w:val="auto"/>
              </w:rPr>
            </w:pPr>
            <w:r>
              <w:rPr>
                <w:rFonts w:hint="default" w:ascii="Times New Roman" w:hAnsi="Times New Roman" w:cs="Times New Roman"/>
                <w:color w:val="auto"/>
              </w:rPr>
              <w:t>工艺过程及污水处理站产生的VOCs有组织排放参照执行《工业企业挥发性有机物排放控制标准》（</w:t>
            </w:r>
            <w:r>
              <w:rPr>
                <w:rFonts w:hint="eastAsia" w:ascii="Times New Roman" w:hAnsi="Times New Roman" w:cs="Times New Roman"/>
                <w:color w:val="auto"/>
                <w:lang w:eastAsia="zh-CN"/>
              </w:rPr>
              <w:t>DB12/524-2020</w:t>
            </w:r>
            <w:r>
              <w:rPr>
                <w:rFonts w:hint="default" w:ascii="Times New Roman" w:hAnsi="Times New Roman" w:cs="Times New Roman"/>
                <w:color w:val="auto"/>
              </w:rPr>
              <w:t>）中其他行业标准限值；工艺过程其他废气（氨气、苯酚、甲醛）有组织排放执行《合成树脂工业污染物排放标准》（GB31572-2015）中表4大气污染物排放限值；厂区内VOCs无组织排放执行《挥发性有机物无组织排放控制标准》（GB37822-2019）中表A1厂区内VOCs无组织排放限值；污水处理站废气氨气、硫化氢、臭气浓度排放执行《恶臭污染物排放标准》（GB14554-93）中恶臭污染物排放标准值。</w:t>
            </w:r>
          </w:p>
          <w:p>
            <w:pPr>
              <w:jc w:val="center"/>
              <w:rPr>
                <w:rFonts w:ascii="Times New Roman" w:hAnsi="Times New Roman" w:eastAsia="宋体" w:cs="Times New Roman"/>
                <w:color w:val="auto"/>
                <w:szCs w:val="21"/>
              </w:rPr>
            </w:pPr>
          </w:p>
        </w:tc>
        <w:tc>
          <w:tcPr>
            <w:tcW w:w="1662" w:type="dxa"/>
            <w:tcBorders>
              <w:tl2br w:val="nil"/>
              <w:tr2bl w:val="nil"/>
            </w:tcBorders>
            <w:vAlign w:val="center"/>
          </w:tcPr>
          <w:p>
            <w:pPr>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废气中</w:t>
            </w:r>
            <w:r>
              <w:rPr>
                <w:rFonts w:hint="default" w:ascii="Times New Roman" w:hAnsi="Times New Roman" w:cs="Times New Roman"/>
                <w:color w:val="auto"/>
              </w:rPr>
              <w:t>VOCs有组织排放参照执行《工业企业挥发性有机物排放控制标准》（</w:t>
            </w:r>
            <w:r>
              <w:rPr>
                <w:rFonts w:hint="eastAsia" w:ascii="Times New Roman" w:hAnsi="Times New Roman" w:cs="Times New Roman"/>
                <w:color w:val="auto"/>
                <w:lang w:eastAsia="zh-CN"/>
              </w:rPr>
              <w:t>DB12/524-2020</w:t>
            </w:r>
            <w:r>
              <w:rPr>
                <w:rFonts w:hint="default" w:ascii="Times New Roman" w:hAnsi="Times New Roman" w:cs="Times New Roman"/>
                <w:color w:val="auto"/>
              </w:rPr>
              <w:t>）中其他行业标准限值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9" w:hRule="atLeast"/>
          <w:jc w:val="center"/>
        </w:trPr>
        <w:tc>
          <w:tcPr>
            <w:tcW w:w="381" w:type="dxa"/>
            <w:vMerge w:val="continue"/>
            <w:tcBorders>
              <w:tl2br w:val="nil"/>
              <w:tr2bl w:val="nil"/>
            </w:tcBorders>
            <w:vAlign w:val="center"/>
          </w:tcPr>
          <w:p>
            <w:pPr>
              <w:jc w:val="center"/>
              <w:rPr>
                <w:rFonts w:ascii="Times New Roman" w:hAnsi="Times New Roman" w:eastAsia="宋体" w:cs="Times New Roman"/>
                <w:color w:val="auto"/>
                <w:szCs w:val="21"/>
              </w:rPr>
            </w:pPr>
          </w:p>
        </w:tc>
        <w:tc>
          <w:tcPr>
            <w:tcW w:w="706" w:type="dxa"/>
            <w:tcBorders>
              <w:tl2br w:val="nil"/>
              <w:tr2bl w:val="nil"/>
            </w:tcBorders>
            <w:vAlign w:val="center"/>
          </w:tcPr>
          <w:p>
            <w:pPr>
              <w:jc w:val="center"/>
              <w:rPr>
                <w:rFonts w:ascii="Times New Roman" w:hAnsi="Times New Roman" w:eastAsia="宋体" w:cs="Times New Roman"/>
                <w:color w:val="auto"/>
                <w:szCs w:val="21"/>
              </w:rPr>
            </w:pPr>
            <w:r>
              <w:rPr>
                <w:rFonts w:hint="default" w:ascii="Times New Roman" w:hAnsi="Times New Roman" w:eastAsia="宋体" w:cs="Times New Roman"/>
                <w:color w:val="auto"/>
                <w:szCs w:val="21"/>
              </w:rPr>
              <w:t>噪声</w:t>
            </w:r>
          </w:p>
        </w:tc>
        <w:tc>
          <w:tcPr>
            <w:tcW w:w="2987" w:type="dxa"/>
            <w:tcBorders>
              <w:tl2br w:val="nil"/>
              <w:tr2bl w:val="nil"/>
            </w:tcBorders>
            <w:vAlign w:val="center"/>
          </w:tcPr>
          <w:p>
            <w:pPr>
              <w:jc w:val="center"/>
              <w:rPr>
                <w:rFonts w:ascii="Times New Roman" w:hAnsi="Times New Roman" w:eastAsia="宋体" w:cs="Times New Roman"/>
                <w:color w:val="auto"/>
                <w:szCs w:val="21"/>
              </w:rPr>
            </w:pPr>
            <w:r>
              <w:rPr>
                <w:rFonts w:hint="default" w:ascii="Times New Roman" w:hAnsi="Times New Roman" w:eastAsia="宋体" w:cs="Times New Roman"/>
                <w:color w:val="auto"/>
                <w:szCs w:val="21"/>
              </w:rPr>
              <w:t>项目厂界执行《工业企业厂界环境噪声排放标准》（GB12348-2008）的3类标准</w:t>
            </w:r>
            <w:r>
              <w:rPr>
                <w:rFonts w:ascii="Times New Roman" w:hAnsi="Times New Roman" w:eastAsia="宋体" w:cs="Times New Roman"/>
                <w:color w:val="auto"/>
                <w:szCs w:val="21"/>
              </w:rPr>
              <w:t xml:space="preserve"> </w:t>
            </w:r>
          </w:p>
        </w:tc>
        <w:tc>
          <w:tcPr>
            <w:tcW w:w="2786" w:type="dxa"/>
            <w:tcBorders>
              <w:tl2br w:val="nil"/>
              <w:tr2bl w:val="nil"/>
            </w:tcBorders>
            <w:vAlign w:val="center"/>
          </w:tcPr>
          <w:p>
            <w:pPr>
              <w:jc w:val="center"/>
              <w:rPr>
                <w:rFonts w:ascii="Times New Roman" w:hAnsi="Times New Roman" w:eastAsia="宋体" w:cs="Times New Roman"/>
                <w:color w:val="auto"/>
                <w:szCs w:val="21"/>
              </w:rPr>
            </w:pPr>
            <w:r>
              <w:rPr>
                <w:rFonts w:hint="default" w:ascii="Times New Roman" w:hAnsi="Times New Roman" w:eastAsia="宋体" w:cs="Times New Roman"/>
                <w:color w:val="auto"/>
                <w:szCs w:val="21"/>
              </w:rPr>
              <w:t>项目厂界执行《工业企业厂界环境噪声排放标准》（GB12348-2008）的3类标准</w:t>
            </w:r>
          </w:p>
        </w:tc>
        <w:tc>
          <w:tcPr>
            <w:tcW w:w="1662" w:type="dxa"/>
            <w:tcBorders>
              <w:tl2br w:val="nil"/>
              <w:tr2bl w:val="nil"/>
            </w:tcBorders>
            <w:vAlign w:val="center"/>
          </w:tcPr>
          <w:p>
            <w:pPr>
              <w:jc w:val="center"/>
              <w:rPr>
                <w:rFonts w:ascii="Times New Roman" w:hAnsi="Times New Roman" w:eastAsia="宋体" w:cs="Times New Roman"/>
                <w:color w:val="auto"/>
                <w:szCs w:val="21"/>
              </w:rPr>
            </w:pPr>
            <w:r>
              <w:rPr>
                <w:rFonts w:hint="default" w:ascii="Times New Roman" w:hAnsi="Times New Roman" w:eastAsia="宋体" w:cs="Times New Roman"/>
                <w:color w:val="auto"/>
                <w:szCs w:val="21"/>
              </w:rPr>
              <w:t>一致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75" w:hRule="atLeast"/>
          <w:jc w:val="center"/>
        </w:trPr>
        <w:tc>
          <w:tcPr>
            <w:tcW w:w="381" w:type="dxa"/>
            <w:vMerge w:val="continue"/>
            <w:tcBorders>
              <w:tl2br w:val="nil"/>
              <w:tr2bl w:val="nil"/>
            </w:tcBorders>
            <w:vAlign w:val="center"/>
          </w:tcPr>
          <w:p>
            <w:pPr>
              <w:jc w:val="center"/>
              <w:rPr>
                <w:rFonts w:ascii="Times New Roman" w:hAnsi="Times New Roman" w:eastAsia="宋体" w:cs="Times New Roman"/>
                <w:color w:val="auto"/>
                <w:szCs w:val="21"/>
              </w:rPr>
            </w:pPr>
          </w:p>
        </w:tc>
        <w:tc>
          <w:tcPr>
            <w:tcW w:w="706" w:type="dxa"/>
            <w:tcBorders>
              <w:tl2br w:val="nil"/>
              <w:tr2bl w:val="nil"/>
            </w:tcBorders>
            <w:vAlign w:val="center"/>
          </w:tcPr>
          <w:p>
            <w:pPr>
              <w:jc w:val="center"/>
              <w:rPr>
                <w:rFonts w:ascii="Times New Roman" w:hAnsi="Times New Roman" w:eastAsia="宋体" w:cs="Times New Roman"/>
                <w:color w:val="auto"/>
                <w:szCs w:val="21"/>
              </w:rPr>
            </w:pPr>
            <w:r>
              <w:rPr>
                <w:rFonts w:hint="default" w:ascii="Times New Roman" w:hAnsi="Times New Roman" w:eastAsia="宋体" w:cs="Times New Roman"/>
                <w:color w:val="auto"/>
                <w:szCs w:val="21"/>
              </w:rPr>
              <w:t>固废</w:t>
            </w:r>
          </w:p>
        </w:tc>
        <w:tc>
          <w:tcPr>
            <w:tcW w:w="2987" w:type="dxa"/>
            <w:tcBorders>
              <w:tl2br w:val="nil"/>
              <w:tr2bl w:val="nil"/>
            </w:tcBorders>
            <w:vAlign w:val="center"/>
          </w:tcPr>
          <w:p>
            <w:pPr>
              <w:jc w:val="center"/>
              <w:rPr>
                <w:rFonts w:ascii="Times New Roman" w:hAnsi="Times New Roman" w:eastAsia="宋体" w:cs="Times New Roman"/>
                <w:color w:val="auto"/>
                <w:szCs w:val="21"/>
              </w:rPr>
            </w:pPr>
            <w:r>
              <w:rPr>
                <w:rFonts w:hint="default" w:ascii="Times New Roman" w:hAnsi="Times New Roman" w:eastAsia="宋体" w:cs="Times New Roman"/>
                <w:color w:val="auto"/>
                <w:szCs w:val="21"/>
              </w:rPr>
              <w:t>一般工业固体废物贮存执行《一般工业固体废物贮存、处置场污染控制标准》（GB18599-2001）及其2013年修改单中的相关标准。危险废物贮存执行《危险废物贮存污染控制标准》（GB18597-2001）及其2013年修改单中的相关标准。</w:t>
            </w:r>
          </w:p>
        </w:tc>
        <w:tc>
          <w:tcPr>
            <w:tcW w:w="2786" w:type="dxa"/>
            <w:tcBorders>
              <w:tl2br w:val="nil"/>
              <w:tr2bl w:val="nil"/>
            </w:tcBorders>
            <w:vAlign w:val="center"/>
          </w:tcPr>
          <w:p>
            <w:pPr>
              <w:jc w:val="center"/>
              <w:rPr>
                <w:rFonts w:ascii="Times New Roman" w:hAnsi="Times New Roman" w:eastAsia="宋体" w:cs="Times New Roman"/>
                <w:color w:val="auto"/>
                <w:szCs w:val="21"/>
              </w:rPr>
            </w:pPr>
            <w:r>
              <w:rPr>
                <w:rFonts w:hint="default" w:ascii="Times New Roman" w:hAnsi="Times New Roman" w:eastAsia="宋体" w:cs="Times New Roman"/>
                <w:color w:val="auto"/>
                <w:szCs w:val="21"/>
              </w:rPr>
              <w:t>一般工业固体废物贮存执行《一般工业固体废物贮存和填埋污染控制标准》（GB18599-2020）中要求。危险废物贮存执行《危险废物贮存污染控制标准》（GB18597-2001）及其2013年修改单中的相关标准。</w:t>
            </w:r>
          </w:p>
        </w:tc>
        <w:tc>
          <w:tcPr>
            <w:tcW w:w="1662" w:type="dxa"/>
            <w:tcBorders>
              <w:tl2br w:val="nil"/>
              <w:tr2bl w:val="nil"/>
            </w:tcBorders>
            <w:vAlign w:val="center"/>
          </w:tcPr>
          <w:p>
            <w:pPr>
              <w:jc w:val="center"/>
              <w:rPr>
                <w:rFonts w:ascii="Times New Roman" w:hAnsi="Times New Roman" w:eastAsia="宋体" w:cs="Times New Roman"/>
                <w:color w:val="auto"/>
                <w:szCs w:val="21"/>
              </w:rPr>
            </w:pPr>
            <w:r>
              <w:rPr>
                <w:rFonts w:hint="default" w:ascii="Times New Roman" w:hAnsi="Times New Roman" w:eastAsia="宋体" w:cs="Times New Roman"/>
                <w:color w:val="auto"/>
                <w:szCs w:val="21"/>
              </w:rPr>
              <w:t>一般工业固体废物贮存由《一般工业固体废物贮存、处置场污染控制标准》（GB18599-2001）及其2013年修改单变为《一般工业固体废物贮存和填埋污染控制标准》（GB18599-2020）</w:t>
            </w:r>
          </w:p>
        </w:tc>
      </w:tr>
    </w:tbl>
    <w:p>
      <w:pPr>
        <w:spacing w:line="360" w:lineRule="auto"/>
        <w:outlineLvl w:val="1"/>
        <w:rPr>
          <w:rFonts w:ascii="Times New Roman" w:hAnsi="Times New Roman" w:cs="Times New Roman"/>
          <w:b/>
          <w:color w:val="auto"/>
          <w:sz w:val="30"/>
          <w:szCs w:val="30"/>
        </w:rPr>
      </w:pPr>
      <w:bookmarkStart w:id="69" w:name="_Toc17610"/>
      <w:bookmarkStart w:id="70" w:name="_Toc85120894"/>
      <w:r>
        <w:rPr>
          <w:rFonts w:hint="default" w:ascii="Times New Roman" w:hAnsi="Times New Roman" w:cs="Times New Roman"/>
          <w:b/>
          <w:color w:val="auto"/>
          <w:sz w:val="30"/>
          <w:szCs w:val="30"/>
        </w:rPr>
        <w:t>6.</w:t>
      </w:r>
      <w:r>
        <w:rPr>
          <w:rFonts w:ascii="Times New Roman" w:hAnsi="Times New Roman" w:cs="Times New Roman"/>
          <w:b/>
          <w:color w:val="auto"/>
          <w:sz w:val="30"/>
          <w:szCs w:val="30"/>
        </w:rPr>
        <w:t>2</w:t>
      </w:r>
      <w:r>
        <w:rPr>
          <w:rFonts w:hint="default" w:ascii="Times New Roman" w:hAnsi="Times New Roman" w:cs="Times New Roman"/>
          <w:b/>
          <w:color w:val="auto"/>
          <w:sz w:val="30"/>
          <w:szCs w:val="30"/>
        </w:rPr>
        <w:t>总量控制指标</w:t>
      </w:r>
      <w:bookmarkEnd w:id="69"/>
      <w:bookmarkEnd w:id="70"/>
    </w:p>
    <w:p>
      <w:pPr>
        <w:spacing w:line="360" w:lineRule="auto"/>
        <w:ind w:firstLine="480" w:firstLineChars="200"/>
        <w:rPr>
          <w:rFonts w:ascii="Times New Roman" w:hAnsi="Times New Roman" w:cs="Times New Roman"/>
          <w:bCs/>
          <w:color w:val="auto"/>
          <w:spacing w:val="6"/>
          <w:sz w:val="24"/>
        </w:rPr>
      </w:pPr>
      <w:r>
        <w:rPr>
          <w:rFonts w:hint="eastAsia" w:ascii="Times New Roman" w:hAnsi="Times New Roman" w:eastAsia="宋体" w:cs="Times New Roman"/>
          <w:color w:val="auto"/>
          <w:sz w:val="24"/>
          <w:szCs w:val="28"/>
          <w:lang w:val="en-US" w:eastAsia="zh-CN"/>
        </w:rPr>
        <w:t>根据《关于</w:t>
      </w:r>
      <w:r>
        <w:rPr>
          <w:rFonts w:hint="eastAsia" w:ascii="Times New Roman" w:hAnsi="Times New Roman" w:eastAsia="宋体" w:cs="Times New Roman"/>
          <w:color w:val="auto"/>
          <w:sz w:val="24"/>
          <w:szCs w:val="28"/>
        </w:rPr>
        <w:t>岳阳中展科技有限公司12.6kt/a特种胺项目环境影响报告书</w:t>
      </w:r>
      <w:r>
        <w:rPr>
          <w:rFonts w:hint="eastAsia" w:ascii="Times New Roman" w:hAnsi="Times New Roman" w:eastAsia="宋体" w:cs="Times New Roman"/>
          <w:color w:val="auto"/>
          <w:sz w:val="24"/>
          <w:szCs w:val="28"/>
          <w:lang w:eastAsia="zh-CN"/>
        </w:rPr>
        <w:t>的</w:t>
      </w:r>
      <w:r>
        <w:rPr>
          <w:rFonts w:hint="eastAsia" w:ascii="Times New Roman" w:hAnsi="Times New Roman" w:eastAsia="宋体" w:cs="Times New Roman"/>
          <w:color w:val="auto"/>
          <w:sz w:val="24"/>
          <w:szCs w:val="28"/>
          <w:lang w:val="en-US" w:eastAsia="zh-CN"/>
        </w:rPr>
        <w:t>批复》，</w:t>
      </w:r>
      <w:r>
        <w:rPr>
          <w:rFonts w:hint="default" w:ascii="Times New Roman" w:hAnsi="Times New Roman" w:eastAsia="宋体" w:cs="Times New Roman"/>
          <w:color w:val="auto"/>
          <w:sz w:val="24"/>
          <w:szCs w:val="28"/>
        </w:rPr>
        <w:t>本项目</w:t>
      </w:r>
      <w:r>
        <w:rPr>
          <w:rFonts w:hint="eastAsia" w:ascii="Times New Roman" w:hAnsi="Times New Roman" w:eastAsia="宋体" w:cs="Times New Roman"/>
          <w:color w:val="auto"/>
          <w:sz w:val="24"/>
          <w:szCs w:val="28"/>
          <w:lang w:val="en-US" w:eastAsia="zh-CN"/>
        </w:rPr>
        <w:t>新增</w:t>
      </w:r>
      <w:r>
        <w:rPr>
          <w:rFonts w:hint="default" w:ascii="Times New Roman" w:hAnsi="Times New Roman" w:eastAsia="宋体" w:cs="Times New Roman"/>
          <w:color w:val="auto"/>
          <w:sz w:val="24"/>
          <w:szCs w:val="28"/>
        </w:rPr>
        <w:t>的总量指标为：COD≤</w:t>
      </w:r>
      <w:r>
        <w:rPr>
          <w:rFonts w:hint="eastAsia" w:ascii="Times New Roman" w:hAnsi="Times New Roman" w:eastAsia="宋体" w:cs="Times New Roman"/>
          <w:color w:val="auto"/>
          <w:sz w:val="24"/>
          <w:szCs w:val="28"/>
          <w:lang w:eastAsia="zh-CN"/>
        </w:rPr>
        <w:t>0</w:t>
      </w:r>
      <w:r>
        <w:rPr>
          <w:rFonts w:hint="eastAsia" w:ascii="Times New Roman" w:hAnsi="Times New Roman" w:eastAsia="宋体" w:cs="Times New Roman"/>
          <w:color w:val="auto"/>
          <w:sz w:val="24"/>
          <w:szCs w:val="28"/>
          <w:lang w:val="en-US" w:eastAsia="zh-CN"/>
        </w:rPr>
        <w:t>.7</w:t>
      </w:r>
      <w:r>
        <w:rPr>
          <w:rFonts w:hint="default" w:ascii="Times New Roman" w:hAnsi="Times New Roman" w:eastAsia="宋体" w:cs="Times New Roman"/>
          <w:color w:val="auto"/>
          <w:sz w:val="24"/>
          <w:szCs w:val="28"/>
        </w:rPr>
        <w:t>t/a</w:t>
      </w:r>
      <w:r>
        <w:rPr>
          <w:rFonts w:hint="eastAsia" w:ascii="Times New Roman" w:hAnsi="Times New Roman" w:eastAsia="宋体" w:cs="Times New Roman"/>
          <w:color w:val="auto"/>
          <w:sz w:val="24"/>
          <w:szCs w:val="28"/>
          <w:lang w:eastAsia="zh-CN"/>
        </w:rPr>
        <w:t>，</w:t>
      </w:r>
      <w:r>
        <w:rPr>
          <w:rFonts w:hint="default" w:ascii="Times New Roman" w:hAnsi="Times New Roman" w:eastAsia="宋体" w:cs="Times New Roman"/>
          <w:color w:val="auto"/>
          <w:sz w:val="24"/>
          <w:szCs w:val="28"/>
        </w:rPr>
        <w:t>VOCs≤1.</w:t>
      </w:r>
      <w:r>
        <w:rPr>
          <w:rFonts w:hint="eastAsia" w:ascii="Times New Roman" w:hAnsi="Times New Roman" w:eastAsia="宋体" w:cs="Times New Roman"/>
          <w:color w:val="auto"/>
          <w:sz w:val="24"/>
          <w:szCs w:val="28"/>
          <w:lang w:eastAsia="zh-CN"/>
        </w:rPr>
        <w:t>4</w:t>
      </w:r>
      <w:r>
        <w:rPr>
          <w:rFonts w:hint="default" w:ascii="Times New Roman" w:hAnsi="Times New Roman" w:eastAsia="宋体" w:cs="Times New Roman"/>
          <w:color w:val="auto"/>
          <w:sz w:val="24"/>
          <w:szCs w:val="28"/>
        </w:rPr>
        <w:t>t/a</w:t>
      </w:r>
      <w:r>
        <w:rPr>
          <w:rFonts w:hint="eastAsia" w:ascii="Times New Roman" w:hAnsi="Times New Roman" w:eastAsia="宋体" w:cs="Times New Roman"/>
          <w:color w:val="auto"/>
          <w:sz w:val="24"/>
          <w:szCs w:val="28"/>
          <w:lang w:eastAsia="zh-CN"/>
        </w:rPr>
        <w:t>，</w:t>
      </w:r>
      <w:r>
        <w:rPr>
          <w:rFonts w:hint="eastAsia" w:ascii="Times New Roman" w:hAnsi="Times New Roman" w:eastAsia="宋体" w:cs="Times New Roman"/>
          <w:color w:val="auto"/>
          <w:sz w:val="24"/>
          <w:szCs w:val="28"/>
          <w:lang w:val="en-US" w:eastAsia="zh-CN"/>
        </w:rPr>
        <w:t>SO</w:t>
      </w:r>
      <w:r>
        <w:rPr>
          <w:rFonts w:hint="eastAsia" w:ascii="Times New Roman" w:hAnsi="Times New Roman" w:eastAsia="宋体" w:cs="Times New Roman"/>
          <w:color w:val="auto"/>
          <w:sz w:val="24"/>
          <w:szCs w:val="28"/>
          <w:vertAlign w:val="subscript"/>
          <w:lang w:val="en-US" w:eastAsia="zh-CN"/>
        </w:rPr>
        <w:t>2</w:t>
      </w:r>
      <w:r>
        <w:rPr>
          <w:rFonts w:hint="default" w:ascii="Times New Roman" w:hAnsi="Times New Roman" w:eastAsia="宋体" w:cs="Times New Roman"/>
          <w:color w:val="auto"/>
          <w:sz w:val="24"/>
          <w:szCs w:val="28"/>
        </w:rPr>
        <w:t>≤0.1t/a，</w:t>
      </w:r>
      <w:r>
        <w:rPr>
          <w:rFonts w:hint="eastAsia" w:ascii="Times New Roman" w:hAnsi="Times New Roman" w:eastAsia="宋体" w:cs="Times New Roman"/>
          <w:color w:val="auto"/>
          <w:sz w:val="24"/>
          <w:szCs w:val="28"/>
          <w:lang w:val="en-US" w:eastAsia="zh-CN"/>
        </w:rPr>
        <w:t>NOx</w:t>
      </w:r>
      <w:r>
        <w:rPr>
          <w:rFonts w:hint="default" w:ascii="Times New Roman" w:hAnsi="Times New Roman" w:eastAsia="宋体" w:cs="Times New Roman"/>
          <w:color w:val="auto"/>
          <w:sz w:val="24"/>
          <w:szCs w:val="28"/>
        </w:rPr>
        <w:t>≤0.</w:t>
      </w:r>
      <w:r>
        <w:rPr>
          <w:rFonts w:hint="eastAsia" w:ascii="Times New Roman" w:hAnsi="Times New Roman" w:eastAsia="宋体" w:cs="Times New Roman"/>
          <w:color w:val="auto"/>
          <w:sz w:val="24"/>
          <w:szCs w:val="28"/>
          <w:lang w:val="en-US" w:eastAsia="zh-CN"/>
        </w:rPr>
        <w:t>2</w:t>
      </w:r>
      <w:r>
        <w:rPr>
          <w:rFonts w:hint="default" w:ascii="Times New Roman" w:hAnsi="Times New Roman" w:eastAsia="宋体" w:cs="Times New Roman"/>
          <w:color w:val="auto"/>
          <w:sz w:val="24"/>
          <w:szCs w:val="28"/>
        </w:rPr>
        <w:t>t/a。</w:t>
      </w:r>
    </w:p>
    <w:p>
      <w:pPr>
        <w:spacing w:line="360" w:lineRule="auto"/>
        <w:ind w:firstLine="504" w:firstLineChars="200"/>
        <w:rPr>
          <w:rFonts w:ascii="Times New Roman" w:hAnsi="Times New Roman" w:cs="Times New Roman"/>
          <w:bCs/>
          <w:color w:val="auto"/>
          <w:spacing w:val="6"/>
          <w:sz w:val="24"/>
          <w:u w:val="single"/>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spacing w:line="360" w:lineRule="auto"/>
        <w:outlineLvl w:val="0"/>
        <w:rPr>
          <w:rFonts w:ascii="Times New Roman" w:hAnsi="Times New Roman" w:cs="Times New Roman"/>
          <w:b/>
          <w:color w:val="auto"/>
          <w:sz w:val="32"/>
          <w:szCs w:val="32"/>
        </w:rPr>
      </w:pPr>
      <w:bookmarkStart w:id="71" w:name="_Toc15302"/>
      <w:bookmarkStart w:id="72" w:name="_Toc85120895"/>
      <w:r>
        <w:rPr>
          <w:rFonts w:hint="default" w:ascii="Times New Roman" w:hAnsi="Times New Roman" w:cs="Times New Roman"/>
          <w:b/>
          <w:color w:val="auto"/>
          <w:sz w:val="32"/>
          <w:szCs w:val="32"/>
        </w:rPr>
        <w:t>7、验收监测内容</w:t>
      </w:r>
      <w:bookmarkEnd w:id="71"/>
      <w:bookmarkEnd w:id="72"/>
    </w:p>
    <w:p>
      <w:pPr>
        <w:spacing w:line="360" w:lineRule="auto"/>
        <w:ind w:firstLine="480" w:firstLineChars="200"/>
        <w:rPr>
          <w:rFonts w:ascii="Times New Roman" w:hAnsi="Times New Roman" w:cs="Times New Roman"/>
          <w:color w:val="auto"/>
          <w:sz w:val="24"/>
          <w:szCs w:val="24"/>
        </w:rPr>
      </w:pPr>
      <w:r>
        <w:rPr>
          <w:rFonts w:hint="default" w:ascii="Times New Roman" w:hAnsi="Times New Roman" w:cs="Times New Roman"/>
          <w:color w:val="auto"/>
          <w:sz w:val="24"/>
          <w:szCs w:val="24"/>
        </w:rPr>
        <w:t>根据国家对建设项目“三同时”竣工验收监测有关规定和技术要求，确定本项目验收监测工作内容如下：</w:t>
      </w:r>
    </w:p>
    <w:p>
      <w:pPr>
        <w:spacing w:line="360" w:lineRule="auto"/>
        <w:outlineLvl w:val="1"/>
        <w:rPr>
          <w:rFonts w:ascii="Times New Roman" w:hAnsi="Times New Roman" w:cs="Times New Roman"/>
          <w:b/>
          <w:color w:val="auto"/>
          <w:sz w:val="30"/>
          <w:szCs w:val="30"/>
        </w:rPr>
      </w:pPr>
      <w:bookmarkStart w:id="73" w:name="_Toc85120896"/>
      <w:bookmarkStart w:id="74" w:name="_Toc8408"/>
      <w:r>
        <w:rPr>
          <w:rFonts w:hint="default" w:ascii="Times New Roman" w:hAnsi="Times New Roman" w:cs="Times New Roman"/>
          <w:b/>
          <w:color w:val="auto"/>
          <w:sz w:val="30"/>
          <w:szCs w:val="30"/>
        </w:rPr>
        <w:t>7.1  废气监测内容</w:t>
      </w:r>
      <w:bookmarkEnd w:id="73"/>
      <w:bookmarkEnd w:id="74"/>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废气监测内容见表</w:t>
      </w:r>
      <w:r>
        <w:rPr>
          <w:rFonts w:hint="default" w:ascii="Times New Roman" w:hAnsi="Times New Roman" w:cs="Times New Roman"/>
          <w:color w:val="auto"/>
          <w:sz w:val="24"/>
          <w:szCs w:val="24"/>
        </w:rPr>
        <w:t>7</w:t>
      </w:r>
      <w:r>
        <w:rPr>
          <w:rFonts w:ascii="Times New Roman" w:hAnsi="Times New Roman" w:cs="Times New Roman"/>
          <w:color w:val="auto"/>
          <w:sz w:val="24"/>
          <w:szCs w:val="24"/>
        </w:rPr>
        <w:t>.1-1。</w:t>
      </w:r>
    </w:p>
    <w:p>
      <w:pPr>
        <w:jc w:val="center"/>
        <w:rPr>
          <w:rFonts w:ascii="Times New Roman" w:hAnsi="Times New Roman" w:cs="Times New Roman"/>
          <w:b/>
          <w:bCs/>
          <w:color w:val="auto"/>
          <w:szCs w:val="21"/>
        </w:rPr>
      </w:pPr>
      <w:r>
        <w:rPr>
          <w:rFonts w:ascii="Times New Roman" w:hAnsi="Times New Roman" w:cs="Times New Roman"/>
          <w:b/>
          <w:bCs/>
          <w:color w:val="auto"/>
          <w:szCs w:val="21"/>
        </w:rPr>
        <w:t>表</w:t>
      </w:r>
      <w:r>
        <w:rPr>
          <w:rFonts w:hint="default" w:ascii="Times New Roman" w:hAnsi="Times New Roman" w:cs="Times New Roman"/>
          <w:b/>
          <w:bCs/>
          <w:color w:val="auto"/>
          <w:szCs w:val="21"/>
        </w:rPr>
        <w:t>7</w:t>
      </w:r>
      <w:r>
        <w:rPr>
          <w:rFonts w:ascii="Times New Roman" w:hAnsi="Times New Roman" w:cs="Times New Roman"/>
          <w:b/>
          <w:bCs/>
          <w:color w:val="auto"/>
          <w:szCs w:val="21"/>
        </w:rPr>
        <w:t>.1-1  废气监测内容</w:t>
      </w:r>
      <w:r>
        <w:rPr>
          <w:rFonts w:hint="default" w:ascii="Times New Roman" w:hAnsi="Times New Roman" w:cs="Times New Roman"/>
          <w:b/>
          <w:bCs/>
          <w:color w:val="auto"/>
          <w:szCs w:val="21"/>
        </w:rPr>
        <w:t>及频次</w:t>
      </w:r>
    </w:p>
    <w:tbl>
      <w:tblPr>
        <w:tblStyle w:val="28"/>
        <w:tblW w:w="4999"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77"/>
        <w:gridCol w:w="3235"/>
        <w:gridCol w:w="1132"/>
        <w:gridCol w:w="1313"/>
        <w:gridCol w:w="196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2455" w:type="pct"/>
            <w:gridSpan w:val="2"/>
            <w:tcBorders>
              <w:bottom w:val="single" w:color="auto" w:sz="4" w:space="0"/>
              <w:tl2br w:val="nil"/>
              <w:tr2bl w:val="nil"/>
            </w:tcBorders>
            <w:vAlign w:val="center"/>
          </w:tcPr>
          <w:p>
            <w:pPr>
              <w:pStyle w:val="39"/>
              <w:widowControl/>
              <w:overflowPunct/>
              <w:adjustRightInd/>
              <w:spacing w:before="0" w:after="0" w:line="240" w:lineRule="auto"/>
              <w:ind w:firstLine="0" w:firstLineChars="0"/>
              <w:jc w:val="center"/>
              <w:textAlignment w:val="auto"/>
              <w:rPr>
                <w:rFonts w:ascii="Times New Roman" w:hAnsi="Times New Roman" w:eastAsia="宋体"/>
                <w:color w:val="auto"/>
                <w:sz w:val="21"/>
                <w:szCs w:val="21"/>
              </w:rPr>
            </w:pPr>
            <w:r>
              <w:rPr>
                <w:rFonts w:ascii="Times New Roman" w:hAnsi="Times New Roman" w:eastAsia="宋体"/>
                <w:b/>
                <w:color w:val="auto"/>
                <w:sz w:val="21"/>
                <w:szCs w:val="21"/>
              </w:rPr>
              <w:t>采样点位</w:t>
            </w:r>
          </w:p>
        </w:tc>
        <w:tc>
          <w:tcPr>
            <w:tcW w:w="685" w:type="pct"/>
            <w:tcBorders>
              <w:bottom w:val="single" w:color="auto" w:sz="4" w:space="0"/>
              <w:tl2br w:val="nil"/>
              <w:tr2bl w:val="nil"/>
            </w:tcBorders>
            <w:vAlign w:val="center"/>
          </w:tcPr>
          <w:p>
            <w:pPr>
              <w:pStyle w:val="39"/>
              <w:widowControl/>
              <w:overflowPunct/>
              <w:adjustRightInd/>
              <w:spacing w:before="0" w:after="0" w:line="240" w:lineRule="auto"/>
              <w:ind w:firstLine="0" w:firstLineChars="0"/>
              <w:jc w:val="center"/>
              <w:textAlignment w:val="auto"/>
              <w:rPr>
                <w:rFonts w:ascii="Times New Roman" w:hAnsi="Times New Roman" w:eastAsia="宋体"/>
                <w:b/>
                <w:color w:val="auto"/>
                <w:sz w:val="21"/>
                <w:szCs w:val="21"/>
              </w:rPr>
            </w:pPr>
          </w:p>
        </w:tc>
        <w:tc>
          <w:tcPr>
            <w:tcW w:w="685" w:type="pct"/>
            <w:tcBorders>
              <w:bottom w:val="single" w:color="auto" w:sz="4" w:space="0"/>
              <w:tl2br w:val="nil"/>
              <w:tr2bl w:val="nil"/>
            </w:tcBorders>
            <w:vAlign w:val="center"/>
          </w:tcPr>
          <w:p>
            <w:pPr>
              <w:pStyle w:val="39"/>
              <w:widowControl/>
              <w:overflowPunct/>
              <w:adjustRightInd/>
              <w:spacing w:before="0" w:after="0" w:line="240" w:lineRule="auto"/>
              <w:ind w:firstLine="0" w:firstLineChars="0"/>
              <w:jc w:val="center"/>
              <w:textAlignment w:val="auto"/>
              <w:rPr>
                <w:rFonts w:ascii="Times New Roman" w:hAnsi="Times New Roman" w:eastAsia="宋体"/>
                <w:b/>
                <w:color w:val="auto"/>
                <w:sz w:val="21"/>
                <w:szCs w:val="21"/>
              </w:rPr>
            </w:pPr>
            <w:r>
              <w:rPr>
                <w:rFonts w:ascii="Times New Roman" w:hAnsi="Times New Roman" w:eastAsia="宋体"/>
                <w:b/>
                <w:color w:val="auto"/>
                <w:sz w:val="21"/>
                <w:szCs w:val="21"/>
              </w:rPr>
              <w:t>监测内容</w:t>
            </w:r>
          </w:p>
        </w:tc>
        <w:tc>
          <w:tcPr>
            <w:tcW w:w="1173" w:type="pct"/>
            <w:tcBorders>
              <w:tl2br w:val="nil"/>
              <w:tr2bl w:val="nil"/>
            </w:tcBorders>
            <w:vAlign w:val="center"/>
          </w:tcPr>
          <w:p>
            <w:pPr>
              <w:pStyle w:val="39"/>
              <w:widowControl/>
              <w:overflowPunct/>
              <w:adjustRightInd/>
              <w:spacing w:before="0" w:after="0" w:line="240" w:lineRule="auto"/>
              <w:ind w:firstLine="0" w:firstLineChars="0"/>
              <w:jc w:val="center"/>
              <w:textAlignment w:val="auto"/>
              <w:rPr>
                <w:rFonts w:ascii="Times New Roman" w:hAnsi="Times New Roman" w:eastAsia="宋体"/>
                <w:b/>
                <w:color w:val="auto"/>
                <w:sz w:val="21"/>
                <w:szCs w:val="21"/>
              </w:rPr>
            </w:pPr>
            <w:r>
              <w:rPr>
                <w:rFonts w:ascii="Times New Roman" w:hAnsi="Times New Roman" w:eastAsia="宋体"/>
                <w:b/>
                <w:color w:val="auto"/>
                <w:sz w:val="21"/>
                <w:szCs w:val="21"/>
              </w:rPr>
              <w:t>监测频次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536" w:type="pct"/>
            <w:vMerge w:val="restart"/>
            <w:tcBorders>
              <w:right w:val="single" w:color="auto" w:sz="4" w:space="0"/>
              <w:tl2br w:val="nil"/>
              <w:tr2bl w:val="nil"/>
            </w:tcBorders>
            <w:vAlign w:val="center"/>
          </w:tcPr>
          <w:p>
            <w:pPr>
              <w:pStyle w:val="39"/>
              <w:widowControl/>
              <w:overflowPunct/>
              <w:adjustRightInd/>
              <w:spacing w:before="0" w:after="0" w:line="240" w:lineRule="auto"/>
              <w:ind w:firstLine="0" w:firstLineChars="0"/>
              <w:jc w:val="center"/>
              <w:textAlignment w:val="auto"/>
              <w:rPr>
                <w:rFonts w:ascii="Times New Roman" w:hAnsi="Times New Roman" w:eastAsia="宋体"/>
                <w:bCs/>
                <w:color w:val="auto"/>
                <w:sz w:val="21"/>
                <w:szCs w:val="21"/>
              </w:rPr>
            </w:pPr>
            <w:r>
              <w:rPr>
                <w:rFonts w:ascii="Times New Roman" w:hAnsi="Times New Roman" w:eastAsia="宋体"/>
                <w:bCs/>
                <w:color w:val="auto"/>
                <w:sz w:val="21"/>
                <w:szCs w:val="21"/>
              </w:rPr>
              <w:t>有组织</w:t>
            </w:r>
          </w:p>
        </w:tc>
        <w:tc>
          <w:tcPr>
            <w:tcW w:w="1918" w:type="pct"/>
            <w:tcBorders>
              <w:left w:val="single" w:color="auto" w:sz="4" w:space="0"/>
              <w:tl2br w:val="nil"/>
              <w:tr2bl w:val="nil"/>
            </w:tcBorders>
            <w:vAlign w:val="center"/>
          </w:tcPr>
          <w:p>
            <w:pPr>
              <w:jc w:val="center"/>
              <w:rPr>
                <w:rFonts w:ascii="Times New Roman" w:hAnsi="Times New Roman" w:eastAsia="宋体" w:cs="Times New Roman"/>
                <w:bCs/>
                <w:color w:val="auto"/>
                <w:szCs w:val="21"/>
              </w:rPr>
            </w:pPr>
            <w:r>
              <w:rPr>
                <w:rFonts w:ascii="Times New Roman" w:hAnsi="Times New Roman" w:cs="Times New Roman"/>
                <w:color w:val="auto"/>
                <w:szCs w:val="21"/>
              </w:rPr>
              <w:t>P1 废气</w:t>
            </w:r>
            <w:r>
              <w:rPr>
                <w:rFonts w:hint="default" w:ascii="Times New Roman" w:hAnsi="Times New Roman" w:cs="Times New Roman"/>
                <w:color w:val="auto"/>
                <w:szCs w:val="21"/>
              </w:rPr>
              <w:t>处理设施</w:t>
            </w:r>
            <w:r>
              <w:rPr>
                <w:rFonts w:ascii="Times New Roman" w:hAnsi="Times New Roman" w:cs="Times New Roman"/>
                <w:color w:val="auto"/>
                <w:szCs w:val="21"/>
              </w:rPr>
              <w:t>进口</w:t>
            </w:r>
          </w:p>
        </w:tc>
        <w:tc>
          <w:tcPr>
            <w:tcW w:w="685" w:type="pct"/>
            <w:vMerge w:val="restart"/>
            <w:tcBorders>
              <w:tl2br w:val="nil"/>
              <w:tr2bl w:val="nil"/>
            </w:tcBorders>
            <w:vAlign w:val="center"/>
          </w:tcPr>
          <w:p>
            <w:pPr>
              <w:jc w:val="center"/>
              <w:rPr>
                <w:rFonts w:ascii="Times New Roman" w:hAnsi="Times New Roman" w:eastAsia="宋体" w:cs="Times New Roman"/>
                <w:bCs/>
                <w:color w:val="auto"/>
                <w:szCs w:val="21"/>
              </w:rPr>
            </w:pPr>
            <w:r>
              <w:rPr>
                <w:rFonts w:ascii="Times New Roman" w:hAnsi="Times New Roman" w:cs="Times New Roman"/>
                <w:color w:val="auto"/>
                <w:szCs w:val="21"/>
              </w:rPr>
              <w:t>生产废气排气筒，位于甲类车间一楼顶</w:t>
            </w:r>
          </w:p>
        </w:tc>
        <w:tc>
          <w:tcPr>
            <w:tcW w:w="685" w:type="pct"/>
            <w:vMerge w:val="restart"/>
            <w:tcBorders>
              <w:tl2br w:val="nil"/>
              <w:tr2bl w:val="nil"/>
            </w:tcBorders>
            <w:vAlign w:val="center"/>
          </w:tcPr>
          <w:p>
            <w:pPr>
              <w:jc w:val="center"/>
              <w:rPr>
                <w:rFonts w:ascii="Times New Roman" w:hAnsi="Times New Roman" w:eastAsia="宋体" w:cs="Times New Roman"/>
                <w:color w:val="auto"/>
                <w:szCs w:val="21"/>
              </w:rPr>
            </w:pPr>
            <w:r>
              <w:rPr>
                <w:rFonts w:ascii="Times New Roman" w:hAnsi="Times New Roman" w:cs="Times New Roman"/>
                <w:color w:val="auto"/>
                <w:szCs w:val="21"/>
              </w:rPr>
              <w:t>氨气、苯酚、甲醇、甲醛、</w:t>
            </w:r>
            <w:r>
              <w:rPr>
                <w:rFonts w:hint="default" w:ascii="Times New Roman" w:hAnsi="Times New Roman" w:cs="Times New Roman"/>
                <w:color w:val="auto"/>
                <w:szCs w:val="21"/>
              </w:rPr>
              <w:t>TVOC</w:t>
            </w:r>
          </w:p>
          <w:p>
            <w:pPr>
              <w:pStyle w:val="39"/>
              <w:spacing w:before="0" w:after="0" w:line="240" w:lineRule="auto"/>
              <w:ind w:firstLine="0" w:firstLineChars="0"/>
              <w:rPr>
                <w:rFonts w:ascii="Times New Roman" w:hAnsi="Times New Roman" w:eastAsia="宋体"/>
                <w:b/>
                <w:color w:val="auto"/>
                <w:sz w:val="21"/>
                <w:szCs w:val="21"/>
              </w:rPr>
            </w:pPr>
          </w:p>
        </w:tc>
        <w:tc>
          <w:tcPr>
            <w:tcW w:w="1173" w:type="pct"/>
            <w:vMerge w:val="restart"/>
            <w:tcBorders>
              <w:tl2br w:val="nil"/>
              <w:tr2bl w:val="nil"/>
            </w:tcBorders>
            <w:vAlign w:val="center"/>
          </w:tcPr>
          <w:p>
            <w:pPr>
              <w:pStyle w:val="39"/>
              <w:spacing w:before="0" w:after="0" w:line="240" w:lineRule="auto"/>
              <w:ind w:firstLine="420"/>
              <w:jc w:val="center"/>
              <w:rPr>
                <w:rFonts w:ascii="Times New Roman" w:hAnsi="Times New Roman" w:eastAsia="宋体"/>
                <w:b/>
                <w:color w:val="auto"/>
                <w:sz w:val="21"/>
                <w:szCs w:val="21"/>
              </w:rPr>
            </w:pPr>
            <w:r>
              <w:rPr>
                <w:rFonts w:ascii="Times New Roman" w:hAnsi="Times New Roman" w:eastAsia="宋体"/>
                <w:snapToGrid w:val="0"/>
                <w:color w:val="auto"/>
                <w:sz w:val="21"/>
                <w:szCs w:val="21"/>
              </w:rPr>
              <w:t>连续2天，3次/天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536" w:type="pct"/>
            <w:vMerge w:val="continue"/>
            <w:tcBorders>
              <w:right w:val="single" w:color="auto" w:sz="4" w:space="0"/>
              <w:tl2br w:val="nil"/>
              <w:tr2bl w:val="nil"/>
            </w:tcBorders>
            <w:vAlign w:val="center"/>
          </w:tcPr>
          <w:p>
            <w:pPr>
              <w:pStyle w:val="39"/>
              <w:widowControl/>
              <w:overflowPunct/>
              <w:adjustRightInd/>
              <w:spacing w:before="0" w:after="0" w:line="240" w:lineRule="auto"/>
              <w:ind w:firstLine="0" w:firstLineChars="0"/>
              <w:jc w:val="center"/>
              <w:textAlignment w:val="auto"/>
              <w:rPr>
                <w:rFonts w:ascii="Times New Roman" w:hAnsi="Times New Roman" w:eastAsia="宋体"/>
                <w:bCs/>
                <w:color w:val="auto"/>
                <w:sz w:val="21"/>
                <w:szCs w:val="21"/>
              </w:rPr>
            </w:pPr>
          </w:p>
        </w:tc>
        <w:tc>
          <w:tcPr>
            <w:tcW w:w="1918" w:type="pct"/>
            <w:tcBorders>
              <w:left w:val="single" w:color="auto" w:sz="4" w:space="0"/>
              <w:tl2br w:val="nil"/>
              <w:tr2bl w:val="nil"/>
            </w:tcBorders>
            <w:vAlign w:val="center"/>
          </w:tcPr>
          <w:p>
            <w:pPr>
              <w:jc w:val="center"/>
              <w:rPr>
                <w:rFonts w:ascii="Times New Roman" w:hAnsi="Times New Roman" w:eastAsia="宋体" w:cs="Times New Roman"/>
                <w:bCs/>
                <w:color w:val="auto"/>
                <w:szCs w:val="21"/>
              </w:rPr>
            </w:pPr>
            <w:r>
              <w:rPr>
                <w:rFonts w:ascii="Times New Roman" w:hAnsi="Times New Roman" w:cs="Times New Roman"/>
                <w:color w:val="auto"/>
                <w:szCs w:val="21"/>
              </w:rPr>
              <w:t>P1废气</w:t>
            </w:r>
            <w:r>
              <w:rPr>
                <w:rFonts w:hint="default" w:ascii="Times New Roman" w:hAnsi="Times New Roman" w:cs="Times New Roman"/>
                <w:color w:val="auto"/>
                <w:szCs w:val="21"/>
              </w:rPr>
              <w:t>处理设施</w:t>
            </w:r>
            <w:r>
              <w:rPr>
                <w:rFonts w:ascii="Times New Roman" w:hAnsi="Times New Roman" w:cs="Times New Roman"/>
                <w:color w:val="auto"/>
                <w:szCs w:val="21"/>
              </w:rPr>
              <w:t>排气筒出口</w:t>
            </w:r>
          </w:p>
        </w:tc>
        <w:tc>
          <w:tcPr>
            <w:tcW w:w="685" w:type="pct"/>
            <w:vMerge w:val="continue"/>
            <w:tcBorders>
              <w:bottom w:val="single" w:color="auto" w:sz="4" w:space="0"/>
              <w:tl2br w:val="nil"/>
              <w:tr2bl w:val="nil"/>
            </w:tcBorders>
          </w:tcPr>
          <w:p>
            <w:pPr>
              <w:pStyle w:val="39"/>
              <w:spacing w:before="0" w:after="0" w:line="240" w:lineRule="auto"/>
              <w:ind w:firstLine="420"/>
              <w:jc w:val="center"/>
              <w:rPr>
                <w:rFonts w:ascii="Times New Roman" w:hAnsi="Times New Roman" w:eastAsia="宋体"/>
                <w:bCs/>
                <w:color w:val="auto"/>
                <w:sz w:val="21"/>
                <w:szCs w:val="21"/>
              </w:rPr>
            </w:pPr>
          </w:p>
        </w:tc>
        <w:tc>
          <w:tcPr>
            <w:tcW w:w="685" w:type="pct"/>
            <w:vMerge w:val="continue"/>
            <w:tcBorders>
              <w:bottom w:val="single" w:color="auto" w:sz="4" w:space="0"/>
              <w:tl2br w:val="nil"/>
              <w:tr2bl w:val="nil"/>
            </w:tcBorders>
          </w:tcPr>
          <w:p>
            <w:pPr>
              <w:pStyle w:val="39"/>
              <w:spacing w:before="0" w:after="0" w:line="240" w:lineRule="auto"/>
              <w:ind w:firstLine="0" w:firstLineChars="0"/>
              <w:rPr>
                <w:rFonts w:ascii="Times New Roman" w:hAnsi="Times New Roman" w:eastAsia="宋体"/>
                <w:color w:val="auto"/>
                <w:sz w:val="21"/>
                <w:szCs w:val="21"/>
              </w:rPr>
            </w:pPr>
          </w:p>
        </w:tc>
        <w:tc>
          <w:tcPr>
            <w:tcW w:w="1173" w:type="pct"/>
            <w:vMerge w:val="continue"/>
            <w:tcBorders>
              <w:tl2br w:val="nil"/>
              <w:tr2bl w:val="nil"/>
            </w:tcBorders>
            <w:vAlign w:val="center"/>
          </w:tcPr>
          <w:p>
            <w:pPr>
              <w:pStyle w:val="39"/>
              <w:spacing w:before="0" w:after="0" w:line="240" w:lineRule="auto"/>
              <w:ind w:firstLine="420"/>
              <w:jc w:val="center"/>
              <w:rPr>
                <w:rFonts w:ascii="Times New Roman" w:hAnsi="Times New Roman" w:eastAsia="宋体"/>
                <w:snapToGrid w:val="0"/>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536" w:type="pct"/>
            <w:vMerge w:val="continue"/>
            <w:tcBorders>
              <w:right w:val="single" w:color="auto" w:sz="4" w:space="0"/>
              <w:tl2br w:val="nil"/>
              <w:tr2bl w:val="nil"/>
            </w:tcBorders>
            <w:vAlign w:val="center"/>
          </w:tcPr>
          <w:p>
            <w:pPr>
              <w:pStyle w:val="39"/>
              <w:widowControl/>
              <w:overflowPunct/>
              <w:adjustRightInd/>
              <w:spacing w:before="0" w:after="0" w:line="240" w:lineRule="auto"/>
              <w:ind w:firstLine="0" w:firstLineChars="0"/>
              <w:jc w:val="center"/>
              <w:textAlignment w:val="auto"/>
              <w:rPr>
                <w:rFonts w:ascii="Times New Roman" w:hAnsi="Times New Roman" w:eastAsia="宋体"/>
                <w:bCs/>
                <w:color w:val="auto"/>
                <w:sz w:val="21"/>
                <w:szCs w:val="21"/>
              </w:rPr>
            </w:pPr>
          </w:p>
        </w:tc>
        <w:tc>
          <w:tcPr>
            <w:tcW w:w="1918" w:type="pct"/>
            <w:tcBorders>
              <w:left w:val="single" w:color="auto" w:sz="4" w:space="0"/>
              <w:tl2br w:val="nil"/>
              <w:tr2bl w:val="nil"/>
            </w:tcBorders>
            <w:vAlign w:val="center"/>
          </w:tcPr>
          <w:p>
            <w:pPr>
              <w:jc w:val="center"/>
              <w:rPr>
                <w:rFonts w:ascii="Times New Roman" w:hAnsi="Times New Roman" w:eastAsia="宋体" w:cs="Times New Roman"/>
                <w:bCs/>
                <w:color w:val="auto"/>
                <w:szCs w:val="21"/>
              </w:rPr>
            </w:pPr>
            <w:r>
              <w:rPr>
                <w:rFonts w:ascii="Times New Roman" w:hAnsi="Times New Roman" w:cs="Times New Roman"/>
                <w:color w:val="auto"/>
                <w:szCs w:val="21"/>
              </w:rPr>
              <w:t>P2 废水处理</w:t>
            </w:r>
            <w:r>
              <w:rPr>
                <w:rFonts w:hint="default" w:ascii="Times New Roman" w:hAnsi="Times New Roman" w:cs="Times New Roman"/>
                <w:color w:val="auto"/>
                <w:szCs w:val="21"/>
              </w:rPr>
              <w:t>站产生废气处理设施进口</w:t>
            </w:r>
          </w:p>
        </w:tc>
        <w:tc>
          <w:tcPr>
            <w:tcW w:w="685" w:type="pct"/>
            <w:vMerge w:val="restar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位于废水处理设施南侧</w:t>
            </w:r>
          </w:p>
        </w:tc>
        <w:tc>
          <w:tcPr>
            <w:tcW w:w="685" w:type="pct"/>
            <w:vMerge w:val="restart"/>
            <w:tcBorders>
              <w:tl2br w:val="nil"/>
              <w:tr2bl w:val="nil"/>
            </w:tcBorders>
            <w:vAlign w:val="center"/>
          </w:tcPr>
          <w:p>
            <w:pPr>
              <w:numPr>
                <w:ilvl w:val="0"/>
                <w:numId w:val="5"/>
              </w:numPr>
              <w:jc w:val="center"/>
              <w:rPr>
                <w:rFonts w:ascii="Times New Roman" w:hAnsi="Times New Roman" w:cs="Times New Roman"/>
                <w:color w:val="auto"/>
                <w:szCs w:val="21"/>
              </w:rPr>
            </w:pPr>
            <w:r>
              <w:rPr>
                <w:rFonts w:hint="default" w:ascii="Times New Roman" w:hAnsi="Times New Roman" w:cs="Times New Roman"/>
                <w:color w:val="auto"/>
                <w:szCs w:val="21"/>
              </w:rPr>
              <w:t>测排放速率：臭气浓度、氨气、硫化氢；</w:t>
            </w:r>
          </w:p>
          <w:p>
            <w:pPr>
              <w:numPr>
                <w:ilvl w:val="0"/>
                <w:numId w:val="5"/>
              </w:numPr>
              <w:jc w:val="center"/>
              <w:rPr>
                <w:rFonts w:ascii="Times New Roman" w:hAnsi="Times New Roman" w:cs="Times New Roman"/>
                <w:color w:val="auto"/>
                <w:szCs w:val="21"/>
              </w:rPr>
            </w:pPr>
            <w:r>
              <w:rPr>
                <w:rFonts w:hint="default" w:ascii="Times New Roman" w:hAnsi="Times New Roman" w:cs="Times New Roman"/>
                <w:color w:val="auto"/>
                <w:szCs w:val="21"/>
              </w:rPr>
              <w:t>TVOC</w:t>
            </w:r>
          </w:p>
        </w:tc>
        <w:tc>
          <w:tcPr>
            <w:tcW w:w="1173" w:type="pct"/>
            <w:vMerge w:val="continue"/>
            <w:tcBorders>
              <w:tl2br w:val="nil"/>
              <w:tr2bl w:val="nil"/>
            </w:tcBorders>
            <w:vAlign w:val="center"/>
          </w:tcPr>
          <w:p>
            <w:pPr>
              <w:pStyle w:val="39"/>
              <w:spacing w:before="0" w:after="0" w:line="240" w:lineRule="auto"/>
              <w:ind w:firstLine="420"/>
              <w:jc w:val="center"/>
              <w:rPr>
                <w:rFonts w:ascii="Times New Roman" w:hAnsi="Times New Roman" w:eastAsia="宋体"/>
                <w:snapToGrid w:val="0"/>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536" w:type="pct"/>
            <w:vMerge w:val="continue"/>
            <w:tcBorders>
              <w:right w:val="single" w:color="auto" w:sz="4" w:space="0"/>
              <w:tl2br w:val="nil"/>
              <w:tr2bl w:val="nil"/>
            </w:tcBorders>
            <w:vAlign w:val="center"/>
          </w:tcPr>
          <w:p>
            <w:pPr>
              <w:pStyle w:val="39"/>
              <w:widowControl/>
              <w:overflowPunct/>
              <w:adjustRightInd/>
              <w:spacing w:before="0" w:after="0" w:line="240" w:lineRule="auto"/>
              <w:ind w:firstLine="0" w:firstLineChars="0"/>
              <w:jc w:val="center"/>
              <w:textAlignment w:val="auto"/>
              <w:rPr>
                <w:rFonts w:ascii="Times New Roman" w:hAnsi="Times New Roman" w:eastAsia="宋体"/>
                <w:bCs/>
                <w:color w:val="auto"/>
                <w:sz w:val="21"/>
                <w:szCs w:val="21"/>
              </w:rPr>
            </w:pPr>
          </w:p>
        </w:tc>
        <w:tc>
          <w:tcPr>
            <w:tcW w:w="1918" w:type="pct"/>
            <w:tcBorders>
              <w:left w:val="single" w:color="auto" w:sz="4" w:space="0"/>
              <w:tl2br w:val="nil"/>
              <w:tr2bl w:val="nil"/>
            </w:tcBorders>
            <w:vAlign w:val="center"/>
          </w:tcPr>
          <w:p>
            <w:pPr>
              <w:jc w:val="center"/>
              <w:rPr>
                <w:rFonts w:ascii="Times New Roman" w:hAnsi="Times New Roman" w:eastAsia="宋体" w:cs="Times New Roman"/>
                <w:bCs/>
                <w:color w:val="auto"/>
                <w:szCs w:val="21"/>
              </w:rPr>
            </w:pPr>
            <w:r>
              <w:rPr>
                <w:rFonts w:ascii="Times New Roman" w:hAnsi="Times New Roman" w:cs="Times New Roman"/>
                <w:color w:val="auto"/>
                <w:szCs w:val="21"/>
              </w:rPr>
              <w:t>P2 废水处理</w:t>
            </w:r>
            <w:r>
              <w:rPr>
                <w:rFonts w:hint="default" w:ascii="Times New Roman" w:hAnsi="Times New Roman" w:cs="Times New Roman"/>
                <w:color w:val="auto"/>
                <w:szCs w:val="21"/>
              </w:rPr>
              <w:t>站产生废气处理设施</w:t>
            </w:r>
            <w:r>
              <w:rPr>
                <w:rFonts w:ascii="Times New Roman" w:hAnsi="Times New Roman" w:cs="Times New Roman"/>
                <w:color w:val="auto"/>
                <w:szCs w:val="21"/>
              </w:rPr>
              <w:t>排气筒</w:t>
            </w:r>
            <w:r>
              <w:rPr>
                <w:rFonts w:hint="default" w:ascii="Times New Roman" w:hAnsi="Times New Roman" w:cs="Times New Roman"/>
                <w:color w:val="auto"/>
                <w:szCs w:val="21"/>
              </w:rPr>
              <w:t>出</w:t>
            </w:r>
            <w:r>
              <w:rPr>
                <w:rFonts w:ascii="Times New Roman" w:hAnsi="Times New Roman" w:cs="Times New Roman"/>
                <w:color w:val="auto"/>
                <w:szCs w:val="21"/>
              </w:rPr>
              <w:t>口</w:t>
            </w:r>
          </w:p>
        </w:tc>
        <w:tc>
          <w:tcPr>
            <w:tcW w:w="685" w:type="pct"/>
            <w:vMerge w:val="continue"/>
            <w:tcBorders>
              <w:bottom w:val="single" w:color="auto" w:sz="4" w:space="0"/>
              <w:tl2br w:val="nil"/>
              <w:tr2bl w:val="nil"/>
            </w:tcBorders>
          </w:tcPr>
          <w:p>
            <w:pPr>
              <w:pStyle w:val="39"/>
              <w:spacing w:before="0" w:after="0" w:line="240" w:lineRule="auto"/>
              <w:ind w:firstLine="420"/>
              <w:jc w:val="center"/>
              <w:rPr>
                <w:rFonts w:ascii="Times New Roman" w:hAnsi="Times New Roman" w:eastAsia="宋体"/>
                <w:bCs/>
                <w:color w:val="auto"/>
                <w:sz w:val="21"/>
                <w:szCs w:val="21"/>
              </w:rPr>
            </w:pPr>
          </w:p>
        </w:tc>
        <w:tc>
          <w:tcPr>
            <w:tcW w:w="685" w:type="pct"/>
            <w:vMerge w:val="continue"/>
            <w:tcBorders>
              <w:bottom w:val="single" w:color="auto" w:sz="4" w:space="0"/>
              <w:tl2br w:val="nil"/>
              <w:tr2bl w:val="nil"/>
            </w:tcBorders>
          </w:tcPr>
          <w:p>
            <w:pPr>
              <w:pStyle w:val="39"/>
              <w:spacing w:before="0" w:after="0" w:line="240" w:lineRule="auto"/>
              <w:ind w:firstLine="0" w:firstLineChars="0"/>
              <w:rPr>
                <w:rFonts w:ascii="Times New Roman" w:hAnsi="Times New Roman" w:eastAsia="宋体"/>
                <w:color w:val="auto"/>
                <w:sz w:val="21"/>
                <w:szCs w:val="21"/>
              </w:rPr>
            </w:pPr>
          </w:p>
        </w:tc>
        <w:tc>
          <w:tcPr>
            <w:tcW w:w="1173" w:type="pct"/>
            <w:vMerge w:val="continue"/>
            <w:tcBorders>
              <w:tl2br w:val="nil"/>
              <w:tr2bl w:val="nil"/>
            </w:tcBorders>
            <w:vAlign w:val="center"/>
          </w:tcPr>
          <w:p>
            <w:pPr>
              <w:pStyle w:val="39"/>
              <w:spacing w:before="0" w:after="0" w:line="240" w:lineRule="auto"/>
              <w:ind w:firstLine="420"/>
              <w:jc w:val="center"/>
              <w:rPr>
                <w:rFonts w:ascii="Times New Roman" w:hAnsi="Times New Roman" w:eastAsia="宋体"/>
                <w:snapToGrid w:val="0"/>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536" w:type="pct"/>
            <w:vMerge w:val="restart"/>
            <w:tcBorders>
              <w:right w:val="single" w:color="auto" w:sz="4" w:space="0"/>
              <w:tl2br w:val="nil"/>
              <w:tr2bl w:val="nil"/>
            </w:tcBorders>
            <w:vAlign w:val="center"/>
          </w:tcPr>
          <w:p>
            <w:pPr>
              <w:pStyle w:val="39"/>
              <w:widowControl/>
              <w:overflowPunct/>
              <w:adjustRightInd/>
              <w:spacing w:before="0" w:after="0" w:line="240" w:lineRule="auto"/>
              <w:ind w:firstLine="0" w:firstLineChars="0"/>
              <w:jc w:val="center"/>
              <w:textAlignment w:val="auto"/>
              <w:rPr>
                <w:rFonts w:ascii="Times New Roman" w:hAnsi="Times New Roman" w:eastAsia="宋体"/>
                <w:bCs/>
                <w:color w:val="auto"/>
                <w:sz w:val="21"/>
                <w:szCs w:val="21"/>
              </w:rPr>
            </w:pPr>
            <w:r>
              <w:rPr>
                <w:rFonts w:ascii="Times New Roman" w:hAnsi="Times New Roman" w:eastAsia="宋体"/>
                <w:bCs/>
                <w:color w:val="auto"/>
                <w:sz w:val="21"/>
                <w:szCs w:val="21"/>
              </w:rPr>
              <w:t>无组织</w:t>
            </w:r>
          </w:p>
        </w:tc>
        <w:tc>
          <w:tcPr>
            <w:tcW w:w="1918" w:type="pct"/>
            <w:tcBorders>
              <w:left w:val="single" w:color="auto" w:sz="4" w:space="0"/>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G1 项目上风向</w:t>
            </w:r>
          </w:p>
        </w:tc>
        <w:tc>
          <w:tcPr>
            <w:tcW w:w="685" w:type="pct"/>
            <w:tcBorders>
              <w:top w:val="single" w:color="auto" w:sz="4" w:space="0"/>
              <w:tl2br w:val="nil"/>
              <w:tr2bl w:val="nil"/>
            </w:tcBorders>
            <w:vAlign w:val="center"/>
          </w:tcPr>
          <w:p>
            <w:pPr>
              <w:jc w:val="center"/>
              <w:rPr>
                <w:rFonts w:ascii="Times New Roman" w:hAnsi="Times New Roman" w:eastAsia="宋体" w:cs="Times New Roman"/>
                <w:bCs/>
                <w:color w:val="auto"/>
                <w:szCs w:val="21"/>
              </w:rPr>
            </w:pPr>
            <w:r>
              <w:rPr>
                <w:rFonts w:ascii="Times New Roman" w:hAnsi="Times New Roman" w:cs="Times New Roman"/>
                <w:color w:val="auto"/>
                <w:szCs w:val="21"/>
              </w:rPr>
              <w:t>东北，监测点位距离企业厂界约10m内</w:t>
            </w:r>
          </w:p>
        </w:tc>
        <w:tc>
          <w:tcPr>
            <w:tcW w:w="685" w:type="pct"/>
            <w:vMerge w:val="restart"/>
            <w:tcBorders>
              <w:top w:val="single" w:color="auto" w:sz="4" w:space="0"/>
              <w:tl2br w:val="nil"/>
              <w:tr2bl w:val="nil"/>
            </w:tcBorders>
          </w:tcPr>
          <w:p>
            <w:pPr>
              <w:pStyle w:val="39"/>
              <w:spacing w:before="0" w:after="0" w:line="240" w:lineRule="auto"/>
              <w:ind w:firstLine="0" w:firstLineChars="0"/>
              <w:rPr>
                <w:rFonts w:ascii="Times New Roman" w:hAnsi="Times New Roman" w:eastAsia="宋体"/>
                <w:b/>
                <w:color w:val="auto"/>
                <w:sz w:val="21"/>
                <w:szCs w:val="21"/>
              </w:rPr>
            </w:pPr>
            <w:r>
              <w:rPr>
                <w:rFonts w:hint="eastAsia" w:asciiTheme="minorEastAsia" w:hAnsiTheme="minorEastAsia" w:eastAsiaTheme="minorEastAsia" w:cstheme="minorEastAsia"/>
                <w:color w:val="auto"/>
                <w:sz w:val="21"/>
                <w:szCs w:val="21"/>
              </w:rPr>
              <w:t>臭气浓度、氨气、硫化氢、NMHC、苯酚、甲醇、甲醛</w:t>
            </w:r>
          </w:p>
        </w:tc>
        <w:tc>
          <w:tcPr>
            <w:tcW w:w="1173" w:type="pct"/>
            <w:vMerge w:val="continue"/>
            <w:tcBorders>
              <w:tl2br w:val="nil"/>
              <w:tr2bl w:val="nil"/>
            </w:tcBorders>
            <w:vAlign w:val="center"/>
          </w:tcPr>
          <w:p>
            <w:pPr>
              <w:pStyle w:val="39"/>
              <w:spacing w:before="0" w:after="0" w:line="240" w:lineRule="auto"/>
              <w:ind w:firstLine="422"/>
              <w:jc w:val="center"/>
              <w:rPr>
                <w:rFonts w:ascii="Times New Roman" w:hAnsi="Times New Roman" w:eastAsia="宋体"/>
                <w:b/>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536" w:type="pct"/>
            <w:vMerge w:val="continue"/>
            <w:tcBorders>
              <w:right w:val="single" w:color="auto" w:sz="4" w:space="0"/>
              <w:tl2br w:val="nil"/>
              <w:tr2bl w:val="nil"/>
            </w:tcBorders>
            <w:vAlign w:val="center"/>
          </w:tcPr>
          <w:p>
            <w:pPr>
              <w:pStyle w:val="39"/>
              <w:widowControl/>
              <w:overflowPunct/>
              <w:adjustRightInd/>
              <w:spacing w:before="0" w:after="0" w:line="240" w:lineRule="auto"/>
              <w:ind w:firstLine="0" w:firstLineChars="0"/>
              <w:jc w:val="center"/>
              <w:textAlignment w:val="auto"/>
              <w:rPr>
                <w:rFonts w:ascii="Times New Roman" w:hAnsi="Times New Roman" w:eastAsia="宋体"/>
                <w:color w:val="auto"/>
                <w:sz w:val="21"/>
                <w:szCs w:val="21"/>
              </w:rPr>
            </w:pPr>
          </w:p>
        </w:tc>
        <w:tc>
          <w:tcPr>
            <w:tcW w:w="1918" w:type="pct"/>
            <w:tcBorders>
              <w:left w:val="single" w:color="auto" w:sz="4" w:space="0"/>
              <w:bottom w:val="single" w:color="auto" w:sz="4" w:space="0"/>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G2 项目下风向</w:t>
            </w:r>
          </w:p>
        </w:tc>
        <w:tc>
          <w:tcPr>
            <w:tcW w:w="685" w:type="pct"/>
            <w:tcBorders>
              <w:tl2br w:val="nil"/>
              <w:tr2bl w:val="nil"/>
            </w:tcBorders>
            <w:vAlign w:val="center"/>
          </w:tcPr>
          <w:p>
            <w:pPr>
              <w:jc w:val="center"/>
              <w:rPr>
                <w:rFonts w:ascii="Times New Roman" w:hAnsi="Times New Roman" w:eastAsia="宋体" w:cs="Times New Roman"/>
                <w:bCs/>
                <w:color w:val="auto"/>
                <w:szCs w:val="21"/>
              </w:rPr>
            </w:pPr>
            <w:r>
              <w:rPr>
                <w:rFonts w:ascii="Times New Roman" w:hAnsi="Times New Roman" w:cs="Times New Roman"/>
                <w:color w:val="auto"/>
                <w:szCs w:val="21"/>
              </w:rPr>
              <w:t>西南，监测点位距离企业厂界约10m内</w:t>
            </w:r>
          </w:p>
        </w:tc>
        <w:tc>
          <w:tcPr>
            <w:tcW w:w="685" w:type="pct"/>
            <w:vMerge w:val="continue"/>
            <w:tcBorders>
              <w:tl2br w:val="nil"/>
              <w:tr2bl w:val="nil"/>
            </w:tcBorders>
            <w:vAlign w:val="center"/>
          </w:tcPr>
          <w:p>
            <w:pPr>
              <w:pStyle w:val="39"/>
              <w:widowControl/>
              <w:overflowPunct/>
              <w:adjustRightInd/>
              <w:spacing w:before="0" w:after="0" w:line="240" w:lineRule="auto"/>
              <w:ind w:firstLine="0" w:firstLineChars="0"/>
              <w:jc w:val="center"/>
              <w:textAlignment w:val="auto"/>
              <w:rPr>
                <w:rFonts w:ascii="Times New Roman" w:hAnsi="Times New Roman" w:eastAsia="宋体"/>
                <w:color w:val="auto"/>
                <w:sz w:val="21"/>
                <w:szCs w:val="21"/>
              </w:rPr>
            </w:pPr>
          </w:p>
        </w:tc>
        <w:tc>
          <w:tcPr>
            <w:tcW w:w="1173" w:type="pct"/>
            <w:vMerge w:val="continue"/>
            <w:tcBorders>
              <w:tl2br w:val="nil"/>
              <w:tr2bl w:val="nil"/>
            </w:tcBorders>
            <w:vAlign w:val="center"/>
          </w:tcPr>
          <w:p>
            <w:pPr>
              <w:pStyle w:val="39"/>
              <w:widowControl/>
              <w:overflowPunct/>
              <w:adjustRightInd/>
              <w:spacing w:before="0" w:after="0" w:line="240" w:lineRule="auto"/>
              <w:ind w:firstLine="0" w:firstLineChars="0"/>
              <w:jc w:val="center"/>
              <w:textAlignment w:val="auto"/>
              <w:rPr>
                <w:rFonts w:ascii="Times New Roman" w:hAnsi="Times New Roman" w:eastAsia="宋体"/>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536" w:type="pct"/>
            <w:vMerge w:val="continue"/>
            <w:tcBorders>
              <w:right w:val="single" w:color="auto" w:sz="4" w:space="0"/>
              <w:tl2br w:val="nil"/>
              <w:tr2bl w:val="nil"/>
            </w:tcBorders>
            <w:vAlign w:val="center"/>
          </w:tcPr>
          <w:p>
            <w:pPr>
              <w:pStyle w:val="39"/>
              <w:widowControl/>
              <w:overflowPunct/>
              <w:adjustRightInd/>
              <w:spacing w:before="0" w:after="0" w:line="240" w:lineRule="auto"/>
              <w:ind w:firstLine="0" w:firstLineChars="0"/>
              <w:jc w:val="center"/>
              <w:textAlignment w:val="auto"/>
              <w:rPr>
                <w:rFonts w:ascii="Times New Roman" w:hAnsi="Times New Roman" w:eastAsia="宋体"/>
                <w:color w:val="auto"/>
                <w:sz w:val="21"/>
                <w:szCs w:val="21"/>
              </w:rPr>
            </w:pPr>
          </w:p>
        </w:tc>
        <w:tc>
          <w:tcPr>
            <w:tcW w:w="1918" w:type="pct"/>
            <w:tcBorders>
              <w:top w:val="single" w:color="auto" w:sz="4" w:space="0"/>
              <w:left w:val="single" w:color="auto" w:sz="4" w:space="0"/>
              <w:bottom w:val="single" w:color="auto" w:sz="4" w:space="0"/>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G3 项目下风向</w:t>
            </w:r>
          </w:p>
        </w:tc>
        <w:tc>
          <w:tcPr>
            <w:tcW w:w="685" w:type="pct"/>
            <w:tcBorders>
              <w:bottom w:val="single" w:color="auto" w:sz="4" w:space="0"/>
              <w:tl2br w:val="nil"/>
              <w:tr2bl w:val="nil"/>
            </w:tcBorders>
            <w:vAlign w:val="center"/>
          </w:tcPr>
          <w:p>
            <w:pPr>
              <w:jc w:val="center"/>
              <w:rPr>
                <w:rFonts w:ascii="Times New Roman" w:hAnsi="Times New Roman" w:eastAsia="宋体" w:cs="Times New Roman"/>
                <w:bCs/>
                <w:color w:val="auto"/>
                <w:szCs w:val="21"/>
              </w:rPr>
            </w:pPr>
            <w:r>
              <w:rPr>
                <w:rFonts w:ascii="Times New Roman" w:hAnsi="Times New Roman" w:cs="Times New Roman"/>
                <w:color w:val="auto"/>
                <w:szCs w:val="21"/>
              </w:rPr>
              <w:t>南，监测点位距离企业厂界约10m内</w:t>
            </w:r>
          </w:p>
        </w:tc>
        <w:tc>
          <w:tcPr>
            <w:tcW w:w="685" w:type="pct"/>
            <w:vMerge w:val="continue"/>
            <w:tcBorders>
              <w:bottom w:val="single" w:color="auto" w:sz="4" w:space="0"/>
              <w:tl2br w:val="nil"/>
              <w:tr2bl w:val="nil"/>
            </w:tcBorders>
            <w:vAlign w:val="center"/>
          </w:tcPr>
          <w:p>
            <w:pPr>
              <w:pStyle w:val="39"/>
              <w:widowControl/>
              <w:overflowPunct/>
              <w:adjustRightInd/>
              <w:spacing w:before="0" w:after="0" w:line="240" w:lineRule="auto"/>
              <w:ind w:firstLine="0" w:firstLineChars="0"/>
              <w:jc w:val="center"/>
              <w:textAlignment w:val="auto"/>
              <w:rPr>
                <w:rFonts w:ascii="Times New Roman" w:hAnsi="Times New Roman" w:eastAsia="宋体"/>
                <w:color w:val="auto"/>
                <w:sz w:val="21"/>
                <w:szCs w:val="21"/>
              </w:rPr>
            </w:pPr>
          </w:p>
        </w:tc>
        <w:tc>
          <w:tcPr>
            <w:tcW w:w="1173" w:type="pct"/>
            <w:vMerge w:val="continue"/>
            <w:tcBorders>
              <w:tl2br w:val="nil"/>
              <w:tr2bl w:val="nil"/>
            </w:tcBorders>
            <w:vAlign w:val="center"/>
          </w:tcPr>
          <w:p>
            <w:pPr>
              <w:pStyle w:val="39"/>
              <w:widowControl/>
              <w:overflowPunct/>
              <w:adjustRightInd/>
              <w:spacing w:before="0" w:after="0" w:line="240" w:lineRule="auto"/>
              <w:ind w:firstLine="0" w:firstLineChars="0"/>
              <w:jc w:val="center"/>
              <w:textAlignment w:val="auto"/>
              <w:rPr>
                <w:rFonts w:ascii="Times New Roman" w:hAnsi="Times New Roman" w:eastAsia="宋体"/>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536" w:type="pct"/>
            <w:vMerge w:val="continue"/>
            <w:tcBorders>
              <w:right w:val="single" w:color="auto" w:sz="4" w:space="0"/>
              <w:tl2br w:val="nil"/>
              <w:tr2bl w:val="nil"/>
            </w:tcBorders>
            <w:vAlign w:val="center"/>
          </w:tcPr>
          <w:p>
            <w:pPr>
              <w:pStyle w:val="39"/>
              <w:widowControl/>
              <w:overflowPunct/>
              <w:adjustRightInd/>
              <w:spacing w:before="0" w:after="0" w:line="240" w:lineRule="auto"/>
              <w:ind w:firstLine="0" w:firstLineChars="0"/>
              <w:jc w:val="center"/>
              <w:textAlignment w:val="auto"/>
              <w:rPr>
                <w:rFonts w:ascii="Times New Roman" w:hAnsi="Times New Roman" w:eastAsia="宋体"/>
                <w:color w:val="auto"/>
                <w:sz w:val="21"/>
                <w:szCs w:val="21"/>
              </w:rPr>
            </w:pPr>
          </w:p>
        </w:tc>
        <w:tc>
          <w:tcPr>
            <w:tcW w:w="1918" w:type="pct"/>
            <w:tcBorders>
              <w:top w:val="single" w:color="auto" w:sz="4" w:space="0"/>
              <w:left w:val="single" w:color="auto" w:sz="4" w:space="0"/>
              <w:tl2br w:val="nil"/>
              <w:tr2bl w:val="nil"/>
            </w:tcBorders>
            <w:vAlign w:val="center"/>
          </w:tcPr>
          <w:p>
            <w:pPr>
              <w:jc w:val="center"/>
              <w:rPr>
                <w:rFonts w:ascii="Times New Roman" w:hAnsi="Times New Roman" w:eastAsia="宋体" w:cs="Times New Roman"/>
                <w:color w:val="auto"/>
                <w:szCs w:val="21"/>
              </w:rPr>
            </w:pPr>
            <w:r>
              <w:rPr>
                <w:rFonts w:ascii="Times New Roman" w:hAnsi="Times New Roman" w:cs="Times New Roman"/>
                <w:color w:val="auto"/>
                <w:szCs w:val="21"/>
              </w:rPr>
              <w:t xml:space="preserve">G4 </w:t>
            </w:r>
            <w:r>
              <w:rPr>
                <w:rFonts w:hint="default" w:ascii="Times New Roman" w:hAnsi="Times New Roman" w:cs="Times New Roman"/>
                <w:color w:val="auto"/>
                <w:szCs w:val="21"/>
              </w:rPr>
              <w:t>车间一（生产车间）外1m</w:t>
            </w:r>
          </w:p>
        </w:tc>
        <w:tc>
          <w:tcPr>
            <w:tcW w:w="685" w:type="pct"/>
            <w:tcBorders>
              <w:top w:val="single" w:color="auto" w:sz="4" w:space="0"/>
              <w:tl2br w:val="nil"/>
              <w:tr2bl w:val="nil"/>
            </w:tcBorders>
            <w:vAlign w:val="center"/>
          </w:tcPr>
          <w:p>
            <w:pPr>
              <w:jc w:val="center"/>
              <w:rPr>
                <w:rFonts w:ascii="Times New Roman" w:hAnsi="Times New Roman" w:eastAsia="宋体" w:cs="Times New Roman"/>
                <w:color w:val="auto"/>
                <w:szCs w:val="21"/>
              </w:rPr>
            </w:pPr>
            <w:r>
              <w:rPr>
                <w:rFonts w:ascii="Times New Roman" w:hAnsi="Times New Roman" w:cs="Times New Roman"/>
                <w:color w:val="auto"/>
                <w:szCs w:val="21"/>
              </w:rPr>
              <w:t>厂</w:t>
            </w:r>
            <w:r>
              <w:rPr>
                <w:rFonts w:hint="default" w:ascii="Times New Roman" w:hAnsi="Times New Roman" w:cs="Times New Roman"/>
                <w:color w:val="auto"/>
                <w:szCs w:val="21"/>
              </w:rPr>
              <w:t>区</w:t>
            </w:r>
            <w:r>
              <w:rPr>
                <w:rFonts w:ascii="Times New Roman" w:hAnsi="Times New Roman" w:cs="Times New Roman"/>
                <w:color w:val="auto"/>
                <w:szCs w:val="21"/>
              </w:rPr>
              <w:t>内</w:t>
            </w:r>
            <w:r>
              <w:rPr>
                <w:rFonts w:hint="default" w:ascii="Times New Roman" w:hAnsi="Times New Roman" w:cs="Times New Roman"/>
                <w:color w:val="auto"/>
                <w:szCs w:val="21"/>
              </w:rPr>
              <w:t>、车间一（生产车间）外1m</w:t>
            </w:r>
          </w:p>
        </w:tc>
        <w:tc>
          <w:tcPr>
            <w:tcW w:w="685" w:type="pct"/>
            <w:tcBorders>
              <w:top w:val="single" w:color="auto" w:sz="4" w:space="0"/>
              <w:tl2br w:val="nil"/>
              <w:tr2bl w:val="nil"/>
            </w:tcBorders>
            <w:vAlign w:val="center"/>
          </w:tcPr>
          <w:p>
            <w:pPr>
              <w:pStyle w:val="39"/>
              <w:spacing w:before="0" w:after="0" w:line="240" w:lineRule="auto"/>
              <w:ind w:firstLine="420"/>
              <w:jc w:val="center"/>
              <w:rPr>
                <w:rFonts w:ascii="Times New Roman" w:hAnsi="Times New Roman" w:eastAsia="宋体"/>
                <w:color w:val="auto"/>
                <w:sz w:val="21"/>
                <w:szCs w:val="21"/>
              </w:rPr>
            </w:pPr>
            <w:r>
              <w:rPr>
                <w:rFonts w:hint="default" w:ascii="Times New Roman" w:hAnsi="Times New Roman"/>
                <w:color w:val="auto"/>
                <w:sz w:val="21"/>
                <w:szCs w:val="21"/>
              </w:rPr>
              <w:t>NMHC</w:t>
            </w:r>
          </w:p>
        </w:tc>
        <w:tc>
          <w:tcPr>
            <w:tcW w:w="1173" w:type="pct"/>
            <w:vMerge w:val="continue"/>
            <w:tcBorders>
              <w:tl2br w:val="nil"/>
              <w:tr2bl w:val="nil"/>
            </w:tcBorders>
            <w:vAlign w:val="center"/>
          </w:tcPr>
          <w:p>
            <w:pPr>
              <w:pStyle w:val="39"/>
              <w:widowControl/>
              <w:overflowPunct/>
              <w:adjustRightInd/>
              <w:spacing w:before="0" w:after="0" w:line="240" w:lineRule="auto"/>
              <w:ind w:firstLine="0" w:firstLineChars="0"/>
              <w:jc w:val="center"/>
              <w:textAlignment w:val="auto"/>
              <w:rPr>
                <w:rFonts w:ascii="Times New Roman" w:hAnsi="Times New Roman" w:eastAsia="宋体"/>
                <w:color w:val="auto"/>
                <w:sz w:val="21"/>
                <w:szCs w:val="21"/>
              </w:rPr>
            </w:pPr>
          </w:p>
        </w:tc>
      </w:tr>
    </w:tbl>
    <w:p>
      <w:pPr>
        <w:spacing w:line="360" w:lineRule="auto"/>
        <w:outlineLvl w:val="1"/>
        <w:rPr>
          <w:rFonts w:ascii="Times New Roman" w:hAnsi="Times New Roman" w:cs="Times New Roman"/>
          <w:b/>
          <w:color w:val="auto"/>
          <w:sz w:val="30"/>
          <w:szCs w:val="30"/>
        </w:rPr>
      </w:pPr>
      <w:bookmarkStart w:id="75" w:name="_Toc85120897"/>
      <w:bookmarkStart w:id="76" w:name="_Toc28543"/>
      <w:r>
        <w:rPr>
          <w:rFonts w:hint="default" w:ascii="Times New Roman" w:hAnsi="Times New Roman" w:cs="Times New Roman"/>
          <w:b/>
          <w:color w:val="auto"/>
          <w:sz w:val="30"/>
          <w:szCs w:val="30"/>
        </w:rPr>
        <w:t>7.2  废水排放监测内容</w:t>
      </w:r>
      <w:bookmarkEnd w:id="75"/>
      <w:bookmarkEnd w:id="76"/>
    </w:p>
    <w:p>
      <w:pPr>
        <w:spacing w:line="360" w:lineRule="auto"/>
        <w:ind w:firstLine="480" w:firstLineChars="200"/>
        <w:rPr>
          <w:rFonts w:ascii="Times New Roman" w:hAnsi="Times New Roman" w:cs="Times New Roman"/>
          <w:color w:val="auto"/>
          <w:sz w:val="24"/>
          <w:szCs w:val="24"/>
        </w:rPr>
      </w:pPr>
      <w:r>
        <w:rPr>
          <w:rFonts w:hint="default" w:ascii="Times New Roman" w:hAnsi="Times New Roman" w:cs="Times New Roman"/>
          <w:color w:val="auto"/>
          <w:sz w:val="24"/>
          <w:szCs w:val="24"/>
        </w:rPr>
        <w:t>根据环评及其批复要求，污水</w:t>
      </w:r>
      <w:r>
        <w:rPr>
          <w:rFonts w:ascii="Times New Roman" w:hAnsi="Times New Roman" w:cs="Times New Roman"/>
          <w:color w:val="auto"/>
          <w:sz w:val="24"/>
          <w:szCs w:val="24"/>
        </w:rPr>
        <w:t>监测内容见表</w:t>
      </w:r>
      <w:r>
        <w:rPr>
          <w:rFonts w:hint="default" w:ascii="Times New Roman" w:hAnsi="Times New Roman" w:cs="Times New Roman"/>
          <w:color w:val="auto"/>
          <w:sz w:val="24"/>
          <w:szCs w:val="24"/>
        </w:rPr>
        <w:t>7</w:t>
      </w:r>
      <w:r>
        <w:rPr>
          <w:rFonts w:ascii="Times New Roman" w:hAnsi="Times New Roman" w:cs="Times New Roman"/>
          <w:color w:val="auto"/>
          <w:sz w:val="24"/>
          <w:szCs w:val="24"/>
        </w:rPr>
        <w:t>.2-1</w:t>
      </w:r>
      <w:r>
        <w:rPr>
          <w:rFonts w:hint="default" w:ascii="Times New Roman" w:hAnsi="Times New Roman" w:cs="Times New Roman"/>
          <w:color w:val="auto"/>
          <w:sz w:val="24"/>
          <w:szCs w:val="24"/>
        </w:rPr>
        <w:t>。</w:t>
      </w:r>
    </w:p>
    <w:p>
      <w:pPr>
        <w:jc w:val="center"/>
        <w:rPr>
          <w:rFonts w:ascii="Times New Roman" w:hAnsi="Times New Roman" w:cs="Times New Roman"/>
          <w:b/>
          <w:bCs/>
          <w:color w:val="auto"/>
          <w:szCs w:val="21"/>
        </w:rPr>
      </w:pPr>
    </w:p>
    <w:p>
      <w:pPr>
        <w:jc w:val="center"/>
        <w:rPr>
          <w:rFonts w:ascii="Times New Roman" w:hAnsi="Times New Roman" w:cs="Times New Roman"/>
          <w:b/>
          <w:bCs/>
          <w:color w:val="auto"/>
          <w:szCs w:val="21"/>
        </w:rPr>
      </w:pPr>
      <w:r>
        <w:rPr>
          <w:rFonts w:ascii="Times New Roman" w:hAnsi="Times New Roman" w:cs="Times New Roman"/>
          <w:b/>
          <w:bCs/>
          <w:color w:val="auto"/>
          <w:szCs w:val="21"/>
        </w:rPr>
        <w:t>表</w:t>
      </w:r>
      <w:r>
        <w:rPr>
          <w:rFonts w:hint="default" w:ascii="Times New Roman" w:hAnsi="Times New Roman" w:cs="Times New Roman"/>
          <w:b/>
          <w:bCs/>
          <w:color w:val="auto"/>
          <w:szCs w:val="21"/>
        </w:rPr>
        <w:t>7</w:t>
      </w:r>
      <w:r>
        <w:rPr>
          <w:rFonts w:ascii="Times New Roman" w:hAnsi="Times New Roman" w:cs="Times New Roman"/>
          <w:b/>
          <w:bCs/>
          <w:color w:val="auto"/>
          <w:szCs w:val="21"/>
        </w:rPr>
        <w:t xml:space="preserve">.2-1  </w:t>
      </w:r>
      <w:r>
        <w:rPr>
          <w:rFonts w:hint="default" w:ascii="Times New Roman" w:hAnsi="Times New Roman" w:cs="Times New Roman"/>
          <w:b/>
          <w:bCs/>
          <w:color w:val="auto"/>
          <w:szCs w:val="21"/>
        </w:rPr>
        <w:t>废水</w:t>
      </w:r>
      <w:r>
        <w:rPr>
          <w:rFonts w:ascii="Times New Roman" w:hAnsi="Times New Roman" w:cs="Times New Roman"/>
          <w:b/>
          <w:bCs/>
          <w:color w:val="auto"/>
          <w:szCs w:val="21"/>
        </w:rPr>
        <w:t>监测内容</w:t>
      </w:r>
      <w:r>
        <w:rPr>
          <w:rFonts w:hint="default" w:ascii="Times New Roman" w:hAnsi="Times New Roman" w:cs="Times New Roman"/>
          <w:b/>
          <w:bCs/>
          <w:color w:val="auto"/>
          <w:szCs w:val="21"/>
        </w:rPr>
        <w:t>及频次</w:t>
      </w:r>
    </w:p>
    <w:tbl>
      <w:tblPr>
        <w:tblStyle w:val="28"/>
        <w:tblW w:w="852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324"/>
        <w:gridCol w:w="3878"/>
        <w:gridCol w:w="232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324" w:type="dxa"/>
            <w:tcBorders>
              <w:tl2br w:val="nil"/>
              <w:tr2bl w:val="nil"/>
            </w:tcBorders>
            <w:vAlign w:val="center"/>
          </w:tcPr>
          <w:p>
            <w:pPr>
              <w:pStyle w:val="39"/>
              <w:widowControl/>
              <w:overflowPunct/>
              <w:adjustRightInd/>
              <w:spacing w:before="0" w:after="0" w:line="240" w:lineRule="auto"/>
              <w:ind w:firstLine="0" w:firstLineChars="0"/>
              <w:jc w:val="center"/>
              <w:textAlignment w:val="auto"/>
              <w:rPr>
                <w:rFonts w:ascii="Times New Roman" w:hAnsi="Times New Roman" w:eastAsia="宋体"/>
                <w:color w:val="auto"/>
                <w:sz w:val="21"/>
                <w:szCs w:val="21"/>
              </w:rPr>
            </w:pPr>
            <w:r>
              <w:rPr>
                <w:rFonts w:ascii="Times New Roman" w:hAnsi="Times New Roman" w:eastAsia="宋体"/>
                <w:b/>
                <w:color w:val="auto"/>
                <w:sz w:val="21"/>
                <w:szCs w:val="21"/>
              </w:rPr>
              <w:t>采样点位</w:t>
            </w:r>
          </w:p>
        </w:tc>
        <w:tc>
          <w:tcPr>
            <w:tcW w:w="3878" w:type="dxa"/>
            <w:tcBorders>
              <w:tl2br w:val="nil"/>
              <w:tr2bl w:val="nil"/>
            </w:tcBorders>
            <w:vAlign w:val="center"/>
          </w:tcPr>
          <w:p>
            <w:pPr>
              <w:pStyle w:val="39"/>
              <w:widowControl/>
              <w:overflowPunct/>
              <w:adjustRightInd/>
              <w:spacing w:before="0" w:after="0" w:line="240" w:lineRule="auto"/>
              <w:ind w:firstLine="0" w:firstLineChars="0"/>
              <w:jc w:val="center"/>
              <w:textAlignment w:val="auto"/>
              <w:rPr>
                <w:rFonts w:ascii="Times New Roman" w:hAnsi="Times New Roman" w:eastAsia="宋体"/>
                <w:b/>
                <w:color w:val="auto"/>
                <w:sz w:val="21"/>
                <w:szCs w:val="21"/>
              </w:rPr>
            </w:pPr>
            <w:r>
              <w:rPr>
                <w:rFonts w:ascii="Times New Roman" w:hAnsi="Times New Roman" w:eastAsia="宋体"/>
                <w:b/>
                <w:color w:val="auto"/>
                <w:sz w:val="21"/>
                <w:szCs w:val="21"/>
              </w:rPr>
              <w:t>监测内容</w:t>
            </w:r>
          </w:p>
        </w:tc>
        <w:tc>
          <w:tcPr>
            <w:tcW w:w="2320" w:type="dxa"/>
            <w:tcBorders>
              <w:tl2br w:val="nil"/>
              <w:tr2bl w:val="nil"/>
            </w:tcBorders>
            <w:vAlign w:val="center"/>
          </w:tcPr>
          <w:p>
            <w:pPr>
              <w:pStyle w:val="39"/>
              <w:widowControl/>
              <w:overflowPunct/>
              <w:adjustRightInd/>
              <w:spacing w:before="0" w:after="0" w:line="240" w:lineRule="auto"/>
              <w:ind w:firstLine="0" w:firstLineChars="0"/>
              <w:jc w:val="center"/>
              <w:textAlignment w:val="auto"/>
              <w:rPr>
                <w:rFonts w:ascii="Times New Roman" w:hAnsi="Times New Roman" w:eastAsia="宋体"/>
                <w:b/>
                <w:color w:val="auto"/>
                <w:sz w:val="21"/>
                <w:szCs w:val="21"/>
              </w:rPr>
            </w:pPr>
            <w:r>
              <w:rPr>
                <w:rFonts w:ascii="Times New Roman" w:hAnsi="Times New Roman" w:eastAsia="宋体"/>
                <w:b/>
                <w:color w:val="auto"/>
                <w:sz w:val="21"/>
                <w:szCs w:val="21"/>
              </w:rPr>
              <w:t>监测频次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2324" w:type="dxa"/>
            <w:tcBorders>
              <w:tl2br w:val="nil"/>
              <w:tr2bl w:val="nil"/>
            </w:tcBorders>
            <w:vAlign w:val="center"/>
          </w:tcPr>
          <w:p>
            <w:pPr>
              <w:pStyle w:val="39"/>
              <w:widowControl/>
              <w:overflowPunct/>
              <w:adjustRightInd/>
              <w:spacing w:before="0" w:after="0" w:line="240" w:lineRule="auto"/>
              <w:ind w:firstLine="0" w:firstLineChars="0"/>
              <w:jc w:val="center"/>
              <w:textAlignment w:val="auto"/>
              <w:rPr>
                <w:rFonts w:hint="eastAsia"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Cs/>
                <w:color w:val="auto"/>
                <w:sz w:val="21"/>
                <w:szCs w:val="21"/>
              </w:rPr>
              <w:t>W1：</w:t>
            </w:r>
            <w:r>
              <w:rPr>
                <w:rFonts w:hint="eastAsia" w:asciiTheme="minorEastAsia" w:hAnsiTheme="minorEastAsia" w:eastAsiaTheme="minorEastAsia" w:cstheme="minorEastAsia"/>
                <w:color w:val="auto"/>
                <w:sz w:val="21"/>
                <w:szCs w:val="21"/>
              </w:rPr>
              <w:t>废水处理设施进口</w:t>
            </w:r>
          </w:p>
        </w:tc>
        <w:tc>
          <w:tcPr>
            <w:tcW w:w="3878" w:type="dxa"/>
            <w:vMerge w:val="restart"/>
            <w:tcBorders>
              <w:tl2br w:val="nil"/>
              <w:tr2bl w:val="nil"/>
            </w:tcBorders>
            <w:vAlign w:val="center"/>
          </w:tcPr>
          <w:p>
            <w:pPr>
              <w:rPr>
                <w:rFonts w:ascii="Times New Roman" w:hAnsi="Times New Roman" w:eastAsia="宋体" w:cs="Times New Roman"/>
                <w:b/>
                <w:color w:val="auto"/>
                <w:szCs w:val="21"/>
              </w:rPr>
            </w:pPr>
            <w:r>
              <w:rPr>
                <w:rFonts w:ascii="Times New Roman" w:hAnsi="Times New Roman" w:cs="Times New Roman"/>
                <w:color w:val="auto"/>
                <w:szCs w:val="21"/>
              </w:rPr>
              <w:t>PH、COD、BOD</w:t>
            </w:r>
            <w:r>
              <w:rPr>
                <w:rFonts w:ascii="Times New Roman" w:hAnsi="Times New Roman" w:cs="Times New Roman"/>
                <w:color w:val="auto"/>
                <w:szCs w:val="21"/>
                <w:vertAlign w:val="subscript"/>
              </w:rPr>
              <w:t>5</w:t>
            </w:r>
            <w:r>
              <w:rPr>
                <w:rFonts w:ascii="Times New Roman" w:hAnsi="Times New Roman" w:cs="Times New Roman"/>
                <w:color w:val="auto"/>
                <w:szCs w:val="21"/>
              </w:rPr>
              <w:t>、氨氮、SS、动植物油、苯酚、甲醛</w:t>
            </w:r>
          </w:p>
        </w:tc>
        <w:tc>
          <w:tcPr>
            <w:tcW w:w="2320" w:type="dxa"/>
            <w:vMerge w:val="restart"/>
            <w:tcBorders>
              <w:tl2br w:val="nil"/>
              <w:tr2bl w:val="nil"/>
            </w:tcBorders>
            <w:vAlign w:val="center"/>
          </w:tcPr>
          <w:p>
            <w:pPr>
              <w:pStyle w:val="39"/>
              <w:spacing w:before="0" w:after="0" w:line="240" w:lineRule="auto"/>
              <w:ind w:firstLine="420"/>
              <w:jc w:val="center"/>
              <w:rPr>
                <w:rFonts w:ascii="Times New Roman" w:hAnsi="Times New Roman" w:eastAsia="宋体"/>
                <w:b/>
                <w:color w:val="auto"/>
                <w:sz w:val="21"/>
                <w:szCs w:val="21"/>
              </w:rPr>
            </w:pPr>
            <w:r>
              <w:rPr>
                <w:rFonts w:ascii="Times New Roman" w:hAnsi="Times New Roman" w:eastAsia="宋体"/>
                <w:snapToGrid w:val="0"/>
                <w:color w:val="auto"/>
                <w:sz w:val="21"/>
                <w:szCs w:val="21"/>
              </w:rPr>
              <w:t>连续2天，4次/天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56" w:hRule="atLeast"/>
          <w:jc w:val="center"/>
        </w:trPr>
        <w:tc>
          <w:tcPr>
            <w:tcW w:w="2324" w:type="dxa"/>
            <w:tcBorders>
              <w:tl2br w:val="nil"/>
              <w:tr2bl w:val="nil"/>
            </w:tcBorders>
            <w:vAlign w:val="center"/>
          </w:tcPr>
          <w:p>
            <w:pPr>
              <w:pStyle w:val="39"/>
              <w:widowControl/>
              <w:overflowPunct/>
              <w:adjustRightInd/>
              <w:spacing w:before="0" w:after="0" w:line="240" w:lineRule="auto"/>
              <w:ind w:firstLine="0" w:firstLineChars="0"/>
              <w:jc w:val="center"/>
              <w:textAlignment w:val="auto"/>
              <w:rPr>
                <w:rFonts w:hint="eastAsia"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Cs/>
                <w:color w:val="auto"/>
                <w:sz w:val="21"/>
                <w:szCs w:val="21"/>
              </w:rPr>
              <w:t>W2：</w:t>
            </w:r>
            <w:r>
              <w:rPr>
                <w:rFonts w:hint="eastAsia" w:asciiTheme="minorEastAsia" w:hAnsiTheme="minorEastAsia" w:eastAsiaTheme="minorEastAsia" w:cstheme="minorEastAsia"/>
                <w:color w:val="auto"/>
                <w:sz w:val="21"/>
                <w:szCs w:val="21"/>
              </w:rPr>
              <w:t>废水总排口</w:t>
            </w:r>
          </w:p>
        </w:tc>
        <w:tc>
          <w:tcPr>
            <w:tcW w:w="3878" w:type="dxa"/>
            <w:vMerge w:val="continue"/>
            <w:tcBorders>
              <w:tl2br w:val="nil"/>
              <w:tr2bl w:val="nil"/>
            </w:tcBorders>
            <w:vAlign w:val="center"/>
          </w:tcPr>
          <w:p>
            <w:pPr>
              <w:rPr>
                <w:rFonts w:ascii="Times New Roman" w:hAnsi="Times New Roman" w:eastAsia="宋体" w:cs="Times New Roman"/>
                <w:b/>
                <w:color w:val="auto"/>
                <w:szCs w:val="21"/>
              </w:rPr>
            </w:pPr>
          </w:p>
        </w:tc>
        <w:tc>
          <w:tcPr>
            <w:tcW w:w="2320" w:type="dxa"/>
            <w:vMerge w:val="continue"/>
            <w:tcBorders>
              <w:tl2br w:val="nil"/>
              <w:tr2bl w:val="nil"/>
            </w:tcBorders>
            <w:vAlign w:val="center"/>
          </w:tcPr>
          <w:p>
            <w:pPr>
              <w:pStyle w:val="39"/>
              <w:spacing w:before="0" w:after="0" w:line="240" w:lineRule="auto"/>
              <w:ind w:firstLine="422"/>
              <w:jc w:val="center"/>
              <w:rPr>
                <w:rFonts w:ascii="Times New Roman" w:hAnsi="Times New Roman" w:eastAsia="宋体"/>
                <w:b/>
                <w:color w:val="auto"/>
                <w:sz w:val="21"/>
                <w:szCs w:val="21"/>
              </w:rPr>
            </w:pPr>
          </w:p>
        </w:tc>
      </w:tr>
    </w:tbl>
    <w:p>
      <w:pPr>
        <w:spacing w:line="360" w:lineRule="auto"/>
        <w:outlineLvl w:val="1"/>
        <w:rPr>
          <w:rFonts w:ascii="Times New Roman" w:hAnsi="Times New Roman" w:cs="Times New Roman"/>
          <w:b/>
          <w:color w:val="auto"/>
          <w:sz w:val="30"/>
          <w:szCs w:val="30"/>
        </w:rPr>
      </w:pPr>
      <w:bookmarkStart w:id="77" w:name="_Toc85120898"/>
      <w:bookmarkStart w:id="78" w:name="_Toc13860"/>
      <w:r>
        <w:rPr>
          <w:rFonts w:hint="default" w:ascii="Times New Roman" w:hAnsi="Times New Roman" w:cs="Times New Roman"/>
          <w:b/>
          <w:color w:val="auto"/>
          <w:sz w:val="30"/>
          <w:szCs w:val="30"/>
        </w:rPr>
        <w:t>7.3  厂界噪声监测内容</w:t>
      </w:r>
      <w:bookmarkEnd w:id="77"/>
      <w:bookmarkEnd w:id="78"/>
    </w:p>
    <w:p>
      <w:pPr>
        <w:spacing w:line="360" w:lineRule="auto"/>
        <w:ind w:firstLine="480" w:firstLineChars="200"/>
        <w:rPr>
          <w:rFonts w:ascii="Times New Roman" w:hAnsi="Times New Roman" w:cs="Times New Roman"/>
          <w:color w:val="auto"/>
          <w:sz w:val="24"/>
          <w:szCs w:val="24"/>
        </w:rPr>
      </w:pPr>
      <w:r>
        <w:rPr>
          <w:rFonts w:hint="default" w:ascii="Times New Roman" w:hAnsi="Times New Roman" w:cs="Times New Roman"/>
          <w:color w:val="auto"/>
          <w:sz w:val="24"/>
          <w:szCs w:val="24"/>
        </w:rPr>
        <w:t>本次建设对本项目东、南、西、北厂界噪声进行监测，监测内容见表7.3-1。</w:t>
      </w:r>
    </w:p>
    <w:p>
      <w:pPr>
        <w:jc w:val="center"/>
        <w:rPr>
          <w:rFonts w:ascii="Times New Roman" w:hAnsi="Times New Roman" w:cs="Times New Roman"/>
          <w:b/>
          <w:bCs/>
          <w:color w:val="auto"/>
          <w:szCs w:val="21"/>
        </w:rPr>
      </w:pPr>
      <w:r>
        <w:rPr>
          <w:rFonts w:hint="default" w:ascii="Times New Roman" w:hAnsi="Times New Roman" w:cs="Times New Roman"/>
          <w:b/>
          <w:bCs/>
          <w:color w:val="auto"/>
          <w:szCs w:val="21"/>
        </w:rPr>
        <w:t>表7.3-1  厂界噪声监测内容及频次</w:t>
      </w:r>
    </w:p>
    <w:tbl>
      <w:tblPr>
        <w:tblStyle w:val="28"/>
        <w:tblW w:w="852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537"/>
        <w:gridCol w:w="1813"/>
        <w:gridCol w:w="317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tblHeader/>
          <w:jc w:val="center"/>
        </w:trPr>
        <w:tc>
          <w:tcPr>
            <w:tcW w:w="3537" w:type="dxa"/>
            <w:tcBorders>
              <w:tl2br w:val="nil"/>
              <w:tr2bl w:val="nil"/>
            </w:tcBorders>
            <w:vAlign w:val="center"/>
          </w:tcPr>
          <w:p>
            <w:pPr>
              <w:pStyle w:val="39"/>
              <w:widowControl/>
              <w:overflowPunct/>
              <w:adjustRightInd/>
              <w:spacing w:before="0" w:after="0" w:line="240" w:lineRule="auto"/>
              <w:ind w:firstLine="0" w:firstLineChars="0"/>
              <w:jc w:val="center"/>
              <w:textAlignment w:val="auto"/>
              <w:rPr>
                <w:rFonts w:ascii="Times New Roman" w:hAnsi="Times New Roman"/>
                <w:color w:val="auto"/>
              </w:rPr>
            </w:pPr>
            <w:r>
              <w:rPr>
                <w:rFonts w:ascii="Times New Roman" w:hAnsi="Times New Roman" w:eastAsia="宋体"/>
                <w:b/>
                <w:color w:val="auto"/>
                <w:sz w:val="21"/>
                <w:szCs w:val="21"/>
              </w:rPr>
              <w:t>采样点位</w:t>
            </w:r>
          </w:p>
        </w:tc>
        <w:tc>
          <w:tcPr>
            <w:tcW w:w="1813" w:type="dxa"/>
            <w:tcBorders>
              <w:tl2br w:val="nil"/>
              <w:tr2bl w:val="nil"/>
            </w:tcBorders>
            <w:vAlign w:val="center"/>
          </w:tcPr>
          <w:p>
            <w:pPr>
              <w:pStyle w:val="39"/>
              <w:widowControl/>
              <w:overflowPunct/>
              <w:adjustRightInd/>
              <w:spacing w:before="0" w:after="0" w:line="240" w:lineRule="auto"/>
              <w:ind w:firstLine="0" w:firstLineChars="0"/>
              <w:jc w:val="center"/>
              <w:textAlignment w:val="auto"/>
              <w:rPr>
                <w:rFonts w:ascii="Times New Roman" w:hAnsi="Times New Roman" w:eastAsia="宋体"/>
                <w:b/>
                <w:color w:val="auto"/>
                <w:sz w:val="21"/>
                <w:szCs w:val="21"/>
              </w:rPr>
            </w:pPr>
            <w:r>
              <w:rPr>
                <w:rFonts w:hint="default" w:ascii="Times New Roman" w:hAnsi="Times New Roman" w:eastAsia="宋体"/>
                <w:b/>
                <w:color w:val="auto"/>
                <w:sz w:val="21"/>
                <w:szCs w:val="21"/>
              </w:rPr>
              <w:t>监测内容</w:t>
            </w:r>
          </w:p>
        </w:tc>
        <w:tc>
          <w:tcPr>
            <w:tcW w:w="3172" w:type="dxa"/>
            <w:tcBorders>
              <w:tl2br w:val="nil"/>
              <w:tr2bl w:val="nil"/>
            </w:tcBorders>
            <w:vAlign w:val="center"/>
          </w:tcPr>
          <w:p>
            <w:pPr>
              <w:pStyle w:val="39"/>
              <w:widowControl/>
              <w:overflowPunct/>
              <w:adjustRightInd/>
              <w:spacing w:before="0" w:after="0" w:line="240" w:lineRule="auto"/>
              <w:ind w:firstLine="0" w:firstLineChars="0"/>
              <w:jc w:val="center"/>
              <w:textAlignment w:val="auto"/>
              <w:rPr>
                <w:rFonts w:ascii="Times New Roman" w:hAnsi="Times New Roman" w:eastAsia="宋体"/>
                <w:b/>
                <w:color w:val="auto"/>
                <w:sz w:val="21"/>
                <w:szCs w:val="21"/>
              </w:rPr>
            </w:pPr>
            <w:r>
              <w:rPr>
                <w:rFonts w:hint="default" w:ascii="Times New Roman" w:hAnsi="Times New Roman" w:eastAsia="宋体"/>
                <w:b/>
                <w:color w:val="auto"/>
                <w:sz w:val="21"/>
                <w:szCs w:val="21"/>
              </w:rPr>
              <w:t>监测频次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3537" w:type="dxa"/>
            <w:tcBorders>
              <w:tl2br w:val="nil"/>
              <w:tr2bl w:val="nil"/>
            </w:tcBorders>
            <w:vAlign w:val="center"/>
          </w:tcPr>
          <w:p>
            <w:pPr>
              <w:widowControl/>
              <w:jc w:val="center"/>
              <w:rPr>
                <w:rFonts w:ascii="Times New Roman" w:hAnsi="Times New Roman" w:eastAsia="仿宋_GB2312" w:cs="Times New Roman"/>
                <w:color w:val="auto"/>
              </w:rPr>
            </w:pPr>
            <w:r>
              <w:rPr>
                <w:rFonts w:ascii="Times New Roman" w:hAnsi="Times New Roman" w:eastAsia="宋体" w:cs="Times New Roman"/>
                <w:color w:val="auto"/>
                <w:szCs w:val="21"/>
              </w:rPr>
              <w:t>N</w:t>
            </w:r>
            <w:r>
              <w:rPr>
                <w:rFonts w:hint="default" w:ascii="Times New Roman" w:hAnsi="Times New Roman" w:cs="Times New Roman"/>
                <w:color w:val="auto"/>
                <w:szCs w:val="21"/>
              </w:rPr>
              <w:t>1：</w:t>
            </w:r>
            <w:r>
              <w:rPr>
                <w:rFonts w:ascii="Times New Roman" w:hAnsi="Times New Roman" w:eastAsia="宋体" w:cs="Times New Roman"/>
                <w:color w:val="auto"/>
                <w:szCs w:val="21"/>
              </w:rPr>
              <w:t>项目厂址东面边界外1m处</w:t>
            </w:r>
          </w:p>
        </w:tc>
        <w:tc>
          <w:tcPr>
            <w:tcW w:w="1813" w:type="dxa"/>
            <w:vMerge w:val="restart"/>
            <w:tcBorders>
              <w:tl2br w:val="nil"/>
              <w:tr2bl w:val="nil"/>
            </w:tcBorders>
            <w:vAlign w:val="center"/>
          </w:tcPr>
          <w:p>
            <w:pPr>
              <w:widowControl/>
              <w:snapToGrid w:val="0"/>
              <w:jc w:val="center"/>
              <w:rPr>
                <w:rFonts w:ascii="Times New Roman" w:hAnsi="Times New Roman" w:cs="Times New Roman"/>
                <w:color w:val="auto"/>
                <w:szCs w:val="21"/>
              </w:rPr>
            </w:pPr>
            <w:r>
              <w:rPr>
                <w:rFonts w:ascii="Times New Roman" w:hAnsi="Times New Roman" w:cs="Times New Roman"/>
                <w:color w:val="auto"/>
                <w:szCs w:val="21"/>
              </w:rPr>
              <w:t>等效连续A声级</w:t>
            </w:r>
          </w:p>
        </w:tc>
        <w:tc>
          <w:tcPr>
            <w:tcW w:w="3172" w:type="dxa"/>
            <w:vMerge w:val="restart"/>
            <w:tcBorders>
              <w:tl2br w:val="nil"/>
              <w:tr2bl w:val="nil"/>
            </w:tcBorders>
            <w:vAlign w:val="center"/>
          </w:tcPr>
          <w:p>
            <w:pPr>
              <w:pStyle w:val="39"/>
              <w:widowControl/>
              <w:overflowPunct/>
              <w:adjustRightInd/>
              <w:spacing w:before="0" w:after="0" w:line="240" w:lineRule="auto"/>
              <w:ind w:firstLine="0" w:firstLineChars="0"/>
              <w:jc w:val="center"/>
              <w:textAlignment w:val="auto"/>
              <w:rPr>
                <w:rFonts w:ascii="Times New Roman" w:hAnsi="Times New Roman" w:eastAsia="宋体"/>
                <w:color w:val="auto"/>
                <w:sz w:val="21"/>
                <w:szCs w:val="21"/>
              </w:rPr>
            </w:pPr>
            <w:r>
              <w:rPr>
                <w:rFonts w:ascii="Times New Roman" w:hAnsi="Times New Roman" w:eastAsia="宋体"/>
                <w:color w:val="auto"/>
                <w:sz w:val="21"/>
                <w:szCs w:val="21"/>
              </w:rPr>
              <w:t>连续2天</w:t>
            </w:r>
            <w:r>
              <w:rPr>
                <w:rFonts w:hint="default" w:ascii="Times New Roman" w:hAnsi="Times New Roman" w:eastAsia="宋体"/>
                <w:color w:val="auto"/>
                <w:sz w:val="21"/>
                <w:szCs w:val="21"/>
              </w:rPr>
              <w:t>，</w:t>
            </w:r>
            <w:r>
              <w:rPr>
                <w:rFonts w:ascii="Times New Roman" w:hAnsi="Times New Roman" w:eastAsia="宋体"/>
                <w:color w:val="auto"/>
                <w:sz w:val="21"/>
                <w:szCs w:val="21"/>
              </w:rPr>
              <w:t>2次/天，昼、夜</w:t>
            </w:r>
            <w:r>
              <w:rPr>
                <w:rFonts w:hint="default" w:ascii="Times New Roman" w:hAnsi="Times New Roman" w:eastAsia="宋体"/>
                <w:color w:val="auto"/>
                <w:sz w:val="21"/>
                <w:szCs w:val="21"/>
              </w:rPr>
              <w:t>监测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3537" w:type="dxa"/>
            <w:tcBorders>
              <w:tl2br w:val="nil"/>
              <w:tr2bl w:val="nil"/>
            </w:tcBorders>
            <w:vAlign w:val="center"/>
          </w:tcPr>
          <w:p>
            <w:pPr>
              <w:widowControl/>
              <w:tabs>
                <w:tab w:val="left" w:pos="268"/>
                <w:tab w:val="center" w:pos="1448"/>
              </w:tabs>
              <w:jc w:val="center"/>
              <w:rPr>
                <w:rFonts w:ascii="Times New Roman" w:hAnsi="Times New Roman" w:cs="Times New Roman"/>
                <w:color w:val="auto"/>
                <w:szCs w:val="21"/>
              </w:rPr>
            </w:pPr>
            <w:r>
              <w:rPr>
                <w:rFonts w:ascii="Times New Roman" w:hAnsi="Times New Roman" w:eastAsia="宋体" w:cs="Times New Roman"/>
                <w:color w:val="auto"/>
                <w:szCs w:val="21"/>
              </w:rPr>
              <w:t>N</w:t>
            </w:r>
            <w:r>
              <w:rPr>
                <w:rFonts w:hint="default" w:ascii="Times New Roman" w:hAnsi="Times New Roman" w:cs="Times New Roman"/>
                <w:color w:val="auto"/>
                <w:szCs w:val="21"/>
              </w:rPr>
              <w:t>2：</w:t>
            </w:r>
            <w:r>
              <w:rPr>
                <w:rFonts w:ascii="Times New Roman" w:hAnsi="Times New Roman" w:eastAsia="宋体" w:cs="Times New Roman"/>
                <w:color w:val="auto"/>
                <w:szCs w:val="21"/>
              </w:rPr>
              <w:t>项目厂址南面边界外1m处</w:t>
            </w:r>
          </w:p>
        </w:tc>
        <w:tc>
          <w:tcPr>
            <w:tcW w:w="1813" w:type="dxa"/>
            <w:vMerge w:val="continue"/>
            <w:tcBorders>
              <w:tl2br w:val="nil"/>
              <w:tr2bl w:val="nil"/>
            </w:tcBorders>
            <w:vAlign w:val="center"/>
          </w:tcPr>
          <w:p>
            <w:pPr>
              <w:widowControl/>
              <w:snapToGrid w:val="0"/>
              <w:jc w:val="center"/>
              <w:rPr>
                <w:rFonts w:ascii="Times New Roman" w:hAnsi="Times New Roman" w:cs="Times New Roman"/>
                <w:color w:val="auto"/>
                <w:szCs w:val="21"/>
              </w:rPr>
            </w:pPr>
          </w:p>
        </w:tc>
        <w:tc>
          <w:tcPr>
            <w:tcW w:w="3172" w:type="dxa"/>
            <w:vMerge w:val="continue"/>
            <w:tcBorders>
              <w:tl2br w:val="nil"/>
              <w:tr2bl w:val="nil"/>
            </w:tcBorders>
            <w:vAlign w:val="center"/>
          </w:tcPr>
          <w:p>
            <w:pPr>
              <w:pStyle w:val="39"/>
              <w:widowControl/>
              <w:overflowPunct/>
              <w:adjustRightInd/>
              <w:spacing w:before="0" w:after="0" w:line="240" w:lineRule="auto"/>
              <w:ind w:firstLine="0" w:firstLineChars="0"/>
              <w:jc w:val="center"/>
              <w:textAlignment w:val="auto"/>
              <w:rPr>
                <w:rFonts w:ascii="Times New Roman" w:hAnsi="Times New Roman" w:eastAsia="宋体"/>
                <w:snapToGrid w:val="0"/>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3537" w:type="dxa"/>
            <w:tcBorders>
              <w:tl2br w:val="nil"/>
              <w:tr2bl w:val="nil"/>
            </w:tcBorders>
            <w:vAlign w:val="center"/>
          </w:tcPr>
          <w:p>
            <w:pPr>
              <w:widowControl/>
              <w:jc w:val="center"/>
              <w:rPr>
                <w:rFonts w:ascii="Times New Roman" w:hAnsi="Times New Roman" w:cs="Times New Roman"/>
                <w:color w:val="auto"/>
                <w:szCs w:val="21"/>
              </w:rPr>
            </w:pPr>
            <w:r>
              <w:rPr>
                <w:rFonts w:ascii="Times New Roman" w:hAnsi="Times New Roman" w:eastAsia="宋体" w:cs="Times New Roman"/>
                <w:color w:val="auto"/>
                <w:szCs w:val="21"/>
              </w:rPr>
              <w:t>N</w:t>
            </w:r>
            <w:r>
              <w:rPr>
                <w:rFonts w:hint="default" w:ascii="Times New Roman" w:hAnsi="Times New Roman" w:cs="Times New Roman"/>
                <w:color w:val="auto"/>
                <w:szCs w:val="21"/>
              </w:rPr>
              <w:t>3：</w:t>
            </w:r>
            <w:r>
              <w:rPr>
                <w:rFonts w:ascii="Times New Roman" w:hAnsi="Times New Roman" w:eastAsia="宋体" w:cs="Times New Roman"/>
                <w:color w:val="auto"/>
                <w:szCs w:val="21"/>
              </w:rPr>
              <w:t>项目厂址西面边界外1m处</w:t>
            </w:r>
          </w:p>
        </w:tc>
        <w:tc>
          <w:tcPr>
            <w:tcW w:w="1813" w:type="dxa"/>
            <w:vMerge w:val="continue"/>
            <w:tcBorders>
              <w:tl2br w:val="nil"/>
              <w:tr2bl w:val="nil"/>
            </w:tcBorders>
            <w:vAlign w:val="center"/>
          </w:tcPr>
          <w:p>
            <w:pPr>
              <w:widowControl/>
              <w:snapToGrid w:val="0"/>
              <w:jc w:val="center"/>
              <w:rPr>
                <w:rFonts w:ascii="Times New Roman" w:hAnsi="Times New Roman" w:cs="Times New Roman"/>
                <w:color w:val="auto"/>
                <w:szCs w:val="21"/>
              </w:rPr>
            </w:pPr>
          </w:p>
        </w:tc>
        <w:tc>
          <w:tcPr>
            <w:tcW w:w="3172" w:type="dxa"/>
            <w:vMerge w:val="continue"/>
            <w:tcBorders>
              <w:tl2br w:val="nil"/>
              <w:tr2bl w:val="nil"/>
            </w:tcBorders>
            <w:vAlign w:val="center"/>
          </w:tcPr>
          <w:p>
            <w:pPr>
              <w:pStyle w:val="39"/>
              <w:widowControl/>
              <w:overflowPunct/>
              <w:adjustRightInd/>
              <w:spacing w:before="0" w:after="0" w:line="240" w:lineRule="auto"/>
              <w:ind w:firstLine="0" w:firstLineChars="0"/>
              <w:jc w:val="center"/>
              <w:textAlignment w:val="auto"/>
              <w:rPr>
                <w:rFonts w:ascii="Times New Roman" w:hAnsi="Times New Roman" w:eastAsia="宋体"/>
                <w:snapToGrid w:val="0"/>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3537" w:type="dxa"/>
            <w:tcBorders>
              <w:tl2br w:val="nil"/>
              <w:tr2bl w:val="nil"/>
            </w:tcBorders>
            <w:vAlign w:val="center"/>
          </w:tcPr>
          <w:p>
            <w:pPr>
              <w:widowControl/>
              <w:jc w:val="center"/>
              <w:rPr>
                <w:rFonts w:ascii="Times New Roman" w:hAnsi="Times New Roman" w:eastAsia="宋体" w:cs="Times New Roman"/>
                <w:color w:val="auto"/>
                <w:szCs w:val="21"/>
              </w:rPr>
            </w:pPr>
            <w:r>
              <w:rPr>
                <w:rFonts w:ascii="Times New Roman" w:hAnsi="Times New Roman" w:eastAsia="宋体" w:cs="Times New Roman"/>
                <w:color w:val="auto"/>
                <w:szCs w:val="21"/>
              </w:rPr>
              <w:t>N</w:t>
            </w:r>
            <w:r>
              <w:rPr>
                <w:rFonts w:hint="default" w:ascii="Times New Roman" w:hAnsi="Times New Roman" w:cs="Times New Roman"/>
                <w:color w:val="auto"/>
                <w:szCs w:val="21"/>
              </w:rPr>
              <w:t>4：</w:t>
            </w:r>
            <w:r>
              <w:rPr>
                <w:rFonts w:ascii="Times New Roman" w:hAnsi="Times New Roman" w:eastAsia="宋体" w:cs="Times New Roman"/>
                <w:color w:val="auto"/>
                <w:szCs w:val="21"/>
              </w:rPr>
              <w:t>项目厂址</w:t>
            </w:r>
            <w:r>
              <w:rPr>
                <w:rFonts w:hint="default" w:ascii="Times New Roman" w:hAnsi="Times New Roman" w:eastAsia="宋体" w:cs="Times New Roman"/>
                <w:color w:val="auto"/>
                <w:szCs w:val="21"/>
              </w:rPr>
              <w:t>北</w:t>
            </w:r>
            <w:r>
              <w:rPr>
                <w:rFonts w:ascii="Times New Roman" w:hAnsi="Times New Roman" w:eastAsia="宋体" w:cs="Times New Roman"/>
                <w:color w:val="auto"/>
                <w:szCs w:val="21"/>
              </w:rPr>
              <w:t>面边界外1m处</w:t>
            </w:r>
          </w:p>
        </w:tc>
        <w:tc>
          <w:tcPr>
            <w:tcW w:w="1813" w:type="dxa"/>
            <w:vMerge w:val="continue"/>
            <w:tcBorders>
              <w:tl2br w:val="nil"/>
              <w:tr2bl w:val="nil"/>
            </w:tcBorders>
            <w:vAlign w:val="center"/>
          </w:tcPr>
          <w:p>
            <w:pPr>
              <w:widowControl/>
              <w:snapToGrid w:val="0"/>
              <w:jc w:val="center"/>
              <w:rPr>
                <w:rFonts w:ascii="Times New Roman" w:hAnsi="Times New Roman" w:cs="Times New Roman"/>
                <w:color w:val="auto"/>
                <w:szCs w:val="21"/>
              </w:rPr>
            </w:pPr>
          </w:p>
        </w:tc>
        <w:tc>
          <w:tcPr>
            <w:tcW w:w="3172" w:type="dxa"/>
            <w:vMerge w:val="continue"/>
            <w:tcBorders>
              <w:tl2br w:val="nil"/>
              <w:tr2bl w:val="nil"/>
            </w:tcBorders>
            <w:vAlign w:val="center"/>
          </w:tcPr>
          <w:p>
            <w:pPr>
              <w:pStyle w:val="39"/>
              <w:widowControl/>
              <w:overflowPunct/>
              <w:adjustRightInd/>
              <w:spacing w:before="0" w:after="0" w:line="240" w:lineRule="auto"/>
              <w:ind w:firstLine="0" w:firstLineChars="0"/>
              <w:jc w:val="center"/>
              <w:textAlignment w:val="auto"/>
              <w:rPr>
                <w:rFonts w:ascii="Times New Roman" w:hAnsi="Times New Roman" w:eastAsia="宋体"/>
                <w:snapToGrid w:val="0"/>
                <w:color w:val="auto"/>
                <w:sz w:val="21"/>
                <w:szCs w:val="21"/>
              </w:rPr>
            </w:pPr>
          </w:p>
        </w:tc>
      </w:tr>
    </w:tbl>
    <w:p>
      <w:pPr>
        <w:spacing w:line="360" w:lineRule="auto"/>
        <w:outlineLvl w:val="0"/>
        <w:rPr>
          <w:rFonts w:ascii="Times New Roman" w:hAnsi="Times New Roman" w:cs="Times New Roman"/>
          <w:b/>
          <w:color w:val="auto"/>
          <w:sz w:val="32"/>
          <w:szCs w:val="32"/>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spacing w:line="360" w:lineRule="auto"/>
        <w:outlineLvl w:val="0"/>
        <w:rPr>
          <w:rFonts w:ascii="Times New Roman" w:hAnsi="Times New Roman" w:cs="Times New Roman"/>
          <w:b/>
          <w:color w:val="auto"/>
          <w:sz w:val="32"/>
          <w:szCs w:val="32"/>
        </w:rPr>
      </w:pPr>
      <w:bookmarkStart w:id="79" w:name="_Toc85120899"/>
      <w:bookmarkStart w:id="80" w:name="_Toc1499"/>
      <w:r>
        <w:rPr>
          <w:rFonts w:hint="default" w:ascii="Times New Roman" w:hAnsi="Times New Roman" w:cs="Times New Roman"/>
          <w:b/>
          <w:color w:val="auto"/>
          <w:sz w:val="32"/>
          <w:szCs w:val="32"/>
        </w:rPr>
        <w:t>8、质量保证和质控措施</w:t>
      </w:r>
      <w:bookmarkEnd w:id="79"/>
      <w:bookmarkEnd w:id="80"/>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质量保证与质量控制严格执行国家环保局颁发的《环境监测技术规范》和国家有关采样、分析的标准及方法，实施全过程的质量保证。</w:t>
      </w:r>
    </w:p>
    <w:p>
      <w:pPr>
        <w:spacing w:line="360" w:lineRule="auto"/>
        <w:ind w:firstLine="480" w:firstLineChars="200"/>
        <w:rPr>
          <w:rFonts w:ascii="Times New Roman" w:hAnsi="Times New Roman" w:cs="Times New Roman"/>
          <w:color w:val="auto"/>
          <w:sz w:val="24"/>
          <w:szCs w:val="24"/>
        </w:rPr>
      </w:pPr>
      <w:r>
        <w:rPr>
          <w:rFonts w:hint="default" w:ascii="Times New Roman" w:hAnsi="Times New Roman" w:cs="Times New Roman"/>
          <w:color w:val="auto"/>
          <w:sz w:val="24"/>
          <w:szCs w:val="24"/>
        </w:rPr>
        <w:t>（1）</w:t>
      </w:r>
      <w:r>
        <w:rPr>
          <w:rFonts w:ascii="Times New Roman" w:hAnsi="Times New Roman" w:cs="Times New Roman"/>
          <w:color w:val="auto"/>
          <w:sz w:val="24"/>
          <w:szCs w:val="24"/>
        </w:rPr>
        <w:t>严格按照标准分析方法进行采样及测试。</w:t>
      </w:r>
    </w:p>
    <w:p>
      <w:pPr>
        <w:spacing w:line="360" w:lineRule="auto"/>
        <w:ind w:firstLine="480" w:firstLineChars="200"/>
        <w:rPr>
          <w:rFonts w:ascii="Times New Roman" w:hAnsi="Times New Roman" w:cs="Times New Roman"/>
          <w:color w:val="auto"/>
          <w:sz w:val="24"/>
          <w:szCs w:val="24"/>
        </w:rPr>
      </w:pPr>
      <w:r>
        <w:rPr>
          <w:rFonts w:hint="default" w:ascii="Times New Roman" w:hAnsi="Times New Roman" w:cs="Times New Roman"/>
          <w:color w:val="auto"/>
          <w:sz w:val="24"/>
          <w:szCs w:val="24"/>
        </w:rPr>
        <w:t>（2）</w:t>
      </w:r>
      <w:r>
        <w:rPr>
          <w:rFonts w:ascii="Times New Roman" w:hAnsi="Times New Roman" w:cs="Times New Roman"/>
          <w:color w:val="auto"/>
          <w:sz w:val="24"/>
          <w:szCs w:val="24"/>
        </w:rPr>
        <w:t>所用分析仪器经过计量检定和校准；现场监测仪器使用前都经过了校准。噪声测量仪器灵敏度相差不大于0.5dB(A)—监测前校准，监测后校核相差不大于0.5dB(A)；监测时风速＞5m/s停止测试。</w:t>
      </w:r>
    </w:p>
    <w:p>
      <w:pPr>
        <w:spacing w:line="360" w:lineRule="auto"/>
        <w:ind w:firstLine="480" w:firstLineChars="200"/>
        <w:rPr>
          <w:rFonts w:ascii="Times New Roman" w:hAnsi="Times New Roman" w:cs="Times New Roman"/>
          <w:color w:val="auto"/>
          <w:sz w:val="24"/>
          <w:szCs w:val="24"/>
        </w:rPr>
      </w:pPr>
      <w:r>
        <w:rPr>
          <w:rFonts w:hint="default" w:ascii="Times New Roman" w:hAnsi="Times New Roman" w:cs="Times New Roman"/>
          <w:color w:val="auto"/>
          <w:sz w:val="24"/>
          <w:szCs w:val="24"/>
        </w:rPr>
        <w:t>（3）</w:t>
      </w:r>
      <w:r>
        <w:rPr>
          <w:rFonts w:ascii="Times New Roman" w:hAnsi="Times New Roman" w:cs="Times New Roman"/>
          <w:color w:val="auto"/>
          <w:sz w:val="24"/>
          <w:szCs w:val="24"/>
        </w:rPr>
        <w:t>监测人员均通过技术考核，持证上岗。</w:t>
      </w:r>
    </w:p>
    <w:p>
      <w:pPr>
        <w:spacing w:line="360" w:lineRule="auto"/>
        <w:outlineLvl w:val="1"/>
        <w:rPr>
          <w:rFonts w:ascii="Times New Roman" w:hAnsi="Times New Roman" w:cs="Times New Roman"/>
          <w:b/>
          <w:color w:val="auto"/>
          <w:sz w:val="30"/>
          <w:szCs w:val="30"/>
        </w:rPr>
      </w:pPr>
      <w:bookmarkStart w:id="81" w:name="_Toc85120900"/>
      <w:bookmarkStart w:id="82" w:name="_Toc14703"/>
      <w:r>
        <w:rPr>
          <w:rFonts w:hint="default" w:ascii="Times New Roman" w:hAnsi="Times New Roman" w:cs="Times New Roman"/>
          <w:b/>
          <w:color w:val="auto"/>
          <w:sz w:val="30"/>
          <w:szCs w:val="30"/>
        </w:rPr>
        <w:t>8.1监测分析方法和检测仪器</w:t>
      </w:r>
      <w:bookmarkEnd w:id="81"/>
      <w:bookmarkEnd w:id="82"/>
    </w:p>
    <w:p>
      <w:pPr>
        <w:spacing w:line="360" w:lineRule="auto"/>
        <w:ind w:firstLine="590" w:firstLineChars="250"/>
        <w:rPr>
          <w:rFonts w:ascii="Times New Roman" w:hAnsi="Times New Roman" w:cs="Times New Roman"/>
          <w:b/>
          <w:bCs/>
          <w:color w:val="auto"/>
          <w:kern w:val="0"/>
        </w:rPr>
      </w:pPr>
      <w:r>
        <w:rPr>
          <w:rFonts w:ascii="Times New Roman" w:hAnsi="Times New Roman" w:cs="Times New Roman"/>
          <w:color w:val="auto"/>
          <w:spacing w:val="-2"/>
          <w:kern w:val="0"/>
          <w:sz w:val="24"/>
        </w:rPr>
        <w:t>分析方法首选国家标准分析方法，当国家标准分析方法不能满足要求时参考《空气和废气监测分析方法》（第四版增补版）和《水和废水监测分析方法》（第四版增补版），分析方法详见表</w:t>
      </w:r>
      <w:r>
        <w:rPr>
          <w:rFonts w:hint="default" w:ascii="Times New Roman" w:hAnsi="Times New Roman" w:cs="Times New Roman"/>
          <w:color w:val="auto"/>
          <w:spacing w:val="-2"/>
          <w:kern w:val="0"/>
          <w:sz w:val="24"/>
        </w:rPr>
        <w:t>8.1</w:t>
      </w:r>
      <w:r>
        <w:rPr>
          <w:rFonts w:ascii="Times New Roman" w:hAnsi="Times New Roman" w:cs="Times New Roman"/>
          <w:color w:val="auto"/>
          <w:spacing w:val="-2"/>
          <w:kern w:val="0"/>
          <w:sz w:val="24"/>
        </w:rPr>
        <w:t>-1。</w:t>
      </w:r>
    </w:p>
    <w:p>
      <w:pPr>
        <w:ind w:firstLine="482"/>
        <w:jc w:val="center"/>
        <w:rPr>
          <w:rFonts w:ascii="Times New Roman" w:hAnsi="Times New Roman" w:cs="Times New Roman"/>
          <w:b/>
          <w:bCs/>
          <w:color w:val="auto"/>
          <w:szCs w:val="21"/>
          <w:lang w:val="zh-CN"/>
        </w:rPr>
      </w:pPr>
      <w:r>
        <w:rPr>
          <w:rFonts w:ascii="Times New Roman" w:hAnsi="Times New Roman" w:cs="Times New Roman"/>
          <w:b/>
          <w:bCs/>
          <w:color w:val="auto"/>
          <w:kern w:val="0"/>
          <w:szCs w:val="21"/>
        </w:rPr>
        <w:t>表</w:t>
      </w:r>
      <w:r>
        <w:rPr>
          <w:rFonts w:hint="default" w:ascii="Times New Roman" w:hAnsi="Times New Roman" w:cs="Times New Roman"/>
          <w:b/>
          <w:bCs/>
          <w:color w:val="auto"/>
          <w:kern w:val="0"/>
          <w:szCs w:val="21"/>
        </w:rPr>
        <w:t>8.1</w:t>
      </w:r>
      <w:r>
        <w:rPr>
          <w:rFonts w:ascii="Times New Roman" w:hAnsi="Times New Roman" w:cs="Times New Roman"/>
          <w:b/>
          <w:bCs/>
          <w:color w:val="auto"/>
          <w:kern w:val="0"/>
          <w:szCs w:val="21"/>
        </w:rPr>
        <w:t xml:space="preserve">-1 </w:t>
      </w:r>
      <w:r>
        <w:rPr>
          <w:rFonts w:ascii="Times New Roman" w:hAnsi="Times New Roman" w:cs="Times New Roman"/>
          <w:b/>
          <w:bCs/>
          <w:color w:val="auto"/>
          <w:szCs w:val="21"/>
          <w:lang w:val="zh-CN"/>
        </w:rPr>
        <w:t>监测分析方法一览表</w:t>
      </w:r>
    </w:p>
    <w:tbl>
      <w:tblPr>
        <w:tblStyle w:val="28"/>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 w:type="dxa"/>
          <w:bottom w:w="0" w:type="dxa"/>
          <w:right w:w="10" w:type="dxa"/>
        </w:tblCellMar>
      </w:tblPr>
      <w:tblGrid>
        <w:gridCol w:w="961"/>
        <w:gridCol w:w="901"/>
        <w:gridCol w:w="3317"/>
        <w:gridCol w:w="1456"/>
        <w:gridCol w:w="888"/>
        <w:gridCol w:w="80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600" w:hRule="atLeast"/>
        </w:trPr>
        <w:tc>
          <w:tcPr>
            <w:tcW w:w="961" w:type="dxa"/>
            <w:tcBorders>
              <w:tl2br w:val="nil"/>
              <w:tr2bl w:val="nil"/>
            </w:tcBorders>
            <w:vAlign w:val="center"/>
          </w:tcPr>
          <w:p>
            <w:pPr>
              <w:spacing w:line="236" w:lineRule="exact"/>
              <w:jc w:val="center"/>
              <w:rPr>
                <w:rFonts w:ascii="Times New Roman" w:hAnsi="Times New Roman" w:cs="Times New Roman"/>
                <w:color w:val="auto"/>
                <w:szCs w:val="21"/>
              </w:rPr>
            </w:pPr>
            <w:r>
              <w:rPr>
                <w:rFonts w:ascii="Times New Roman" w:hAnsi="Times New Roman" w:cs="Times New Roman"/>
                <w:color w:val="auto"/>
                <w:szCs w:val="21"/>
              </w:rPr>
              <w:t>样品类别</w:t>
            </w:r>
          </w:p>
        </w:tc>
        <w:tc>
          <w:tcPr>
            <w:tcW w:w="901" w:type="dxa"/>
            <w:tcBorders>
              <w:tl2br w:val="nil"/>
              <w:tr2bl w:val="nil"/>
            </w:tcBorders>
            <w:vAlign w:val="center"/>
          </w:tcPr>
          <w:p>
            <w:pPr>
              <w:spacing w:line="214" w:lineRule="exact"/>
              <w:jc w:val="center"/>
              <w:rPr>
                <w:rFonts w:ascii="Times New Roman" w:hAnsi="Times New Roman" w:cs="Times New Roman"/>
                <w:color w:val="auto"/>
                <w:szCs w:val="21"/>
              </w:rPr>
            </w:pPr>
            <w:r>
              <w:rPr>
                <w:rFonts w:ascii="Times New Roman" w:hAnsi="Times New Roman" w:cs="Times New Roman"/>
                <w:color w:val="auto"/>
                <w:szCs w:val="21"/>
              </w:rPr>
              <w:t>检测项目</w:t>
            </w:r>
          </w:p>
        </w:tc>
        <w:tc>
          <w:tcPr>
            <w:tcW w:w="3317" w:type="dxa"/>
            <w:tcBorders>
              <w:tl2br w:val="nil"/>
              <w:tr2bl w:val="nil"/>
            </w:tcBorders>
            <w:vAlign w:val="center"/>
          </w:tcPr>
          <w:p>
            <w:pPr>
              <w:spacing w:line="236" w:lineRule="exact"/>
              <w:jc w:val="center"/>
              <w:rPr>
                <w:rFonts w:ascii="Times New Roman" w:hAnsi="Times New Roman" w:cs="Times New Roman"/>
                <w:color w:val="auto"/>
                <w:szCs w:val="21"/>
              </w:rPr>
            </w:pPr>
            <w:r>
              <w:rPr>
                <w:rFonts w:ascii="Times New Roman" w:hAnsi="Times New Roman" w:cs="Times New Roman"/>
                <w:color w:val="auto"/>
                <w:szCs w:val="21"/>
              </w:rPr>
              <w:t>检测标准及方法</w:t>
            </w:r>
          </w:p>
        </w:tc>
        <w:tc>
          <w:tcPr>
            <w:tcW w:w="1456" w:type="dxa"/>
            <w:tcBorders>
              <w:tl2br w:val="nil"/>
              <w:tr2bl w:val="nil"/>
            </w:tcBorders>
            <w:vAlign w:val="center"/>
          </w:tcPr>
          <w:p>
            <w:pPr>
              <w:spacing w:line="236" w:lineRule="exact"/>
              <w:jc w:val="center"/>
              <w:rPr>
                <w:rFonts w:ascii="Times New Roman" w:hAnsi="Times New Roman" w:cs="Times New Roman"/>
                <w:color w:val="auto"/>
                <w:szCs w:val="21"/>
              </w:rPr>
            </w:pPr>
            <w:r>
              <w:rPr>
                <w:rFonts w:ascii="Times New Roman" w:hAnsi="Times New Roman" w:cs="Times New Roman"/>
                <w:color w:val="auto"/>
                <w:szCs w:val="21"/>
              </w:rPr>
              <w:t>仪器名称及型号</w:t>
            </w:r>
          </w:p>
        </w:tc>
        <w:tc>
          <w:tcPr>
            <w:tcW w:w="888" w:type="dxa"/>
            <w:tcBorders>
              <w:tl2br w:val="nil"/>
              <w:tr2bl w:val="nil"/>
            </w:tcBorders>
            <w:vAlign w:val="center"/>
          </w:tcPr>
          <w:p>
            <w:pPr>
              <w:spacing w:line="231" w:lineRule="exact"/>
              <w:jc w:val="center"/>
              <w:rPr>
                <w:rFonts w:ascii="Times New Roman" w:hAnsi="Times New Roman" w:cs="Times New Roman"/>
                <w:color w:val="auto"/>
                <w:szCs w:val="21"/>
              </w:rPr>
            </w:pPr>
            <w:r>
              <w:rPr>
                <w:rFonts w:ascii="Times New Roman" w:hAnsi="Times New Roman" w:cs="Times New Roman"/>
                <w:color w:val="auto"/>
                <w:szCs w:val="21"/>
              </w:rPr>
              <w:t>方法</w:t>
            </w:r>
          </w:p>
          <w:p>
            <w:pPr>
              <w:spacing w:line="214" w:lineRule="exact"/>
              <w:jc w:val="center"/>
              <w:rPr>
                <w:rFonts w:ascii="Times New Roman" w:hAnsi="Times New Roman" w:cs="Times New Roman"/>
                <w:color w:val="auto"/>
                <w:szCs w:val="21"/>
              </w:rPr>
            </w:pPr>
            <w:r>
              <w:rPr>
                <w:rFonts w:ascii="Times New Roman" w:hAnsi="Times New Roman" w:cs="Times New Roman"/>
                <w:color w:val="auto"/>
                <w:szCs w:val="21"/>
              </w:rPr>
              <w:t>检出限</w:t>
            </w:r>
          </w:p>
        </w:tc>
        <w:tc>
          <w:tcPr>
            <w:tcW w:w="803" w:type="dxa"/>
            <w:tcBorders>
              <w:tl2br w:val="nil"/>
              <w:tr2bl w:val="nil"/>
            </w:tcBorders>
            <w:vAlign w:val="center"/>
          </w:tcPr>
          <w:p>
            <w:pPr>
              <w:spacing w:line="242" w:lineRule="exact"/>
              <w:jc w:val="center"/>
              <w:rPr>
                <w:rFonts w:ascii="Times New Roman" w:hAnsi="Times New Roman" w:cs="Times New Roman"/>
                <w:color w:val="auto"/>
                <w:szCs w:val="21"/>
              </w:rPr>
            </w:pPr>
            <w:r>
              <w:rPr>
                <w:rFonts w:ascii="Times New Roman" w:hAnsi="Times New Roman" w:cs="Times New Roman"/>
                <w:color w:val="auto"/>
                <w:szCs w:val="21"/>
              </w:rPr>
              <w:t>单位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60" w:hRule="atLeast"/>
        </w:trPr>
        <w:tc>
          <w:tcPr>
            <w:tcW w:w="961" w:type="dxa"/>
            <w:vMerge w:val="restart"/>
            <w:tcBorders>
              <w:tl2br w:val="nil"/>
              <w:tr2bl w:val="nil"/>
            </w:tcBorders>
            <w:vAlign w:val="center"/>
          </w:tcPr>
          <w:p>
            <w:pPr>
              <w:spacing w:line="242" w:lineRule="exact"/>
              <w:jc w:val="center"/>
              <w:rPr>
                <w:rFonts w:ascii="Times New Roman" w:hAnsi="Times New Roman" w:cs="Times New Roman"/>
                <w:color w:val="auto"/>
                <w:szCs w:val="21"/>
              </w:rPr>
            </w:pPr>
            <w:r>
              <w:rPr>
                <w:rFonts w:ascii="Times New Roman" w:hAnsi="Times New Roman" w:cs="Times New Roman"/>
                <w:color w:val="auto"/>
                <w:szCs w:val="21"/>
              </w:rPr>
              <w:t>废水</w:t>
            </w:r>
          </w:p>
        </w:tc>
        <w:tc>
          <w:tcPr>
            <w:tcW w:w="901" w:type="dxa"/>
            <w:tcBorders>
              <w:tl2br w:val="nil"/>
              <w:tr2bl w:val="nil"/>
            </w:tcBorders>
            <w:vAlign w:val="center"/>
          </w:tcPr>
          <w:p>
            <w:pPr>
              <w:spacing w:line="258" w:lineRule="exact"/>
              <w:jc w:val="center"/>
              <w:rPr>
                <w:rFonts w:ascii="Times New Roman" w:hAnsi="Times New Roman" w:cs="Times New Roman"/>
                <w:color w:val="auto"/>
                <w:szCs w:val="21"/>
              </w:rPr>
            </w:pPr>
            <w:r>
              <w:rPr>
                <w:rFonts w:ascii="Times New Roman" w:hAnsi="Times New Roman" w:cs="Times New Roman"/>
                <w:color w:val="auto"/>
                <w:szCs w:val="21"/>
              </w:rPr>
              <w:t>pH值</w:t>
            </w:r>
          </w:p>
        </w:tc>
        <w:tc>
          <w:tcPr>
            <w:tcW w:w="3317" w:type="dxa"/>
            <w:tcBorders>
              <w:tl2br w:val="nil"/>
              <w:tr2bl w:val="nil"/>
            </w:tcBorders>
            <w:vAlign w:val="center"/>
          </w:tcPr>
          <w:p>
            <w:pPr>
              <w:spacing w:line="244" w:lineRule="exact"/>
              <w:jc w:val="center"/>
              <w:rPr>
                <w:rFonts w:ascii="Times New Roman" w:hAnsi="Times New Roman" w:cs="Times New Roman"/>
                <w:color w:val="auto"/>
                <w:szCs w:val="21"/>
              </w:rPr>
            </w:pPr>
            <w:r>
              <w:rPr>
                <w:rFonts w:ascii="Times New Roman" w:hAnsi="Times New Roman" w:cs="Times New Roman"/>
                <w:color w:val="auto"/>
                <w:szCs w:val="21"/>
              </w:rPr>
              <w:t>《水质pH值的测定 电极法》HJ1147-2020</w:t>
            </w:r>
          </w:p>
        </w:tc>
        <w:tc>
          <w:tcPr>
            <w:tcW w:w="1456" w:type="dxa"/>
            <w:tcBorders>
              <w:tl2br w:val="nil"/>
              <w:tr2bl w:val="nil"/>
            </w:tcBorders>
            <w:vAlign w:val="center"/>
          </w:tcPr>
          <w:p>
            <w:pPr>
              <w:spacing w:line="264" w:lineRule="exact"/>
              <w:jc w:val="center"/>
              <w:rPr>
                <w:rFonts w:ascii="Times New Roman" w:hAnsi="Times New Roman" w:cs="Times New Roman"/>
                <w:color w:val="auto"/>
                <w:szCs w:val="21"/>
              </w:rPr>
            </w:pPr>
            <w:r>
              <w:rPr>
                <w:rFonts w:ascii="Times New Roman" w:hAnsi="Times New Roman" w:cs="Times New Roman"/>
                <w:color w:val="auto"/>
                <w:szCs w:val="21"/>
              </w:rPr>
              <w:t>pH计 PHS-2F</w:t>
            </w:r>
          </w:p>
        </w:tc>
        <w:tc>
          <w:tcPr>
            <w:tcW w:w="888" w:type="dxa"/>
            <w:tcBorders>
              <w:tl2br w:val="nil"/>
              <w:tr2bl w:val="nil"/>
            </w:tcBorders>
            <w:vAlign w:val="center"/>
          </w:tcPr>
          <w:p>
            <w:pPr>
              <w:spacing w:line="256" w:lineRule="exact"/>
              <w:jc w:val="center"/>
              <w:rPr>
                <w:rFonts w:ascii="Times New Roman" w:hAnsi="Times New Roman" w:cs="Times New Roman"/>
                <w:color w:val="auto"/>
                <w:szCs w:val="21"/>
              </w:rPr>
            </w:pPr>
            <w:r>
              <w:rPr>
                <w:rFonts w:ascii="Times New Roman" w:hAnsi="Times New Roman" w:cs="Times New Roman"/>
                <w:color w:val="auto"/>
                <w:szCs w:val="21"/>
              </w:rPr>
              <w:t>/</w:t>
            </w:r>
          </w:p>
        </w:tc>
        <w:tc>
          <w:tcPr>
            <w:tcW w:w="803" w:type="dxa"/>
            <w:tcBorders>
              <w:tl2br w:val="nil"/>
              <w:tr2bl w:val="nil"/>
            </w:tcBorders>
            <w:vAlign w:val="center"/>
          </w:tcPr>
          <w:p>
            <w:pPr>
              <w:spacing w:line="246" w:lineRule="exact"/>
              <w:jc w:val="center"/>
              <w:rPr>
                <w:rFonts w:ascii="Times New Roman" w:hAnsi="Times New Roman" w:cs="Times New Roman"/>
                <w:color w:val="auto"/>
                <w:szCs w:val="21"/>
              </w:rPr>
            </w:pPr>
            <w:r>
              <w:rPr>
                <w:rFonts w:ascii="Times New Roman" w:hAnsi="Times New Roman" w:cs="Times New Roman"/>
                <w:color w:val="auto"/>
                <w:szCs w:val="21"/>
              </w:rPr>
              <w:t>无量纲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640" w:hRule="atLeast"/>
        </w:trPr>
        <w:tc>
          <w:tcPr>
            <w:tcW w:w="961" w:type="dxa"/>
            <w:vMerge w:val="continue"/>
            <w:tcBorders>
              <w:tl2br w:val="nil"/>
              <w:tr2bl w:val="nil"/>
            </w:tcBorders>
            <w:vAlign w:val="center"/>
          </w:tcPr>
          <w:p>
            <w:pPr>
              <w:jc w:val="center"/>
              <w:rPr>
                <w:rFonts w:ascii="Times New Roman" w:hAnsi="Times New Roman" w:cs="Times New Roman"/>
                <w:color w:val="auto"/>
                <w:szCs w:val="21"/>
              </w:rPr>
            </w:pPr>
          </w:p>
        </w:tc>
        <w:tc>
          <w:tcPr>
            <w:tcW w:w="901" w:type="dxa"/>
            <w:tcBorders>
              <w:tl2br w:val="nil"/>
              <w:tr2bl w:val="nil"/>
            </w:tcBorders>
            <w:vAlign w:val="center"/>
          </w:tcPr>
          <w:p>
            <w:pPr>
              <w:spacing w:line="228" w:lineRule="exact"/>
              <w:jc w:val="center"/>
              <w:rPr>
                <w:rFonts w:ascii="Times New Roman" w:hAnsi="Times New Roman" w:cs="Times New Roman"/>
                <w:color w:val="auto"/>
                <w:szCs w:val="21"/>
              </w:rPr>
            </w:pPr>
            <w:r>
              <w:rPr>
                <w:rFonts w:ascii="Times New Roman" w:hAnsi="Times New Roman" w:cs="Times New Roman"/>
                <w:color w:val="auto"/>
                <w:szCs w:val="21"/>
              </w:rPr>
              <w:t>化学需氧</w:t>
            </w:r>
          </w:p>
          <w:p>
            <w:pPr>
              <w:spacing w:line="249" w:lineRule="exact"/>
              <w:jc w:val="center"/>
              <w:rPr>
                <w:rFonts w:ascii="Times New Roman" w:hAnsi="Times New Roman" w:cs="Times New Roman"/>
                <w:color w:val="auto"/>
                <w:szCs w:val="21"/>
              </w:rPr>
            </w:pPr>
            <w:r>
              <w:rPr>
                <w:rFonts w:ascii="Times New Roman" w:hAnsi="Times New Roman" w:cs="Times New Roman"/>
                <w:color w:val="auto"/>
                <w:szCs w:val="21"/>
              </w:rPr>
              <w:t>量</w:t>
            </w:r>
          </w:p>
        </w:tc>
        <w:tc>
          <w:tcPr>
            <w:tcW w:w="3317" w:type="dxa"/>
            <w:tcBorders>
              <w:tl2br w:val="nil"/>
              <w:tr2bl w:val="nil"/>
            </w:tcBorders>
            <w:vAlign w:val="center"/>
          </w:tcPr>
          <w:p>
            <w:pPr>
              <w:spacing w:before="35" w:line="214" w:lineRule="exact"/>
              <w:jc w:val="center"/>
              <w:rPr>
                <w:rFonts w:ascii="Times New Roman" w:hAnsi="Times New Roman" w:cs="Times New Roman"/>
                <w:color w:val="auto"/>
                <w:szCs w:val="21"/>
              </w:rPr>
            </w:pPr>
            <w:r>
              <w:rPr>
                <w:rFonts w:ascii="Times New Roman" w:hAnsi="Times New Roman" w:cs="Times New Roman"/>
                <w:color w:val="auto"/>
                <w:szCs w:val="21"/>
              </w:rPr>
              <w:t>《水质 化学需氧量的测定 重铬酸盐法》HJ828-2017</w:t>
            </w:r>
          </w:p>
        </w:tc>
        <w:tc>
          <w:tcPr>
            <w:tcW w:w="1456" w:type="dxa"/>
            <w:tcBorders>
              <w:tl2br w:val="nil"/>
              <w:tr2bl w:val="nil"/>
            </w:tcBorders>
            <w:vAlign w:val="center"/>
          </w:tcPr>
          <w:p>
            <w:pPr>
              <w:spacing w:line="242" w:lineRule="exact"/>
              <w:jc w:val="center"/>
              <w:rPr>
                <w:rFonts w:ascii="Times New Roman" w:hAnsi="Times New Roman" w:cs="Times New Roman"/>
                <w:color w:val="auto"/>
                <w:szCs w:val="21"/>
              </w:rPr>
            </w:pPr>
            <w:r>
              <w:rPr>
                <w:rFonts w:ascii="Times New Roman" w:hAnsi="Times New Roman" w:cs="Times New Roman"/>
                <w:color w:val="auto"/>
                <w:szCs w:val="21"/>
              </w:rPr>
              <w:t>标准风冷COD消解器HCA-100型</w:t>
            </w:r>
          </w:p>
        </w:tc>
        <w:tc>
          <w:tcPr>
            <w:tcW w:w="888" w:type="dxa"/>
            <w:tcBorders>
              <w:tl2br w:val="nil"/>
              <w:tr2bl w:val="nil"/>
            </w:tcBorders>
            <w:vAlign w:val="center"/>
          </w:tcPr>
          <w:p>
            <w:pPr>
              <w:spacing w:line="264" w:lineRule="exact"/>
              <w:jc w:val="center"/>
              <w:rPr>
                <w:rFonts w:ascii="Times New Roman" w:hAnsi="Times New Roman" w:cs="Times New Roman"/>
                <w:color w:val="auto"/>
                <w:szCs w:val="21"/>
              </w:rPr>
            </w:pPr>
            <w:r>
              <w:rPr>
                <w:rFonts w:ascii="Times New Roman" w:hAnsi="Times New Roman" w:cs="Times New Roman"/>
                <w:color w:val="auto"/>
                <w:szCs w:val="21"/>
              </w:rPr>
              <w:t>4</w:t>
            </w:r>
          </w:p>
        </w:tc>
        <w:tc>
          <w:tcPr>
            <w:tcW w:w="803" w:type="dxa"/>
            <w:tcBorders>
              <w:tl2br w:val="nil"/>
              <w:tr2bl w:val="nil"/>
            </w:tcBorders>
            <w:vAlign w:val="center"/>
          </w:tcPr>
          <w:p>
            <w:pPr>
              <w:spacing w:line="262" w:lineRule="exact"/>
              <w:jc w:val="center"/>
              <w:rPr>
                <w:rFonts w:ascii="Times New Roman" w:hAnsi="Times New Roman" w:cs="Times New Roman"/>
                <w:color w:val="auto"/>
                <w:szCs w:val="21"/>
              </w:rPr>
            </w:pPr>
            <w:r>
              <w:rPr>
                <w:rFonts w:ascii="Times New Roman" w:hAnsi="Times New Roman" w:cs="Times New Roman"/>
                <w:color w:val="auto"/>
                <w:szCs w:val="21"/>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600" w:hRule="atLeast"/>
        </w:trPr>
        <w:tc>
          <w:tcPr>
            <w:tcW w:w="961" w:type="dxa"/>
            <w:vMerge w:val="continue"/>
            <w:tcBorders>
              <w:tl2br w:val="nil"/>
              <w:tr2bl w:val="nil"/>
            </w:tcBorders>
            <w:vAlign w:val="center"/>
          </w:tcPr>
          <w:p>
            <w:pPr>
              <w:jc w:val="center"/>
              <w:rPr>
                <w:rFonts w:ascii="Times New Roman" w:hAnsi="Times New Roman" w:cs="Times New Roman"/>
                <w:color w:val="auto"/>
                <w:szCs w:val="21"/>
              </w:rPr>
            </w:pPr>
          </w:p>
        </w:tc>
        <w:tc>
          <w:tcPr>
            <w:tcW w:w="901" w:type="dxa"/>
            <w:tcBorders>
              <w:tl2br w:val="nil"/>
              <w:tr2bl w:val="nil"/>
            </w:tcBorders>
            <w:vAlign w:val="center"/>
          </w:tcPr>
          <w:p>
            <w:pPr>
              <w:spacing w:line="214" w:lineRule="exact"/>
              <w:jc w:val="center"/>
              <w:rPr>
                <w:rFonts w:ascii="Times New Roman" w:hAnsi="Times New Roman" w:cs="Times New Roman"/>
                <w:color w:val="auto"/>
                <w:szCs w:val="21"/>
              </w:rPr>
            </w:pPr>
            <w:r>
              <w:rPr>
                <w:rFonts w:ascii="Times New Roman" w:hAnsi="Times New Roman" w:cs="Times New Roman"/>
                <w:color w:val="auto"/>
                <w:szCs w:val="21"/>
              </w:rPr>
              <w:t>五日生化</w:t>
            </w:r>
          </w:p>
          <w:p>
            <w:pPr>
              <w:spacing w:line="231" w:lineRule="exact"/>
              <w:jc w:val="center"/>
              <w:rPr>
                <w:rFonts w:ascii="Times New Roman" w:hAnsi="Times New Roman" w:cs="Times New Roman"/>
                <w:color w:val="auto"/>
                <w:szCs w:val="21"/>
              </w:rPr>
            </w:pPr>
            <w:r>
              <w:rPr>
                <w:rFonts w:ascii="Times New Roman" w:hAnsi="Times New Roman" w:cs="Times New Roman"/>
                <w:color w:val="auto"/>
                <w:szCs w:val="21"/>
              </w:rPr>
              <w:t>需氧量</w:t>
            </w:r>
          </w:p>
        </w:tc>
        <w:tc>
          <w:tcPr>
            <w:tcW w:w="3317" w:type="dxa"/>
            <w:tcBorders>
              <w:tl2br w:val="nil"/>
              <w:tr2bl w:val="nil"/>
            </w:tcBorders>
            <w:vAlign w:val="center"/>
          </w:tcPr>
          <w:p>
            <w:pPr>
              <w:spacing w:line="229" w:lineRule="exact"/>
              <w:jc w:val="center"/>
              <w:rPr>
                <w:rFonts w:ascii="Times New Roman" w:hAnsi="Times New Roman" w:cs="Times New Roman"/>
                <w:color w:val="auto"/>
                <w:szCs w:val="21"/>
              </w:rPr>
            </w:pPr>
            <w:r>
              <w:rPr>
                <w:rFonts w:ascii="Times New Roman" w:hAnsi="Times New Roman" w:cs="Times New Roman"/>
                <w:color w:val="auto"/>
                <w:szCs w:val="21"/>
              </w:rPr>
              <w:t>《水质 五日生化需氧量（BODs）的测定 稀释与接种法》HJ505-2009</w:t>
            </w:r>
          </w:p>
        </w:tc>
        <w:tc>
          <w:tcPr>
            <w:tcW w:w="1456" w:type="dxa"/>
            <w:tcBorders>
              <w:tl2br w:val="nil"/>
              <w:tr2bl w:val="nil"/>
            </w:tcBorders>
            <w:vAlign w:val="center"/>
          </w:tcPr>
          <w:p>
            <w:pPr>
              <w:spacing w:before="27" w:line="205" w:lineRule="exact"/>
              <w:jc w:val="center"/>
              <w:rPr>
                <w:rFonts w:ascii="Times New Roman" w:hAnsi="Times New Roman" w:cs="Times New Roman"/>
                <w:color w:val="auto"/>
                <w:szCs w:val="21"/>
              </w:rPr>
            </w:pPr>
            <w:r>
              <w:rPr>
                <w:rFonts w:ascii="Times New Roman" w:hAnsi="Times New Roman" w:cs="Times New Roman"/>
                <w:color w:val="auto"/>
                <w:szCs w:val="21"/>
              </w:rPr>
              <w:t>生化培养箱</w:t>
            </w:r>
          </w:p>
          <w:p>
            <w:pPr>
              <w:spacing w:line="205" w:lineRule="exact"/>
              <w:jc w:val="center"/>
              <w:rPr>
                <w:rFonts w:ascii="Times New Roman" w:hAnsi="Times New Roman" w:cs="Times New Roman"/>
                <w:color w:val="auto"/>
                <w:szCs w:val="21"/>
              </w:rPr>
            </w:pPr>
            <w:r>
              <w:rPr>
                <w:rFonts w:ascii="Times New Roman" w:hAnsi="Times New Roman" w:cs="Times New Roman"/>
                <w:color w:val="auto"/>
                <w:szCs w:val="21"/>
              </w:rPr>
              <w:t>HWS-80B</w:t>
            </w:r>
          </w:p>
        </w:tc>
        <w:tc>
          <w:tcPr>
            <w:tcW w:w="888" w:type="dxa"/>
            <w:tcBorders>
              <w:tl2br w:val="nil"/>
              <w:tr2bl w:val="nil"/>
            </w:tcBorders>
            <w:vAlign w:val="center"/>
          </w:tcPr>
          <w:p>
            <w:pPr>
              <w:spacing w:line="199" w:lineRule="exact"/>
              <w:jc w:val="center"/>
              <w:rPr>
                <w:rFonts w:ascii="Times New Roman" w:hAnsi="Times New Roman" w:cs="Times New Roman"/>
                <w:color w:val="auto"/>
                <w:szCs w:val="21"/>
              </w:rPr>
            </w:pPr>
            <w:r>
              <w:rPr>
                <w:rFonts w:ascii="Times New Roman" w:hAnsi="Times New Roman" w:cs="Times New Roman"/>
                <w:color w:val="auto"/>
                <w:szCs w:val="21"/>
              </w:rPr>
              <w:t>0.5</w:t>
            </w:r>
          </w:p>
        </w:tc>
        <w:tc>
          <w:tcPr>
            <w:tcW w:w="803" w:type="dxa"/>
            <w:tcBorders>
              <w:tl2br w:val="nil"/>
              <w:tr2bl w:val="nil"/>
            </w:tcBorders>
            <w:vAlign w:val="center"/>
          </w:tcPr>
          <w:p>
            <w:pPr>
              <w:spacing w:line="262" w:lineRule="exact"/>
              <w:jc w:val="center"/>
              <w:rPr>
                <w:rFonts w:ascii="Times New Roman" w:hAnsi="Times New Roman" w:cs="Times New Roman"/>
                <w:color w:val="auto"/>
                <w:szCs w:val="21"/>
              </w:rPr>
            </w:pPr>
            <w:r>
              <w:rPr>
                <w:rFonts w:ascii="Times New Roman" w:hAnsi="Times New Roman" w:cs="Times New Roman"/>
                <w:color w:val="auto"/>
                <w:szCs w:val="21"/>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620" w:hRule="atLeast"/>
        </w:trPr>
        <w:tc>
          <w:tcPr>
            <w:tcW w:w="961" w:type="dxa"/>
            <w:vMerge w:val="continue"/>
            <w:tcBorders>
              <w:tl2br w:val="nil"/>
              <w:tr2bl w:val="nil"/>
            </w:tcBorders>
            <w:vAlign w:val="center"/>
          </w:tcPr>
          <w:p>
            <w:pPr>
              <w:jc w:val="center"/>
              <w:rPr>
                <w:rFonts w:ascii="Times New Roman" w:hAnsi="Times New Roman" w:cs="Times New Roman"/>
                <w:color w:val="auto"/>
                <w:szCs w:val="21"/>
              </w:rPr>
            </w:pPr>
          </w:p>
        </w:tc>
        <w:tc>
          <w:tcPr>
            <w:tcW w:w="901" w:type="dxa"/>
            <w:tcBorders>
              <w:tl2br w:val="nil"/>
              <w:tr2bl w:val="nil"/>
            </w:tcBorders>
            <w:vAlign w:val="center"/>
          </w:tcPr>
          <w:p>
            <w:pPr>
              <w:spacing w:line="239" w:lineRule="exact"/>
              <w:jc w:val="center"/>
              <w:rPr>
                <w:rFonts w:ascii="Times New Roman" w:hAnsi="Times New Roman" w:cs="Times New Roman"/>
                <w:color w:val="auto"/>
                <w:szCs w:val="21"/>
              </w:rPr>
            </w:pPr>
            <w:r>
              <w:rPr>
                <w:rFonts w:ascii="Times New Roman" w:hAnsi="Times New Roman" w:cs="Times New Roman"/>
                <w:color w:val="auto"/>
                <w:szCs w:val="21"/>
              </w:rPr>
              <w:t>氨氮</w:t>
            </w:r>
          </w:p>
        </w:tc>
        <w:tc>
          <w:tcPr>
            <w:tcW w:w="3317" w:type="dxa"/>
            <w:tcBorders>
              <w:tl2br w:val="nil"/>
              <w:tr2bl w:val="nil"/>
            </w:tcBorders>
            <w:vAlign w:val="center"/>
          </w:tcPr>
          <w:p>
            <w:pPr>
              <w:spacing w:line="229" w:lineRule="exact"/>
              <w:jc w:val="center"/>
              <w:rPr>
                <w:rFonts w:ascii="Times New Roman" w:hAnsi="Times New Roman" w:cs="Times New Roman"/>
                <w:color w:val="auto"/>
                <w:szCs w:val="21"/>
              </w:rPr>
            </w:pPr>
            <w:r>
              <w:rPr>
                <w:rFonts w:ascii="Times New Roman" w:hAnsi="Times New Roman" w:cs="Times New Roman"/>
                <w:color w:val="auto"/>
                <w:szCs w:val="21"/>
              </w:rPr>
              <w:t>《水质 氨氮的测定 纳氏试剂分光光度法》HJ535-2009</w:t>
            </w:r>
          </w:p>
        </w:tc>
        <w:tc>
          <w:tcPr>
            <w:tcW w:w="1456" w:type="dxa"/>
            <w:tcBorders>
              <w:tl2br w:val="nil"/>
              <w:tr2bl w:val="nil"/>
            </w:tcBorders>
            <w:vAlign w:val="center"/>
          </w:tcPr>
          <w:p>
            <w:pPr>
              <w:spacing w:line="236" w:lineRule="exact"/>
              <w:jc w:val="center"/>
              <w:rPr>
                <w:rFonts w:ascii="Times New Roman" w:hAnsi="Times New Roman" w:cs="Times New Roman"/>
                <w:color w:val="auto"/>
                <w:szCs w:val="21"/>
              </w:rPr>
            </w:pPr>
            <w:r>
              <w:rPr>
                <w:rFonts w:ascii="Times New Roman" w:hAnsi="Times New Roman" w:cs="Times New Roman"/>
                <w:color w:val="auto"/>
                <w:szCs w:val="21"/>
              </w:rPr>
              <w:t>紫外可见分光光度计UV752</w:t>
            </w:r>
          </w:p>
        </w:tc>
        <w:tc>
          <w:tcPr>
            <w:tcW w:w="888" w:type="dxa"/>
            <w:tcBorders>
              <w:tl2br w:val="nil"/>
              <w:tr2bl w:val="nil"/>
            </w:tcBorders>
            <w:vAlign w:val="center"/>
          </w:tcPr>
          <w:p>
            <w:pPr>
              <w:spacing w:line="304" w:lineRule="exact"/>
              <w:jc w:val="center"/>
              <w:rPr>
                <w:rFonts w:ascii="Times New Roman" w:hAnsi="Times New Roman" w:cs="Times New Roman"/>
                <w:color w:val="auto"/>
                <w:szCs w:val="21"/>
              </w:rPr>
            </w:pPr>
            <w:r>
              <w:rPr>
                <w:rFonts w:ascii="Times New Roman" w:hAnsi="Times New Roman" w:cs="Times New Roman"/>
                <w:color w:val="auto"/>
                <w:szCs w:val="21"/>
              </w:rPr>
              <w:t>0.025</w:t>
            </w:r>
          </w:p>
        </w:tc>
        <w:tc>
          <w:tcPr>
            <w:tcW w:w="803" w:type="dxa"/>
            <w:tcBorders>
              <w:tl2br w:val="nil"/>
              <w:tr2bl w:val="nil"/>
            </w:tcBorders>
            <w:vAlign w:val="center"/>
          </w:tcPr>
          <w:p>
            <w:pPr>
              <w:spacing w:line="262" w:lineRule="exact"/>
              <w:jc w:val="center"/>
              <w:rPr>
                <w:rFonts w:ascii="Times New Roman" w:hAnsi="Times New Roman" w:cs="Times New Roman"/>
                <w:color w:val="auto"/>
                <w:szCs w:val="21"/>
              </w:rPr>
            </w:pPr>
            <w:r>
              <w:rPr>
                <w:rFonts w:ascii="Times New Roman" w:hAnsi="Times New Roman" w:cs="Times New Roman"/>
                <w:color w:val="auto"/>
                <w:szCs w:val="21"/>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60" w:hRule="atLeast"/>
        </w:trPr>
        <w:tc>
          <w:tcPr>
            <w:tcW w:w="961" w:type="dxa"/>
            <w:vMerge w:val="continue"/>
            <w:tcBorders>
              <w:tl2br w:val="nil"/>
              <w:tr2bl w:val="nil"/>
            </w:tcBorders>
            <w:vAlign w:val="center"/>
          </w:tcPr>
          <w:p>
            <w:pPr>
              <w:jc w:val="center"/>
              <w:rPr>
                <w:rFonts w:ascii="Times New Roman" w:hAnsi="Times New Roman" w:cs="Times New Roman"/>
                <w:color w:val="auto"/>
                <w:szCs w:val="21"/>
              </w:rPr>
            </w:pPr>
          </w:p>
        </w:tc>
        <w:tc>
          <w:tcPr>
            <w:tcW w:w="901" w:type="dxa"/>
            <w:tcBorders>
              <w:tl2br w:val="nil"/>
              <w:tr2bl w:val="nil"/>
            </w:tcBorders>
            <w:vAlign w:val="center"/>
          </w:tcPr>
          <w:p>
            <w:pPr>
              <w:spacing w:line="231" w:lineRule="exact"/>
              <w:jc w:val="center"/>
              <w:rPr>
                <w:rFonts w:ascii="Times New Roman" w:hAnsi="Times New Roman" w:cs="Times New Roman"/>
                <w:color w:val="auto"/>
                <w:szCs w:val="21"/>
              </w:rPr>
            </w:pPr>
            <w:r>
              <w:rPr>
                <w:rFonts w:ascii="Times New Roman" w:hAnsi="Times New Roman" w:cs="Times New Roman"/>
                <w:color w:val="auto"/>
                <w:szCs w:val="21"/>
              </w:rPr>
              <w:t>悬浮物</w:t>
            </w:r>
          </w:p>
        </w:tc>
        <w:tc>
          <w:tcPr>
            <w:tcW w:w="3317" w:type="dxa"/>
            <w:tcBorders>
              <w:tl2br w:val="nil"/>
              <w:tr2bl w:val="nil"/>
            </w:tcBorders>
            <w:vAlign w:val="center"/>
          </w:tcPr>
          <w:p>
            <w:pPr>
              <w:spacing w:line="229" w:lineRule="exact"/>
              <w:jc w:val="center"/>
              <w:rPr>
                <w:rFonts w:ascii="Times New Roman" w:hAnsi="Times New Roman" w:cs="Times New Roman"/>
                <w:color w:val="auto"/>
                <w:szCs w:val="21"/>
              </w:rPr>
            </w:pPr>
            <w:r>
              <w:rPr>
                <w:rFonts w:ascii="Times New Roman" w:hAnsi="Times New Roman" w:cs="Times New Roman"/>
                <w:color w:val="auto"/>
                <w:szCs w:val="21"/>
              </w:rPr>
              <w:t>《水质 悬浮物的测定 重量法》GB 11901-89</w:t>
            </w:r>
          </w:p>
        </w:tc>
        <w:tc>
          <w:tcPr>
            <w:tcW w:w="1456" w:type="dxa"/>
            <w:tcBorders>
              <w:tl2br w:val="nil"/>
              <w:tr2bl w:val="nil"/>
            </w:tcBorders>
            <w:vAlign w:val="center"/>
          </w:tcPr>
          <w:p>
            <w:pPr>
              <w:spacing w:line="205" w:lineRule="exact"/>
              <w:jc w:val="center"/>
              <w:rPr>
                <w:rFonts w:ascii="Times New Roman" w:hAnsi="Times New Roman" w:cs="Times New Roman"/>
                <w:color w:val="auto"/>
                <w:szCs w:val="21"/>
              </w:rPr>
            </w:pPr>
            <w:r>
              <w:rPr>
                <w:rFonts w:ascii="Times New Roman" w:hAnsi="Times New Roman" w:cs="Times New Roman"/>
                <w:color w:val="auto"/>
                <w:szCs w:val="21"/>
              </w:rPr>
              <w:t>电子天平HC2004</w:t>
            </w:r>
          </w:p>
        </w:tc>
        <w:tc>
          <w:tcPr>
            <w:tcW w:w="888" w:type="dxa"/>
            <w:tcBorders>
              <w:tl2br w:val="nil"/>
              <w:tr2bl w:val="nil"/>
            </w:tcBorders>
            <w:vAlign w:val="center"/>
          </w:tcPr>
          <w:p>
            <w:pPr>
              <w:spacing w:line="256" w:lineRule="exact"/>
              <w:jc w:val="center"/>
              <w:rPr>
                <w:rFonts w:ascii="Times New Roman" w:hAnsi="Times New Roman" w:cs="Times New Roman"/>
                <w:color w:val="auto"/>
                <w:szCs w:val="21"/>
              </w:rPr>
            </w:pPr>
            <w:r>
              <w:rPr>
                <w:rFonts w:ascii="Times New Roman" w:hAnsi="Times New Roman" w:cs="Times New Roman"/>
                <w:color w:val="auto"/>
                <w:szCs w:val="21"/>
              </w:rPr>
              <w:t>/</w:t>
            </w:r>
          </w:p>
        </w:tc>
        <w:tc>
          <w:tcPr>
            <w:tcW w:w="803" w:type="dxa"/>
            <w:tcBorders>
              <w:tl2br w:val="nil"/>
              <w:tr2bl w:val="nil"/>
            </w:tcBorders>
            <w:vAlign w:val="center"/>
          </w:tcPr>
          <w:p>
            <w:pPr>
              <w:spacing w:line="262" w:lineRule="exact"/>
              <w:jc w:val="center"/>
              <w:rPr>
                <w:rFonts w:ascii="Times New Roman" w:hAnsi="Times New Roman" w:cs="Times New Roman"/>
                <w:color w:val="auto"/>
                <w:szCs w:val="21"/>
              </w:rPr>
            </w:pPr>
            <w:r>
              <w:rPr>
                <w:rFonts w:ascii="Times New Roman" w:hAnsi="Times New Roman" w:cs="Times New Roman"/>
                <w:color w:val="auto"/>
                <w:szCs w:val="21"/>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640" w:hRule="atLeast"/>
        </w:trPr>
        <w:tc>
          <w:tcPr>
            <w:tcW w:w="961" w:type="dxa"/>
            <w:vMerge w:val="continue"/>
            <w:tcBorders>
              <w:tl2br w:val="nil"/>
              <w:tr2bl w:val="nil"/>
            </w:tcBorders>
            <w:vAlign w:val="center"/>
          </w:tcPr>
          <w:p>
            <w:pPr>
              <w:jc w:val="center"/>
              <w:rPr>
                <w:rFonts w:ascii="Times New Roman" w:hAnsi="Times New Roman" w:cs="Times New Roman"/>
                <w:color w:val="auto"/>
                <w:szCs w:val="21"/>
              </w:rPr>
            </w:pPr>
          </w:p>
        </w:tc>
        <w:tc>
          <w:tcPr>
            <w:tcW w:w="901" w:type="dxa"/>
            <w:tcBorders>
              <w:tl2br w:val="nil"/>
              <w:tr2bl w:val="nil"/>
            </w:tcBorders>
            <w:vAlign w:val="center"/>
          </w:tcPr>
          <w:p>
            <w:pPr>
              <w:spacing w:line="228" w:lineRule="exact"/>
              <w:jc w:val="center"/>
              <w:rPr>
                <w:rFonts w:ascii="Times New Roman" w:hAnsi="Times New Roman" w:cs="Times New Roman"/>
                <w:color w:val="auto"/>
                <w:szCs w:val="21"/>
              </w:rPr>
            </w:pPr>
            <w:r>
              <w:rPr>
                <w:rFonts w:ascii="Times New Roman" w:hAnsi="Times New Roman" w:cs="Times New Roman"/>
                <w:color w:val="auto"/>
                <w:szCs w:val="21"/>
              </w:rPr>
              <w:t>动植物油</w:t>
            </w:r>
          </w:p>
        </w:tc>
        <w:tc>
          <w:tcPr>
            <w:tcW w:w="3317" w:type="dxa"/>
            <w:tcBorders>
              <w:tl2br w:val="nil"/>
              <w:tr2bl w:val="nil"/>
            </w:tcBorders>
            <w:vAlign w:val="center"/>
          </w:tcPr>
          <w:p>
            <w:pPr>
              <w:spacing w:line="229" w:lineRule="exact"/>
              <w:jc w:val="center"/>
              <w:rPr>
                <w:rFonts w:ascii="Times New Roman" w:hAnsi="Times New Roman" w:cs="Times New Roman"/>
                <w:color w:val="auto"/>
                <w:szCs w:val="21"/>
              </w:rPr>
            </w:pPr>
            <w:r>
              <w:rPr>
                <w:rFonts w:ascii="Times New Roman" w:hAnsi="Times New Roman" w:cs="Times New Roman"/>
                <w:color w:val="auto"/>
                <w:szCs w:val="21"/>
              </w:rPr>
              <w:t>《水质石油类和动植物油类的测定红外分光光度法》HJ637-2018</w:t>
            </w:r>
          </w:p>
        </w:tc>
        <w:tc>
          <w:tcPr>
            <w:tcW w:w="1456" w:type="dxa"/>
            <w:tcBorders>
              <w:tl2br w:val="nil"/>
              <w:tr2bl w:val="nil"/>
            </w:tcBorders>
            <w:vAlign w:val="center"/>
          </w:tcPr>
          <w:p>
            <w:pPr>
              <w:spacing w:before="32" w:line="221" w:lineRule="exact"/>
              <w:jc w:val="center"/>
              <w:rPr>
                <w:rFonts w:ascii="Times New Roman" w:hAnsi="Times New Roman" w:cs="Times New Roman"/>
                <w:color w:val="auto"/>
                <w:szCs w:val="21"/>
              </w:rPr>
            </w:pPr>
            <w:r>
              <w:rPr>
                <w:rFonts w:ascii="Times New Roman" w:hAnsi="Times New Roman" w:cs="Times New Roman"/>
                <w:color w:val="auto"/>
                <w:szCs w:val="21"/>
              </w:rPr>
              <w:t>红外分光测油仪AW-OIL-6</w:t>
            </w:r>
          </w:p>
        </w:tc>
        <w:tc>
          <w:tcPr>
            <w:tcW w:w="888" w:type="dxa"/>
            <w:tcBorders>
              <w:tl2br w:val="nil"/>
              <w:tr2bl w:val="nil"/>
            </w:tcBorders>
            <w:vAlign w:val="center"/>
          </w:tcPr>
          <w:p>
            <w:pPr>
              <w:spacing w:line="272" w:lineRule="exact"/>
              <w:jc w:val="center"/>
              <w:rPr>
                <w:rFonts w:ascii="Times New Roman" w:hAnsi="Times New Roman" w:cs="Times New Roman"/>
                <w:color w:val="auto"/>
                <w:szCs w:val="21"/>
              </w:rPr>
            </w:pPr>
            <w:r>
              <w:rPr>
                <w:rFonts w:ascii="Times New Roman" w:hAnsi="Times New Roman" w:cs="Times New Roman"/>
                <w:color w:val="auto"/>
                <w:szCs w:val="21"/>
              </w:rPr>
              <w:t>0.06</w:t>
            </w:r>
          </w:p>
        </w:tc>
        <w:tc>
          <w:tcPr>
            <w:tcW w:w="803" w:type="dxa"/>
            <w:tcBorders>
              <w:tl2br w:val="nil"/>
              <w:tr2bl w:val="nil"/>
            </w:tcBorders>
            <w:vAlign w:val="center"/>
          </w:tcPr>
          <w:p>
            <w:pPr>
              <w:spacing w:line="262" w:lineRule="exact"/>
              <w:jc w:val="center"/>
              <w:rPr>
                <w:rFonts w:ascii="Times New Roman" w:hAnsi="Times New Roman" w:cs="Times New Roman"/>
                <w:color w:val="auto"/>
                <w:szCs w:val="21"/>
              </w:rPr>
            </w:pPr>
            <w:r>
              <w:rPr>
                <w:rFonts w:ascii="Times New Roman" w:hAnsi="Times New Roman" w:cs="Times New Roman"/>
                <w:color w:val="auto"/>
                <w:szCs w:val="21"/>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600" w:hRule="atLeast"/>
        </w:trPr>
        <w:tc>
          <w:tcPr>
            <w:tcW w:w="961" w:type="dxa"/>
            <w:vMerge w:val="continue"/>
            <w:tcBorders>
              <w:tl2br w:val="nil"/>
              <w:tr2bl w:val="nil"/>
            </w:tcBorders>
            <w:vAlign w:val="center"/>
          </w:tcPr>
          <w:p>
            <w:pPr>
              <w:jc w:val="center"/>
              <w:rPr>
                <w:rFonts w:ascii="Times New Roman" w:hAnsi="Times New Roman" w:cs="Times New Roman"/>
                <w:color w:val="auto"/>
                <w:szCs w:val="21"/>
              </w:rPr>
            </w:pPr>
          </w:p>
        </w:tc>
        <w:tc>
          <w:tcPr>
            <w:tcW w:w="901" w:type="dxa"/>
            <w:tcBorders>
              <w:tl2br w:val="nil"/>
              <w:tr2bl w:val="nil"/>
            </w:tcBorders>
            <w:vAlign w:val="center"/>
          </w:tcPr>
          <w:p>
            <w:pPr>
              <w:spacing w:line="246" w:lineRule="exact"/>
              <w:jc w:val="center"/>
              <w:rPr>
                <w:rFonts w:ascii="Times New Roman" w:hAnsi="Times New Roman" w:cs="Times New Roman"/>
                <w:color w:val="auto"/>
                <w:szCs w:val="21"/>
              </w:rPr>
            </w:pPr>
            <w:r>
              <w:rPr>
                <w:rFonts w:ascii="Times New Roman" w:hAnsi="Times New Roman" w:cs="Times New Roman"/>
                <w:color w:val="auto"/>
                <w:szCs w:val="21"/>
              </w:rPr>
              <w:t>苯酚</w:t>
            </w:r>
          </w:p>
        </w:tc>
        <w:tc>
          <w:tcPr>
            <w:tcW w:w="3317" w:type="dxa"/>
            <w:tcBorders>
              <w:tl2br w:val="nil"/>
              <w:tr2bl w:val="nil"/>
            </w:tcBorders>
            <w:vAlign w:val="center"/>
          </w:tcPr>
          <w:p>
            <w:pPr>
              <w:spacing w:before="18" w:line="198" w:lineRule="exact"/>
              <w:jc w:val="center"/>
              <w:rPr>
                <w:rFonts w:ascii="Times New Roman" w:hAnsi="Times New Roman" w:cs="Times New Roman"/>
                <w:color w:val="auto"/>
                <w:szCs w:val="21"/>
              </w:rPr>
            </w:pPr>
            <w:r>
              <w:rPr>
                <w:rFonts w:ascii="Times New Roman" w:hAnsi="Times New Roman" w:cs="Times New Roman"/>
                <w:color w:val="auto"/>
                <w:szCs w:val="21"/>
              </w:rPr>
              <w:t>《水质酚类化合物的测定气相色谱-质谱法》HJ744-2015</w:t>
            </w:r>
          </w:p>
        </w:tc>
        <w:tc>
          <w:tcPr>
            <w:tcW w:w="1456" w:type="dxa"/>
            <w:tcBorders>
              <w:tl2br w:val="nil"/>
              <w:tr2bl w:val="nil"/>
            </w:tcBorders>
            <w:vAlign w:val="center"/>
          </w:tcPr>
          <w:p>
            <w:pPr>
              <w:spacing w:line="236" w:lineRule="exact"/>
              <w:jc w:val="center"/>
              <w:rPr>
                <w:rFonts w:ascii="Times New Roman" w:hAnsi="Times New Roman" w:cs="Times New Roman"/>
                <w:color w:val="auto"/>
                <w:szCs w:val="21"/>
              </w:rPr>
            </w:pPr>
            <w:r>
              <w:rPr>
                <w:rFonts w:ascii="Times New Roman" w:hAnsi="Times New Roman" w:cs="Times New Roman"/>
                <w:color w:val="auto"/>
                <w:szCs w:val="21"/>
              </w:rPr>
              <w:t>气相色谱仪PANNA A60</w:t>
            </w:r>
          </w:p>
        </w:tc>
        <w:tc>
          <w:tcPr>
            <w:tcW w:w="888" w:type="dxa"/>
            <w:tcBorders>
              <w:tl2br w:val="nil"/>
              <w:tr2bl w:val="nil"/>
            </w:tcBorders>
            <w:vAlign w:val="center"/>
          </w:tcPr>
          <w:p>
            <w:pPr>
              <w:spacing w:line="255" w:lineRule="exact"/>
              <w:jc w:val="center"/>
              <w:rPr>
                <w:rFonts w:ascii="Times New Roman" w:hAnsi="Times New Roman" w:cs="Times New Roman"/>
                <w:color w:val="auto"/>
                <w:szCs w:val="21"/>
              </w:rPr>
            </w:pPr>
            <w:r>
              <w:rPr>
                <w:rFonts w:ascii="Times New Roman" w:hAnsi="Times New Roman" w:cs="Times New Roman"/>
                <w:color w:val="auto"/>
                <w:szCs w:val="21"/>
              </w:rPr>
              <w:t>0.0001</w:t>
            </w:r>
          </w:p>
        </w:tc>
        <w:tc>
          <w:tcPr>
            <w:tcW w:w="803" w:type="dxa"/>
            <w:tcBorders>
              <w:tl2br w:val="nil"/>
              <w:tr2bl w:val="nil"/>
            </w:tcBorders>
            <w:vAlign w:val="center"/>
          </w:tcPr>
          <w:p>
            <w:pPr>
              <w:spacing w:line="262" w:lineRule="exact"/>
              <w:jc w:val="center"/>
              <w:rPr>
                <w:rFonts w:ascii="Times New Roman" w:hAnsi="Times New Roman" w:cs="Times New Roman"/>
                <w:color w:val="auto"/>
                <w:szCs w:val="21"/>
              </w:rPr>
            </w:pPr>
            <w:r>
              <w:rPr>
                <w:rFonts w:ascii="Times New Roman" w:hAnsi="Times New Roman" w:cs="Times New Roman"/>
                <w:color w:val="auto"/>
                <w:szCs w:val="21"/>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600" w:hRule="atLeast"/>
        </w:trPr>
        <w:tc>
          <w:tcPr>
            <w:tcW w:w="961" w:type="dxa"/>
            <w:vMerge w:val="continue"/>
            <w:tcBorders>
              <w:tl2br w:val="nil"/>
              <w:tr2bl w:val="nil"/>
            </w:tcBorders>
            <w:vAlign w:val="center"/>
          </w:tcPr>
          <w:p>
            <w:pPr>
              <w:jc w:val="center"/>
              <w:rPr>
                <w:rFonts w:ascii="Times New Roman" w:hAnsi="Times New Roman" w:cs="Times New Roman"/>
                <w:color w:val="auto"/>
                <w:szCs w:val="21"/>
              </w:rPr>
            </w:pPr>
          </w:p>
        </w:tc>
        <w:tc>
          <w:tcPr>
            <w:tcW w:w="901" w:type="dxa"/>
            <w:tcBorders>
              <w:tl2br w:val="nil"/>
              <w:tr2bl w:val="nil"/>
            </w:tcBorders>
            <w:vAlign w:val="center"/>
          </w:tcPr>
          <w:p>
            <w:pPr>
              <w:spacing w:line="239" w:lineRule="exact"/>
              <w:jc w:val="center"/>
              <w:rPr>
                <w:rFonts w:ascii="Times New Roman" w:hAnsi="Times New Roman" w:cs="Times New Roman"/>
                <w:color w:val="auto"/>
                <w:szCs w:val="21"/>
              </w:rPr>
            </w:pPr>
            <w:r>
              <w:rPr>
                <w:rFonts w:ascii="Times New Roman" w:hAnsi="Times New Roman" w:cs="Times New Roman"/>
                <w:color w:val="auto"/>
                <w:szCs w:val="21"/>
              </w:rPr>
              <w:t>甲醛</w:t>
            </w:r>
          </w:p>
        </w:tc>
        <w:tc>
          <w:tcPr>
            <w:tcW w:w="3317" w:type="dxa"/>
            <w:tcBorders>
              <w:tl2br w:val="nil"/>
              <w:tr2bl w:val="nil"/>
            </w:tcBorders>
            <w:vAlign w:val="center"/>
          </w:tcPr>
          <w:p>
            <w:pPr>
              <w:spacing w:before="11" w:line="214" w:lineRule="exact"/>
              <w:jc w:val="center"/>
              <w:rPr>
                <w:rFonts w:ascii="Times New Roman" w:hAnsi="Times New Roman" w:cs="Times New Roman"/>
                <w:color w:val="auto"/>
                <w:szCs w:val="21"/>
              </w:rPr>
            </w:pPr>
            <w:r>
              <w:rPr>
                <w:rFonts w:ascii="Times New Roman" w:hAnsi="Times New Roman" w:cs="Times New Roman"/>
                <w:color w:val="auto"/>
                <w:szCs w:val="21"/>
              </w:rPr>
              <w:t>《水质甲醛的测定乙酰丙酮分光光度法》HJ601-2011</w:t>
            </w:r>
          </w:p>
        </w:tc>
        <w:tc>
          <w:tcPr>
            <w:tcW w:w="1456" w:type="dxa"/>
            <w:tcBorders>
              <w:tl2br w:val="nil"/>
              <w:tr2bl w:val="nil"/>
            </w:tcBorders>
            <w:vAlign w:val="center"/>
          </w:tcPr>
          <w:p>
            <w:pPr>
              <w:spacing w:line="252" w:lineRule="exact"/>
              <w:jc w:val="center"/>
              <w:rPr>
                <w:rFonts w:ascii="Times New Roman" w:hAnsi="Times New Roman" w:cs="Times New Roman"/>
                <w:color w:val="auto"/>
                <w:szCs w:val="21"/>
              </w:rPr>
            </w:pPr>
            <w:r>
              <w:rPr>
                <w:rFonts w:ascii="Times New Roman" w:hAnsi="Times New Roman" w:cs="Times New Roman"/>
                <w:color w:val="auto"/>
                <w:szCs w:val="21"/>
              </w:rPr>
              <w:t>紫外可见分光光度计UV752</w:t>
            </w:r>
          </w:p>
        </w:tc>
        <w:tc>
          <w:tcPr>
            <w:tcW w:w="888" w:type="dxa"/>
            <w:tcBorders>
              <w:tl2br w:val="nil"/>
              <w:tr2bl w:val="nil"/>
            </w:tcBorders>
            <w:vAlign w:val="center"/>
          </w:tcPr>
          <w:p>
            <w:pPr>
              <w:spacing w:line="272" w:lineRule="exact"/>
              <w:jc w:val="center"/>
              <w:rPr>
                <w:rFonts w:ascii="Times New Roman" w:hAnsi="Times New Roman" w:cs="Times New Roman"/>
                <w:color w:val="auto"/>
                <w:szCs w:val="21"/>
              </w:rPr>
            </w:pPr>
            <w:r>
              <w:rPr>
                <w:rFonts w:ascii="Times New Roman" w:hAnsi="Times New Roman" w:cs="Times New Roman"/>
                <w:color w:val="auto"/>
                <w:szCs w:val="21"/>
              </w:rPr>
              <w:t>0.05</w:t>
            </w:r>
          </w:p>
        </w:tc>
        <w:tc>
          <w:tcPr>
            <w:tcW w:w="803" w:type="dxa"/>
            <w:tcBorders>
              <w:tl2br w:val="nil"/>
              <w:tr2bl w:val="nil"/>
            </w:tcBorders>
            <w:vAlign w:val="center"/>
          </w:tcPr>
          <w:p>
            <w:pPr>
              <w:spacing w:line="262" w:lineRule="exact"/>
              <w:jc w:val="center"/>
              <w:rPr>
                <w:rFonts w:ascii="Times New Roman" w:hAnsi="Times New Roman" w:cs="Times New Roman"/>
                <w:color w:val="auto"/>
                <w:szCs w:val="21"/>
              </w:rPr>
            </w:pPr>
            <w:r>
              <w:rPr>
                <w:rFonts w:ascii="Times New Roman" w:hAnsi="Times New Roman" w:cs="Times New Roman"/>
                <w:color w:val="auto"/>
                <w:szCs w:val="21"/>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620" w:hRule="atLeast"/>
        </w:trPr>
        <w:tc>
          <w:tcPr>
            <w:tcW w:w="961" w:type="dxa"/>
            <w:vMerge w:val="restart"/>
            <w:tcBorders>
              <w:tl2br w:val="nil"/>
              <w:tr2bl w:val="nil"/>
            </w:tcBorders>
            <w:vAlign w:val="center"/>
          </w:tcPr>
          <w:p>
            <w:pPr>
              <w:spacing w:line="268" w:lineRule="exact"/>
              <w:jc w:val="center"/>
              <w:rPr>
                <w:rFonts w:ascii="Times New Roman" w:hAnsi="Times New Roman" w:cs="Times New Roman"/>
                <w:color w:val="auto"/>
                <w:szCs w:val="21"/>
              </w:rPr>
            </w:pPr>
            <w:r>
              <w:rPr>
                <w:rFonts w:ascii="Times New Roman" w:hAnsi="Times New Roman" w:cs="Times New Roman"/>
                <w:color w:val="auto"/>
                <w:szCs w:val="21"/>
              </w:rPr>
              <w:t>有组织废气</w:t>
            </w:r>
          </w:p>
        </w:tc>
        <w:tc>
          <w:tcPr>
            <w:tcW w:w="901" w:type="dxa"/>
            <w:tcBorders>
              <w:tl2br w:val="nil"/>
              <w:tr2bl w:val="nil"/>
            </w:tcBorders>
            <w:vAlign w:val="center"/>
          </w:tcPr>
          <w:p>
            <w:pPr>
              <w:spacing w:line="239" w:lineRule="exact"/>
              <w:jc w:val="center"/>
              <w:rPr>
                <w:rFonts w:ascii="Times New Roman" w:hAnsi="Times New Roman" w:cs="Times New Roman"/>
                <w:color w:val="auto"/>
                <w:szCs w:val="21"/>
              </w:rPr>
            </w:pPr>
            <w:r>
              <w:rPr>
                <w:rFonts w:ascii="Times New Roman" w:hAnsi="Times New Roman" w:cs="Times New Roman"/>
                <w:color w:val="auto"/>
                <w:szCs w:val="21"/>
              </w:rPr>
              <w:t>氨气</w:t>
            </w:r>
          </w:p>
        </w:tc>
        <w:tc>
          <w:tcPr>
            <w:tcW w:w="3317" w:type="dxa"/>
            <w:tcBorders>
              <w:tl2br w:val="nil"/>
              <w:tr2bl w:val="nil"/>
            </w:tcBorders>
            <w:vAlign w:val="center"/>
          </w:tcPr>
          <w:p>
            <w:pPr>
              <w:spacing w:line="229" w:lineRule="exact"/>
              <w:jc w:val="center"/>
              <w:rPr>
                <w:rFonts w:ascii="Times New Roman" w:hAnsi="Times New Roman" w:cs="Times New Roman"/>
                <w:color w:val="auto"/>
                <w:szCs w:val="21"/>
              </w:rPr>
            </w:pPr>
            <w:r>
              <w:rPr>
                <w:rFonts w:ascii="Times New Roman" w:hAnsi="Times New Roman" w:cs="Times New Roman"/>
                <w:color w:val="auto"/>
                <w:szCs w:val="21"/>
              </w:rPr>
              <w:t>《环境空气和废气 氨的测定 纳氏试剂分光光度法》HJ 533-2009</w:t>
            </w:r>
          </w:p>
        </w:tc>
        <w:tc>
          <w:tcPr>
            <w:tcW w:w="1456" w:type="dxa"/>
            <w:tcBorders>
              <w:tl2br w:val="nil"/>
              <w:tr2bl w:val="nil"/>
            </w:tcBorders>
            <w:vAlign w:val="center"/>
          </w:tcPr>
          <w:p>
            <w:pPr>
              <w:spacing w:line="236" w:lineRule="exact"/>
              <w:jc w:val="center"/>
              <w:rPr>
                <w:rFonts w:ascii="Times New Roman" w:hAnsi="Times New Roman" w:cs="Times New Roman"/>
                <w:color w:val="auto"/>
                <w:szCs w:val="21"/>
              </w:rPr>
            </w:pPr>
            <w:r>
              <w:rPr>
                <w:rFonts w:ascii="Times New Roman" w:hAnsi="Times New Roman" w:cs="Times New Roman"/>
                <w:color w:val="auto"/>
                <w:szCs w:val="21"/>
              </w:rPr>
              <w:t>紫外可见分光光度计UV752</w:t>
            </w:r>
          </w:p>
        </w:tc>
        <w:tc>
          <w:tcPr>
            <w:tcW w:w="888" w:type="dxa"/>
            <w:tcBorders>
              <w:tl2br w:val="nil"/>
              <w:tr2bl w:val="nil"/>
            </w:tcBorders>
            <w:vAlign w:val="center"/>
          </w:tcPr>
          <w:p>
            <w:pPr>
              <w:spacing w:line="272" w:lineRule="exact"/>
              <w:jc w:val="center"/>
              <w:rPr>
                <w:rFonts w:ascii="Times New Roman" w:hAnsi="Times New Roman" w:cs="Times New Roman"/>
                <w:color w:val="auto"/>
                <w:szCs w:val="21"/>
              </w:rPr>
            </w:pPr>
            <w:r>
              <w:rPr>
                <w:rFonts w:ascii="Times New Roman" w:hAnsi="Times New Roman" w:cs="Times New Roman"/>
                <w:color w:val="auto"/>
                <w:szCs w:val="21"/>
              </w:rPr>
              <w:t>0.01</w:t>
            </w:r>
          </w:p>
        </w:tc>
        <w:tc>
          <w:tcPr>
            <w:tcW w:w="803" w:type="dxa"/>
            <w:tcBorders>
              <w:tl2br w:val="nil"/>
              <w:tr2bl w:val="nil"/>
            </w:tcBorders>
            <w:vAlign w:val="center"/>
          </w:tcPr>
          <w:p>
            <w:pPr>
              <w:spacing w:line="258" w:lineRule="exact"/>
              <w:jc w:val="center"/>
              <w:rPr>
                <w:rFonts w:ascii="Times New Roman" w:hAnsi="Times New Roman" w:cs="Times New Roman"/>
                <w:color w:val="auto"/>
                <w:szCs w:val="21"/>
              </w:rPr>
            </w:pPr>
            <w:r>
              <w:rPr>
                <w:rFonts w:ascii="Times New Roman" w:hAnsi="Times New Roman" w:cs="Times New Roman"/>
                <w:color w:val="auto"/>
                <w:szCs w:val="21"/>
              </w:rPr>
              <w:t>mg/㎡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600" w:hRule="atLeast"/>
        </w:trPr>
        <w:tc>
          <w:tcPr>
            <w:tcW w:w="961" w:type="dxa"/>
            <w:vMerge w:val="continue"/>
            <w:tcBorders>
              <w:tl2br w:val="nil"/>
              <w:tr2bl w:val="nil"/>
            </w:tcBorders>
            <w:vAlign w:val="center"/>
          </w:tcPr>
          <w:p>
            <w:pPr>
              <w:jc w:val="center"/>
              <w:rPr>
                <w:rFonts w:ascii="Times New Roman" w:hAnsi="Times New Roman" w:cs="Times New Roman"/>
                <w:color w:val="auto"/>
                <w:szCs w:val="21"/>
              </w:rPr>
            </w:pPr>
          </w:p>
        </w:tc>
        <w:tc>
          <w:tcPr>
            <w:tcW w:w="901" w:type="dxa"/>
            <w:tcBorders>
              <w:tl2br w:val="nil"/>
              <w:tr2bl w:val="nil"/>
            </w:tcBorders>
            <w:vAlign w:val="center"/>
          </w:tcPr>
          <w:p>
            <w:pPr>
              <w:spacing w:line="262" w:lineRule="exact"/>
              <w:jc w:val="center"/>
              <w:rPr>
                <w:rFonts w:ascii="Times New Roman" w:hAnsi="Times New Roman" w:cs="Times New Roman"/>
                <w:color w:val="auto"/>
                <w:szCs w:val="21"/>
              </w:rPr>
            </w:pPr>
            <w:r>
              <w:rPr>
                <w:rFonts w:ascii="Times New Roman" w:hAnsi="Times New Roman" w:cs="Times New Roman"/>
                <w:color w:val="auto"/>
                <w:szCs w:val="21"/>
              </w:rPr>
              <w:t>苯酚</w:t>
            </w:r>
          </w:p>
        </w:tc>
        <w:tc>
          <w:tcPr>
            <w:tcW w:w="3317" w:type="dxa"/>
            <w:tcBorders>
              <w:tl2br w:val="nil"/>
              <w:tr2bl w:val="nil"/>
            </w:tcBorders>
            <w:vAlign w:val="center"/>
          </w:tcPr>
          <w:p>
            <w:pPr>
              <w:spacing w:line="229" w:lineRule="exact"/>
              <w:jc w:val="center"/>
              <w:rPr>
                <w:rFonts w:ascii="Times New Roman" w:hAnsi="Times New Roman" w:cs="Times New Roman"/>
                <w:color w:val="auto"/>
                <w:szCs w:val="21"/>
              </w:rPr>
            </w:pPr>
            <w:r>
              <w:rPr>
                <w:rFonts w:ascii="Times New Roman" w:hAnsi="Times New Roman" w:cs="Times New Roman"/>
                <w:color w:val="auto"/>
                <w:szCs w:val="21"/>
              </w:rPr>
              <w:t>《固定污染源排气中酚类化合物的测定 4-氨基安替比林分光光度法》HJ／T 32-1999</w:t>
            </w:r>
          </w:p>
        </w:tc>
        <w:tc>
          <w:tcPr>
            <w:tcW w:w="1456" w:type="dxa"/>
            <w:tcBorders>
              <w:tl2br w:val="nil"/>
              <w:tr2bl w:val="nil"/>
            </w:tcBorders>
            <w:vAlign w:val="center"/>
          </w:tcPr>
          <w:p>
            <w:pPr>
              <w:spacing w:line="236" w:lineRule="exact"/>
              <w:jc w:val="center"/>
              <w:rPr>
                <w:rFonts w:ascii="Times New Roman" w:hAnsi="Times New Roman" w:cs="Times New Roman"/>
                <w:color w:val="auto"/>
                <w:szCs w:val="21"/>
              </w:rPr>
            </w:pPr>
            <w:r>
              <w:rPr>
                <w:rFonts w:ascii="Times New Roman" w:hAnsi="Times New Roman" w:cs="Times New Roman"/>
                <w:color w:val="auto"/>
                <w:szCs w:val="21"/>
              </w:rPr>
              <w:t>紫外可见分光光度计UV752</w:t>
            </w:r>
          </w:p>
        </w:tc>
        <w:tc>
          <w:tcPr>
            <w:tcW w:w="888" w:type="dxa"/>
            <w:tcBorders>
              <w:tl2br w:val="nil"/>
              <w:tr2bl w:val="nil"/>
            </w:tcBorders>
            <w:vAlign w:val="center"/>
          </w:tcPr>
          <w:p>
            <w:pPr>
              <w:spacing w:line="264" w:lineRule="exact"/>
              <w:jc w:val="center"/>
              <w:rPr>
                <w:rFonts w:ascii="Times New Roman" w:hAnsi="Times New Roman" w:cs="Times New Roman"/>
                <w:color w:val="auto"/>
                <w:szCs w:val="21"/>
              </w:rPr>
            </w:pPr>
            <w:r>
              <w:rPr>
                <w:rFonts w:ascii="Times New Roman" w:hAnsi="Times New Roman" w:cs="Times New Roman"/>
                <w:color w:val="auto"/>
                <w:szCs w:val="21"/>
              </w:rPr>
              <w:t>1.0</w:t>
            </w:r>
          </w:p>
        </w:tc>
        <w:tc>
          <w:tcPr>
            <w:tcW w:w="803" w:type="dxa"/>
            <w:tcBorders>
              <w:tl2br w:val="nil"/>
              <w:tr2bl w:val="nil"/>
            </w:tcBorders>
            <w:vAlign w:val="center"/>
          </w:tcPr>
          <w:p>
            <w:pPr>
              <w:spacing w:line="249" w:lineRule="exact"/>
              <w:jc w:val="center"/>
              <w:rPr>
                <w:rFonts w:ascii="Times New Roman" w:hAnsi="Times New Roman" w:cs="Times New Roman"/>
                <w:color w:val="auto"/>
                <w:szCs w:val="21"/>
              </w:rPr>
            </w:pPr>
            <w:r>
              <w:rPr>
                <w:rFonts w:ascii="Times New Roman" w:hAnsi="Times New Roman" w:cs="Times New Roman"/>
                <w:color w:val="auto"/>
                <w:szCs w:val="21"/>
              </w:rPr>
              <w:t>u/8u</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600" w:hRule="atLeast"/>
        </w:trPr>
        <w:tc>
          <w:tcPr>
            <w:tcW w:w="961" w:type="dxa"/>
            <w:vMerge w:val="continue"/>
            <w:tcBorders>
              <w:tl2br w:val="nil"/>
              <w:tr2bl w:val="nil"/>
            </w:tcBorders>
            <w:vAlign w:val="center"/>
          </w:tcPr>
          <w:p>
            <w:pPr>
              <w:jc w:val="center"/>
              <w:rPr>
                <w:rFonts w:ascii="Times New Roman" w:hAnsi="Times New Roman" w:cs="Times New Roman"/>
                <w:color w:val="auto"/>
                <w:szCs w:val="21"/>
              </w:rPr>
            </w:pPr>
          </w:p>
        </w:tc>
        <w:tc>
          <w:tcPr>
            <w:tcW w:w="901" w:type="dxa"/>
            <w:tcBorders>
              <w:tl2br w:val="nil"/>
              <w:tr2bl w:val="nil"/>
            </w:tcBorders>
            <w:vAlign w:val="center"/>
          </w:tcPr>
          <w:p>
            <w:pPr>
              <w:spacing w:line="258" w:lineRule="exact"/>
              <w:jc w:val="center"/>
              <w:rPr>
                <w:rFonts w:ascii="Times New Roman" w:hAnsi="Times New Roman" w:cs="Times New Roman"/>
                <w:color w:val="auto"/>
                <w:szCs w:val="21"/>
              </w:rPr>
            </w:pPr>
            <w:r>
              <w:rPr>
                <w:rFonts w:ascii="Times New Roman" w:hAnsi="Times New Roman" w:cs="Times New Roman"/>
                <w:color w:val="auto"/>
                <w:szCs w:val="21"/>
              </w:rPr>
              <w:t>＊甲醇</w:t>
            </w:r>
          </w:p>
        </w:tc>
        <w:tc>
          <w:tcPr>
            <w:tcW w:w="3317" w:type="dxa"/>
            <w:tcBorders>
              <w:tl2br w:val="nil"/>
              <w:tr2bl w:val="nil"/>
            </w:tcBorders>
            <w:vAlign w:val="center"/>
          </w:tcPr>
          <w:p>
            <w:pPr>
              <w:spacing w:line="244" w:lineRule="exact"/>
              <w:jc w:val="center"/>
              <w:rPr>
                <w:rFonts w:ascii="Times New Roman" w:hAnsi="Times New Roman" w:cs="Times New Roman"/>
                <w:color w:val="auto"/>
                <w:szCs w:val="21"/>
              </w:rPr>
            </w:pPr>
            <w:r>
              <w:rPr>
                <w:rFonts w:ascii="Times New Roman" w:hAnsi="Times New Roman" w:cs="Times New Roman"/>
                <w:color w:val="auto"/>
                <w:szCs w:val="21"/>
              </w:rPr>
              <w:t>《空气和废气监测分析方法》（第四版 增补版 国家环境保护总局2003年）（6.1.6.2变色酸比色法）</w:t>
            </w:r>
          </w:p>
        </w:tc>
        <w:tc>
          <w:tcPr>
            <w:tcW w:w="1456" w:type="dxa"/>
            <w:tcBorders>
              <w:tl2br w:val="nil"/>
              <w:tr2bl w:val="nil"/>
            </w:tcBorders>
            <w:vAlign w:val="center"/>
          </w:tcPr>
          <w:p>
            <w:pPr>
              <w:spacing w:line="225" w:lineRule="exact"/>
              <w:jc w:val="center"/>
              <w:rPr>
                <w:rFonts w:ascii="Times New Roman" w:hAnsi="Times New Roman" w:cs="Times New Roman"/>
                <w:color w:val="auto"/>
                <w:szCs w:val="21"/>
              </w:rPr>
            </w:pPr>
            <w:r>
              <w:rPr>
                <w:rFonts w:ascii="Times New Roman" w:hAnsi="Times New Roman" w:cs="Times New Roman"/>
                <w:color w:val="auto"/>
                <w:szCs w:val="21"/>
              </w:rPr>
              <w:t>722N可见分光光度计</w:t>
            </w:r>
          </w:p>
        </w:tc>
        <w:tc>
          <w:tcPr>
            <w:tcW w:w="888" w:type="dxa"/>
            <w:tcBorders>
              <w:tl2br w:val="nil"/>
              <w:tr2bl w:val="nil"/>
            </w:tcBorders>
            <w:vAlign w:val="center"/>
          </w:tcPr>
          <w:p>
            <w:pPr>
              <w:spacing w:line="211" w:lineRule="exact"/>
              <w:jc w:val="center"/>
              <w:rPr>
                <w:rFonts w:ascii="Times New Roman" w:hAnsi="Times New Roman" w:cs="Times New Roman"/>
                <w:color w:val="auto"/>
                <w:szCs w:val="21"/>
              </w:rPr>
            </w:pPr>
            <w:r>
              <w:rPr>
                <w:rFonts w:ascii="Times New Roman" w:hAnsi="Times New Roman" w:cs="Times New Roman"/>
                <w:color w:val="auto"/>
                <w:szCs w:val="21"/>
              </w:rPr>
              <w:t>0.3</w:t>
            </w:r>
          </w:p>
        </w:tc>
        <w:tc>
          <w:tcPr>
            <w:tcW w:w="803" w:type="dxa"/>
            <w:tcBorders>
              <w:tl2br w:val="nil"/>
              <w:tr2bl w:val="nil"/>
            </w:tcBorders>
            <w:vAlign w:val="center"/>
          </w:tcPr>
          <w:p>
            <w:pPr>
              <w:spacing w:line="249" w:lineRule="exact"/>
              <w:jc w:val="center"/>
              <w:rPr>
                <w:rFonts w:ascii="Times New Roman" w:hAnsi="Times New Roman" w:cs="Times New Roman"/>
                <w:color w:val="auto"/>
                <w:szCs w:val="21"/>
              </w:rPr>
            </w:pPr>
            <w:r>
              <w:rPr>
                <w:rFonts w:ascii="Times New Roman" w:hAnsi="Times New Roman" w:cs="Times New Roman"/>
                <w:color w:val="auto"/>
                <w:szCs w:val="21"/>
              </w:rPr>
              <w:t>u/8u</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600" w:hRule="atLeast"/>
        </w:trPr>
        <w:tc>
          <w:tcPr>
            <w:tcW w:w="961" w:type="dxa"/>
            <w:vMerge w:val="continue"/>
            <w:tcBorders>
              <w:tl2br w:val="nil"/>
              <w:tr2bl w:val="nil"/>
            </w:tcBorders>
            <w:vAlign w:val="center"/>
          </w:tcPr>
          <w:p>
            <w:pPr>
              <w:jc w:val="center"/>
              <w:rPr>
                <w:rFonts w:ascii="Times New Roman" w:hAnsi="Times New Roman" w:cs="Times New Roman"/>
                <w:color w:val="auto"/>
                <w:szCs w:val="21"/>
              </w:rPr>
            </w:pPr>
          </w:p>
        </w:tc>
        <w:tc>
          <w:tcPr>
            <w:tcW w:w="901" w:type="dxa"/>
            <w:tcBorders>
              <w:tl2br w:val="nil"/>
              <w:tr2bl w:val="nil"/>
            </w:tcBorders>
            <w:vAlign w:val="center"/>
          </w:tcPr>
          <w:p>
            <w:pPr>
              <w:spacing w:line="246" w:lineRule="exact"/>
              <w:jc w:val="center"/>
              <w:rPr>
                <w:rFonts w:ascii="Times New Roman" w:hAnsi="Times New Roman" w:cs="Times New Roman"/>
                <w:color w:val="auto"/>
                <w:szCs w:val="21"/>
              </w:rPr>
            </w:pPr>
            <w:r>
              <w:rPr>
                <w:rFonts w:ascii="Times New Roman" w:hAnsi="Times New Roman" w:cs="Times New Roman"/>
                <w:color w:val="auto"/>
                <w:szCs w:val="21"/>
              </w:rPr>
              <w:t>甲醛</w:t>
            </w:r>
          </w:p>
        </w:tc>
        <w:tc>
          <w:tcPr>
            <w:tcW w:w="3317" w:type="dxa"/>
            <w:tcBorders>
              <w:tl2br w:val="nil"/>
              <w:tr2bl w:val="nil"/>
            </w:tcBorders>
            <w:vAlign w:val="center"/>
          </w:tcPr>
          <w:p>
            <w:pPr>
              <w:spacing w:line="229" w:lineRule="exact"/>
              <w:jc w:val="center"/>
              <w:rPr>
                <w:rFonts w:ascii="Times New Roman" w:hAnsi="Times New Roman" w:cs="Times New Roman"/>
                <w:color w:val="auto"/>
                <w:szCs w:val="21"/>
              </w:rPr>
            </w:pPr>
            <w:r>
              <w:rPr>
                <w:rFonts w:ascii="Times New Roman" w:hAnsi="Times New Roman" w:cs="Times New Roman"/>
                <w:color w:val="auto"/>
                <w:szCs w:val="21"/>
              </w:rPr>
              <w:t>《空气质量 甲醛的测定 乙酰丙酮分光光度法》GB/T 15516-1995</w:t>
            </w:r>
          </w:p>
        </w:tc>
        <w:tc>
          <w:tcPr>
            <w:tcW w:w="1456" w:type="dxa"/>
            <w:tcBorders>
              <w:tl2br w:val="nil"/>
              <w:tr2bl w:val="nil"/>
            </w:tcBorders>
            <w:vAlign w:val="center"/>
          </w:tcPr>
          <w:p>
            <w:pPr>
              <w:spacing w:line="236" w:lineRule="exact"/>
              <w:jc w:val="center"/>
              <w:rPr>
                <w:rFonts w:ascii="Times New Roman" w:hAnsi="Times New Roman" w:cs="Times New Roman"/>
                <w:color w:val="auto"/>
                <w:szCs w:val="21"/>
              </w:rPr>
            </w:pPr>
            <w:r>
              <w:rPr>
                <w:rFonts w:ascii="Times New Roman" w:hAnsi="Times New Roman" w:cs="Times New Roman"/>
                <w:color w:val="auto"/>
                <w:szCs w:val="21"/>
              </w:rPr>
              <w:t>紫外可见分光光度计UV752</w:t>
            </w:r>
          </w:p>
        </w:tc>
        <w:tc>
          <w:tcPr>
            <w:tcW w:w="888" w:type="dxa"/>
            <w:tcBorders>
              <w:tl2br w:val="nil"/>
              <w:tr2bl w:val="nil"/>
            </w:tcBorders>
            <w:vAlign w:val="center"/>
          </w:tcPr>
          <w:p>
            <w:pPr>
              <w:spacing w:line="211" w:lineRule="exact"/>
              <w:jc w:val="center"/>
              <w:rPr>
                <w:rFonts w:ascii="Times New Roman" w:hAnsi="Times New Roman" w:cs="Times New Roman"/>
                <w:color w:val="auto"/>
                <w:szCs w:val="21"/>
              </w:rPr>
            </w:pPr>
            <w:r>
              <w:rPr>
                <w:rFonts w:ascii="Times New Roman" w:hAnsi="Times New Roman" w:cs="Times New Roman"/>
                <w:color w:val="auto"/>
                <w:szCs w:val="21"/>
              </w:rPr>
              <w:t>0.5</w:t>
            </w:r>
          </w:p>
        </w:tc>
        <w:tc>
          <w:tcPr>
            <w:tcW w:w="803" w:type="dxa"/>
            <w:tcBorders>
              <w:tl2br w:val="nil"/>
              <w:tr2bl w:val="nil"/>
            </w:tcBorders>
            <w:vAlign w:val="center"/>
          </w:tcPr>
          <w:p>
            <w:pPr>
              <w:spacing w:line="249" w:lineRule="exact"/>
              <w:jc w:val="center"/>
              <w:rPr>
                <w:rFonts w:ascii="Times New Roman" w:hAnsi="Times New Roman" w:cs="Times New Roman"/>
                <w:color w:val="auto"/>
                <w:szCs w:val="21"/>
              </w:rPr>
            </w:pPr>
            <w:r>
              <w:rPr>
                <w:rFonts w:ascii="Times New Roman" w:hAnsi="Times New Roman" w:cs="Times New Roman"/>
                <w:color w:val="auto"/>
                <w:szCs w:val="21"/>
              </w:rPr>
              <w:t>m/8u</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640" w:hRule="atLeast"/>
        </w:trPr>
        <w:tc>
          <w:tcPr>
            <w:tcW w:w="961" w:type="dxa"/>
            <w:vMerge w:val="continue"/>
            <w:tcBorders>
              <w:tl2br w:val="nil"/>
              <w:tr2bl w:val="nil"/>
            </w:tcBorders>
            <w:vAlign w:val="center"/>
          </w:tcPr>
          <w:p>
            <w:pPr>
              <w:jc w:val="center"/>
              <w:rPr>
                <w:rFonts w:ascii="Times New Roman" w:hAnsi="Times New Roman" w:cs="Times New Roman"/>
                <w:color w:val="auto"/>
                <w:szCs w:val="21"/>
              </w:rPr>
            </w:pPr>
          </w:p>
        </w:tc>
        <w:tc>
          <w:tcPr>
            <w:tcW w:w="901" w:type="dxa"/>
            <w:tcBorders>
              <w:tl2br w:val="nil"/>
              <w:tr2bl w:val="nil"/>
            </w:tcBorders>
            <w:vAlign w:val="center"/>
          </w:tcPr>
          <w:p>
            <w:pPr>
              <w:spacing w:line="275" w:lineRule="exact"/>
              <w:jc w:val="center"/>
              <w:rPr>
                <w:rFonts w:ascii="Times New Roman" w:hAnsi="Times New Roman" w:cs="Times New Roman"/>
                <w:color w:val="auto"/>
                <w:szCs w:val="21"/>
              </w:rPr>
            </w:pPr>
            <w:r>
              <w:rPr>
                <w:rFonts w:ascii="Times New Roman" w:hAnsi="Times New Roman" w:cs="Times New Roman"/>
                <w:color w:val="auto"/>
                <w:szCs w:val="21"/>
              </w:rPr>
              <w:t>TVOC</w:t>
            </w:r>
          </w:p>
        </w:tc>
        <w:tc>
          <w:tcPr>
            <w:tcW w:w="3317" w:type="dxa"/>
            <w:tcBorders>
              <w:tl2br w:val="nil"/>
              <w:tr2bl w:val="nil"/>
            </w:tcBorders>
            <w:vAlign w:val="center"/>
          </w:tcPr>
          <w:p>
            <w:pPr>
              <w:spacing w:line="229" w:lineRule="exact"/>
              <w:jc w:val="center"/>
              <w:rPr>
                <w:rFonts w:ascii="Times New Roman" w:hAnsi="Times New Roman" w:cs="Times New Roman"/>
                <w:color w:val="auto"/>
                <w:szCs w:val="21"/>
              </w:rPr>
            </w:pPr>
            <w:r>
              <w:rPr>
                <w:rFonts w:ascii="Times New Roman" w:hAnsi="Times New Roman" w:cs="Times New Roman"/>
                <w:color w:val="auto"/>
                <w:szCs w:val="21"/>
              </w:rPr>
              <w:t>《民用建筑工程室内环境污染控制标准》GB50325-2020（附录E室内空气中TVOC的测定）</w:t>
            </w:r>
          </w:p>
        </w:tc>
        <w:tc>
          <w:tcPr>
            <w:tcW w:w="1456" w:type="dxa"/>
            <w:tcBorders>
              <w:tl2br w:val="nil"/>
              <w:tr2bl w:val="nil"/>
            </w:tcBorders>
            <w:vAlign w:val="center"/>
          </w:tcPr>
          <w:p>
            <w:pPr>
              <w:spacing w:before="29" w:line="226" w:lineRule="exact"/>
              <w:jc w:val="center"/>
              <w:rPr>
                <w:rFonts w:ascii="Times New Roman" w:hAnsi="Times New Roman" w:cs="Times New Roman"/>
                <w:color w:val="auto"/>
                <w:szCs w:val="21"/>
              </w:rPr>
            </w:pPr>
            <w:r>
              <w:rPr>
                <w:rFonts w:ascii="Times New Roman" w:hAnsi="Times New Roman" w:cs="Times New Roman"/>
                <w:color w:val="auto"/>
                <w:szCs w:val="21"/>
              </w:rPr>
              <w:t>气相色谱仪PANNA09V</w:t>
            </w:r>
          </w:p>
        </w:tc>
        <w:tc>
          <w:tcPr>
            <w:tcW w:w="888" w:type="dxa"/>
            <w:tcBorders>
              <w:tl2br w:val="nil"/>
              <w:tr2bl w:val="nil"/>
            </w:tcBorders>
            <w:vAlign w:val="center"/>
          </w:tcPr>
          <w:p>
            <w:pPr>
              <w:spacing w:line="255" w:lineRule="exact"/>
              <w:jc w:val="center"/>
              <w:rPr>
                <w:rFonts w:ascii="Times New Roman" w:hAnsi="Times New Roman" w:cs="Times New Roman"/>
                <w:color w:val="auto"/>
                <w:szCs w:val="21"/>
              </w:rPr>
            </w:pPr>
            <w:r>
              <w:rPr>
                <w:rFonts w:ascii="Times New Roman" w:hAnsi="Times New Roman" w:cs="Times New Roman"/>
                <w:color w:val="auto"/>
                <w:szCs w:val="21"/>
              </w:rPr>
              <w:t>0.0005</w:t>
            </w:r>
          </w:p>
        </w:tc>
        <w:tc>
          <w:tcPr>
            <w:tcW w:w="803" w:type="dxa"/>
            <w:tcBorders>
              <w:tl2br w:val="nil"/>
              <w:tr2bl w:val="nil"/>
            </w:tcBorders>
            <w:vAlign w:val="center"/>
          </w:tcPr>
          <w:p>
            <w:pPr>
              <w:spacing w:line="249" w:lineRule="exact"/>
              <w:jc w:val="center"/>
              <w:rPr>
                <w:rFonts w:ascii="Times New Roman" w:hAnsi="Times New Roman" w:cs="Times New Roman"/>
                <w:color w:val="auto"/>
                <w:szCs w:val="21"/>
              </w:rPr>
            </w:pPr>
            <w:r>
              <w:rPr>
                <w:rFonts w:ascii="Times New Roman" w:hAnsi="Times New Roman" w:cs="Times New Roman"/>
                <w:color w:val="auto"/>
                <w:szCs w:val="21"/>
              </w:rPr>
              <w:t>u/8u</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600" w:hRule="atLeast"/>
        </w:trPr>
        <w:tc>
          <w:tcPr>
            <w:tcW w:w="961" w:type="dxa"/>
            <w:vMerge w:val="continue"/>
            <w:tcBorders>
              <w:tl2br w:val="nil"/>
              <w:tr2bl w:val="nil"/>
            </w:tcBorders>
            <w:vAlign w:val="center"/>
          </w:tcPr>
          <w:p>
            <w:pPr>
              <w:jc w:val="center"/>
              <w:rPr>
                <w:rFonts w:ascii="Times New Roman" w:hAnsi="Times New Roman" w:cs="Times New Roman"/>
                <w:color w:val="auto"/>
                <w:szCs w:val="21"/>
              </w:rPr>
            </w:pPr>
          </w:p>
        </w:tc>
        <w:tc>
          <w:tcPr>
            <w:tcW w:w="901" w:type="dxa"/>
            <w:tcBorders>
              <w:tl2br w:val="nil"/>
              <w:tr2bl w:val="nil"/>
            </w:tcBorders>
            <w:vAlign w:val="center"/>
          </w:tcPr>
          <w:p>
            <w:pPr>
              <w:spacing w:line="242" w:lineRule="exact"/>
              <w:jc w:val="center"/>
              <w:rPr>
                <w:rFonts w:ascii="Times New Roman" w:hAnsi="Times New Roman" w:cs="Times New Roman"/>
                <w:color w:val="auto"/>
                <w:szCs w:val="21"/>
              </w:rPr>
            </w:pPr>
            <w:r>
              <w:rPr>
                <w:rFonts w:ascii="Times New Roman" w:hAnsi="Times New Roman" w:cs="Times New Roman"/>
                <w:color w:val="auto"/>
                <w:szCs w:val="21"/>
              </w:rPr>
              <w:t>臭气浓度</w:t>
            </w:r>
          </w:p>
        </w:tc>
        <w:tc>
          <w:tcPr>
            <w:tcW w:w="3317" w:type="dxa"/>
            <w:tcBorders>
              <w:tl2br w:val="nil"/>
              <w:tr2bl w:val="nil"/>
            </w:tcBorders>
            <w:vAlign w:val="center"/>
          </w:tcPr>
          <w:p>
            <w:pPr>
              <w:spacing w:line="214" w:lineRule="exact"/>
              <w:jc w:val="center"/>
              <w:rPr>
                <w:rFonts w:ascii="Times New Roman" w:hAnsi="Times New Roman" w:cs="Times New Roman"/>
                <w:color w:val="auto"/>
                <w:szCs w:val="21"/>
              </w:rPr>
            </w:pPr>
            <w:r>
              <w:rPr>
                <w:rFonts w:ascii="Times New Roman" w:hAnsi="Times New Roman" w:cs="Times New Roman"/>
                <w:color w:val="auto"/>
                <w:szCs w:val="21"/>
              </w:rPr>
              <w:t>《空气质量 恶臭的测定 三点比较式臭袋法》GB／T14675-1993</w:t>
            </w:r>
          </w:p>
        </w:tc>
        <w:tc>
          <w:tcPr>
            <w:tcW w:w="1456" w:type="dxa"/>
            <w:tcBorders>
              <w:tl2br w:val="nil"/>
              <w:tr2bl w:val="nil"/>
            </w:tcBorders>
            <w:vAlign w:val="center"/>
          </w:tcPr>
          <w:p>
            <w:pPr>
              <w:spacing w:line="256" w:lineRule="exact"/>
              <w:jc w:val="center"/>
              <w:rPr>
                <w:rFonts w:ascii="Times New Roman" w:hAnsi="Times New Roman" w:cs="Times New Roman"/>
                <w:color w:val="auto"/>
                <w:szCs w:val="21"/>
              </w:rPr>
            </w:pPr>
            <w:r>
              <w:rPr>
                <w:rFonts w:ascii="Times New Roman" w:hAnsi="Times New Roman" w:cs="Times New Roman"/>
                <w:color w:val="auto"/>
                <w:szCs w:val="21"/>
              </w:rPr>
              <w:t>/</w:t>
            </w:r>
          </w:p>
        </w:tc>
        <w:tc>
          <w:tcPr>
            <w:tcW w:w="888" w:type="dxa"/>
            <w:tcBorders>
              <w:tl2br w:val="nil"/>
              <w:tr2bl w:val="nil"/>
            </w:tcBorders>
            <w:vAlign w:val="center"/>
          </w:tcPr>
          <w:p>
            <w:pPr>
              <w:spacing w:line="245" w:lineRule="exact"/>
              <w:jc w:val="center"/>
              <w:rPr>
                <w:rFonts w:ascii="Times New Roman" w:hAnsi="Times New Roman" w:cs="Times New Roman"/>
                <w:color w:val="auto"/>
                <w:szCs w:val="21"/>
              </w:rPr>
            </w:pPr>
            <w:r>
              <w:rPr>
                <w:rFonts w:ascii="Times New Roman" w:hAnsi="Times New Roman" w:cs="Times New Roman"/>
                <w:color w:val="auto"/>
                <w:szCs w:val="21"/>
              </w:rPr>
              <w:t>10</w:t>
            </w:r>
          </w:p>
        </w:tc>
        <w:tc>
          <w:tcPr>
            <w:tcW w:w="803" w:type="dxa"/>
            <w:tcBorders>
              <w:tl2br w:val="nil"/>
              <w:tr2bl w:val="nil"/>
            </w:tcBorders>
            <w:vAlign w:val="center"/>
          </w:tcPr>
          <w:p>
            <w:pPr>
              <w:spacing w:line="262" w:lineRule="exact"/>
              <w:jc w:val="center"/>
              <w:rPr>
                <w:rFonts w:ascii="Times New Roman" w:hAnsi="Times New Roman" w:cs="Times New Roman"/>
                <w:color w:val="auto"/>
                <w:szCs w:val="21"/>
              </w:rPr>
            </w:pPr>
            <w:r>
              <w:rPr>
                <w:rFonts w:ascii="Times New Roman" w:hAnsi="Times New Roman" w:cs="Times New Roman"/>
                <w:color w:val="auto"/>
                <w:szCs w:val="21"/>
              </w:rPr>
              <w:t>无量纲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920" w:hRule="atLeast"/>
        </w:trPr>
        <w:tc>
          <w:tcPr>
            <w:tcW w:w="961" w:type="dxa"/>
            <w:vMerge w:val="continue"/>
            <w:tcBorders>
              <w:tl2br w:val="nil"/>
              <w:tr2bl w:val="nil"/>
            </w:tcBorders>
            <w:vAlign w:val="center"/>
          </w:tcPr>
          <w:p>
            <w:pPr>
              <w:jc w:val="center"/>
              <w:rPr>
                <w:rFonts w:ascii="Times New Roman" w:hAnsi="Times New Roman" w:cs="Times New Roman"/>
                <w:color w:val="auto"/>
                <w:szCs w:val="21"/>
              </w:rPr>
            </w:pPr>
          </w:p>
        </w:tc>
        <w:tc>
          <w:tcPr>
            <w:tcW w:w="901" w:type="dxa"/>
            <w:tcBorders>
              <w:tl2br w:val="nil"/>
              <w:tr2bl w:val="nil"/>
            </w:tcBorders>
            <w:vAlign w:val="center"/>
          </w:tcPr>
          <w:p>
            <w:pPr>
              <w:spacing w:line="262" w:lineRule="exact"/>
              <w:jc w:val="center"/>
              <w:rPr>
                <w:rFonts w:ascii="Times New Roman" w:hAnsi="Times New Roman" w:cs="Times New Roman"/>
                <w:color w:val="auto"/>
                <w:szCs w:val="21"/>
              </w:rPr>
            </w:pPr>
            <w:r>
              <w:rPr>
                <w:rFonts w:ascii="Times New Roman" w:hAnsi="Times New Roman" w:cs="Times New Roman"/>
                <w:color w:val="auto"/>
                <w:szCs w:val="21"/>
              </w:rPr>
              <w:t>硫化氢</w:t>
            </w:r>
          </w:p>
        </w:tc>
        <w:tc>
          <w:tcPr>
            <w:tcW w:w="3317" w:type="dxa"/>
            <w:tcBorders>
              <w:tl2br w:val="nil"/>
              <w:tr2bl w:val="nil"/>
            </w:tcBorders>
            <w:vAlign w:val="center"/>
          </w:tcPr>
          <w:p>
            <w:pPr>
              <w:spacing w:line="229" w:lineRule="exact"/>
              <w:jc w:val="center"/>
              <w:rPr>
                <w:rFonts w:ascii="Times New Roman" w:hAnsi="Times New Roman" w:cs="Times New Roman"/>
                <w:color w:val="auto"/>
                <w:szCs w:val="21"/>
              </w:rPr>
            </w:pPr>
            <w:r>
              <w:rPr>
                <w:rFonts w:ascii="Times New Roman" w:hAnsi="Times New Roman" w:cs="Times New Roman"/>
                <w:color w:val="auto"/>
                <w:szCs w:val="21"/>
              </w:rPr>
              <w:t>《空气和废气监测分析方法》（第四版增补版 国家环境保护总局2003年）（3.1.11.2 亚甲基蓝分光光度法）</w:t>
            </w:r>
          </w:p>
        </w:tc>
        <w:tc>
          <w:tcPr>
            <w:tcW w:w="1456" w:type="dxa"/>
            <w:tcBorders>
              <w:tl2br w:val="nil"/>
              <w:tr2bl w:val="nil"/>
            </w:tcBorders>
            <w:vAlign w:val="center"/>
          </w:tcPr>
          <w:p>
            <w:pPr>
              <w:spacing w:before="148" w:line="236" w:lineRule="exact"/>
              <w:jc w:val="center"/>
              <w:rPr>
                <w:rFonts w:ascii="Times New Roman" w:hAnsi="Times New Roman" w:cs="Times New Roman"/>
                <w:color w:val="auto"/>
                <w:szCs w:val="21"/>
              </w:rPr>
            </w:pPr>
            <w:r>
              <w:rPr>
                <w:rFonts w:ascii="Times New Roman" w:hAnsi="Times New Roman" w:cs="Times New Roman"/>
                <w:color w:val="auto"/>
                <w:szCs w:val="21"/>
              </w:rPr>
              <w:t>紫外可见分光光度计 UV752</w:t>
            </w:r>
          </w:p>
        </w:tc>
        <w:tc>
          <w:tcPr>
            <w:tcW w:w="888" w:type="dxa"/>
            <w:tcBorders>
              <w:tl2br w:val="nil"/>
              <w:tr2bl w:val="nil"/>
            </w:tcBorders>
            <w:vAlign w:val="center"/>
          </w:tcPr>
          <w:p>
            <w:pPr>
              <w:spacing w:line="304" w:lineRule="exact"/>
              <w:jc w:val="center"/>
              <w:rPr>
                <w:rFonts w:ascii="Times New Roman" w:hAnsi="Times New Roman" w:cs="Times New Roman"/>
                <w:color w:val="auto"/>
                <w:szCs w:val="21"/>
              </w:rPr>
            </w:pPr>
            <w:r>
              <w:rPr>
                <w:rFonts w:ascii="Times New Roman" w:hAnsi="Times New Roman" w:cs="Times New Roman"/>
                <w:color w:val="auto"/>
                <w:szCs w:val="21"/>
              </w:rPr>
              <w:t>0.001</w:t>
            </w:r>
          </w:p>
        </w:tc>
        <w:tc>
          <w:tcPr>
            <w:tcW w:w="803" w:type="dxa"/>
            <w:tcBorders>
              <w:tl2br w:val="nil"/>
              <w:tr2bl w:val="nil"/>
            </w:tcBorders>
            <w:vAlign w:val="center"/>
          </w:tcPr>
          <w:p>
            <w:pPr>
              <w:spacing w:line="211" w:lineRule="exact"/>
              <w:jc w:val="center"/>
              <w:rPr>
                <w:rFonts w:ascii="Times New Roman" w:hAnsi="Times New Roman" w:cs="Times New Roman"/>
                <w:color w:val="auto"/>
                <w:szCs w:val="21"/>
              </w:rPr>
            </w:pPr>
            <w:r>
              <w:rPr>
                <w:rFonts w:ascii="Times New Roman" w:hAnsi="Times New Roman" w:cs="Times New Roman"/>
                <w:color w:val="auto"/>
                <w:szCs w:val="21"/>
              </w:rPr>
              <w:t>mg/m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600" w:hRule="atLeast"/>
        </w:trPr>
        <w:tc>
          <w:tcPr>
            <w:tcW w:w="961" w:type="dxa"/>
            <w:vMerge w:val="restart"/>
            <w:tcBorders>
              <w:tl2br w:val="nil"/>
              <w:tr2bl w:val="nil"/>
            </w:tcBorders>
            <w:vAlign w:val="center"/>
          </w:tcPr>
          <w:p>
            <w:pPr>
              <w:spacing w:line="252" w:lineRule="exact"/>
              <w:jc w:val="center"/>
              <w:rPr>
                <w:rFonts w:ascii="Times New Roman" w:hAnsi="Times New Roman" w:cs="Times New Roman"/>
                <w:color w:val="auto"/>
                <w:szCs w:val="21"/>
              </w:rPr>
            </w:pPr>
            <w:r>
              <w:rPr>
                <w:rFonts w:ascii="Times New Roman" w:hAnsi="Times New Roman" w:cs="Times New Roman"/>
                <w:color w:val="auto"/>
                <w:szCs w:val="21"/>
              </w:rPr>
              <w:t>无组织废气</w:t>
            </w:r>
          </w:p>
        </w:tc>
        <w:tc>
          <w:tcPr>
            <w:tcW w:w="901" w:type="dxa"/>
            <w:tcBorders>
              <w:tl2br w:val="nil"/>
              <w:tr2bl w:val="nil"/>
            </w:tcBorders>
            <w:vAlign w:val="center"/>
          </w:tcPr>
          <w:p>
            <w:pPr>
              <w:spacing w:line="242" w:lineRule="exact"/>
              <w:jc w:val="center"/>
              <w:rPr>
                <w:rFonts w:ascii="Times New Roman" w:hAnsi="Times New Roman" w:cs="Times New Roman"/>
                <w:color w:val="auto"/>
                <w:szCs w:val="21"/>
              </w:rPr>
            </w:pPr>
            <w:r>
              <w:rPr>
                <w:rFonts w:ascii="Times New Roman" w:hAnsi="Times New Roman" w:cs="Times New Roman"/>
                <w:color w:val="auto"/>
                <w:szCs w:val="21"/>
              </w:rPr>
              <w:t>臭气浓度</w:t>
            </w:r>
          </w:p>
        </w:tc>
        <w:tc>
          <w:tcPr>
            <w:tcW w:w="3317" w:type="dxa"/>
            <w:tcBorders>
              <w:tl2br w:val="nil"/>
              <w:tr2bl w:val="nil"/>
            </w:tcBorders>
            <w:vAlign w:val="center"/>
          </w:tcPr>
          <w:p>
            <w:pPr>
              <w:spacing w:line="229" w:lineRule="exact"/>
              <w:jc w:val="center"/>
              <w:rPr>
                <w:rFonts w:ascii="Times New Roman" w:hAnsi="Times New Roman" w:cs="Times New Roman"/>
                <w:color w:val="auto"/>
                <w:szCs w:val="21"/>
              </w:rPr>
            </w:pPr>
            <w:r>
              <w:rPr>
                <w:rFonts w:ascii="Times New Roman" w:hAnsi="Times New Roman" w:cs="Times New Roman"/>
                <w:color w:val="auto"/>
                <w:szCs w:val="21"/>
              </w:rPr>
              <w:t>《空气质量 恶臭的测定 三点比较式臭袋法》GB／T14675-1993</w:t>
            </w:r>
          </w:p>
        </w:tc>
        <w:tc>
          <w:tcPr>
            <w:tcW w:w="1456" w:type="dxa"/>
            <w:tcBorders>
              <w:tl2br w:val="nil"/>
              <w:tr2bl w:val="nil"/>
            </w:tcBorders>
            <w:vAlign w:val="center"/>
          </w:tcPr>
          <w:p>
            <w:pPr>
              <w:spacing w:line="260" w:lineRule="exact"/>
              <w:jc w:val="center"/>
              <w:rPr>
                <w:rFonts w:ascii="Times New Roman" w:hAnsi="Times New Roman" w:cs="Times New Roman"/>
                <w:color w:val="auto"/>
                <w:szCs w:val="21"/>
              </w:rPr>
            </w:pPr>
            <w:r>
              <w:rPr>
                <w:rFonts w:ascii="Times New Roman" w:hAnsi="Times New Roman" w:cs="Times New Roman"/>
                <w:color w:val="auto"/>
                <w:szCs w:val="21"/>
              </w:rPr>
              <w:t>/</w:t>
            </w:r>
          </w:p>
        </w:tc>
        <w:tc>
          <w:tcPr>
            <w:tcW w:w="888" w:type="dxa"/>
            <w:tcBorders>
              <w:tl2br w:val="nil"/>
              <w:tr2bl w:val="nil"/>
            </w:tcBorders>
            <w:vAlign w:val="center"/>
          </w:tcPr>
          <w:p>
            <w:pPr>
              <w:spacing w:line="260" w:lineRule="exact"/>
              <w:jc w:val="center"/>
              <w:rPr>
                <w:rFonts w:ascii="Times New Roman" w:hAnsi="Times New Roman" w:cs="Times New Roman"/>
                <w:color w:val="auto"/>
                <w:szCs w:val="21"/>
              </w:rPr>
            </w:pPr>
            <w:r>
              <w:rPr>
                <w:rFonts w:ascii="Times New Roman" w:hAnsi="Times New Roman" w:cs="Times New Roman"/>
                <w:color w:val="auto"/>
                <w:szCs w:val="21"/>
              </w:rPr>
              <w:t>10</w:t>
            </w:r>
          </w:p>
        </w:tc>
        <w:tc>
          <w:tcPr>
            <w:tcW w:w="803" w:type="dxa"/>
            <w:tcBorders>
              <w:tl2br w:val="nil"/>
              <w:tr2bl w:val="nil"/>
            </w:tcBorders>
            <w:vAlign w:val="center"/>
          </w:tcPr>
          <w:p>
            <w:pPr>
              <w:spacing w:line="262" w:lineRule="exact"/>
              <w:jc w:val="center"/>
              <w:rPr>
                <w:rFonts w:ascii="Times New Roman" w:hAnsi="Times New Roman" w:cs="Times New Roman"/>
                <w:color w:val="auto"/>
                <w:szCs w:val="21"/>
              </w:rPr>
            </w:pPr>
            <w:r>
              <w:rPr>
                <w:rFonts w:ascii="Times New Roman" w:hAnsi="Times New Roman" w:cs="Times New Roman"/>
                <w:color w:val="auto"/>
                <w:szCs w:val="21"/>
              </w:rPr>
              <w:t>无量纲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600" w:hRule="atLeast"/>
        </w:trPr>
        <w:tc>
          <w:tcPr>
            <w:tcW w:w="961" w:type="dxa"/>
            <w:vMerge w:val="continue"/>
            <w:tcBorders>
              <w:tl2br w:val="nil"/>
              <w:tr2bl w:val="nil"/>
            </w:tcBorders>
            <w:vAlign w:val="center"/>
          </w:tcPr>
          <w:p>
            <w:pPr>
              <w:jc w:val="center"/>
              <w:rPr>
                <w:rFonts w:ascii="Times New Roman" w:hAnsi="Times New Roman" w:cs="Times New Roman"/>
                <w:color w:val="auto"/>
                <w:szCs w:val="21"/>
              </w:rPr>
            </w:pPr>
          </w:p>
        </w:tc>
        <w:tc>
          <w:tcPr>
            <w:tcW w:w="901" w:type="dxa"/>
            <w:tcBorders>
              <w:tl2br w:val="nil"/>
              <w:tr2bl w:val="nil"/>
            </w:tcBorders>
            <w:vAlign w:val="center"/>
          </w:tcPr>
          <w:p>
            <w:pPr>
              <w:spacing w:line="239" w:lineRule="exact"/>
              <w:jc w:val="center"/>
              <w:rPr>
                <w:rFonts w:ascii="Times New Roman" w:hAnsi="Times New Roman" w:cs="Times New Roman"/>
                <w:color w:val="auto"/>
                <w:szCs w:val="21"/>
              </w:rPr>
            </w:pPr>
            <w:r>
              <w:rPr>
                <w:rFonts w:ascii="Times New Roman" w:hAnsi="Times New Roman" w:cs="Times New Roman"/>
                <w:color w:val="auto"/>
                <w:szCs w:val="21"/>
              </w:rPr>
              <w:t>氨气</w:t>
            </w:r>
          </w:p>
        </w:tc>
        <w:tc>
          <w:tcPr>
            <w:tcW w:w="3317" w:type="dxa"/>
            <w:tcBorders>
              <w:tl2br w:val="nil"/>
              <w:tr2bl w:val="nil"/>
            </w:tcBorders>
            <w:vAlign w:val="center"/>
          </w:tcPr>
          <w:p>
            <w:pPr>
              <w:spacing w:before="3" w:line="229" w:lineRule="exact"/>
              <w:jc w:val="center"/>
              <w:rPr>
                <w:rFonts w:ascii="Times New Roman" w:hAnsi="Times New Roman" w:cs="Times New Roman"/>
                <w:color w:val="auto"/>
                <w:szCs w:val="21"/>
              </w:rPr>
            </w:pPr>
            <w:r>
              <w:rPr>
                <w:rFonts w:ascii="Times New Roman" w:hAnsi="Times New Roman" w:cs="Times New Roman"/>
                <w:color w:val="auto"/>
                <w:szCs w:val="21"/>
              </w:rPr>
              <w:t>《环境空气和废气 氨的测定 纳氏试剂分光光度法》HJ 533-2009</w:t>
            </w:r>
          </w:p>
        </w:tc>
        <w:tc>
          <w:tcPr>
            <w:tcW w:w="1456" w:type="dxa"/>
            <w:tcBorders>
              <w:tl2br w:val="nil"/>
              <w:tr2bl w:val="nil"/>
            </w:tcBorders>
            <w:vAlign w:val="center"/>
          </w:tcPr>
          <w:p>
            <w:pPr>
              <w:spacing w:line="236" w:lineRule="exact"/>
              <w:jc w:val="center"/>
              <w:rPr>
                <w:rFonts w:ascii="Times New Roman" w:hAnsi="Times New Roman" w:cs="Times New Roman"/>
                <w:color w:val="auto"/>
                <w:szCs w:val="21"/>
              </w:rPr>
            </w:pPr>
            <w:r>
              <w:rPr>
                <w:rFonts w:ascii="Times New Roman" w:hAnsi="Times New Roman" w:cs="Times New Roman"/>
                <w:color w:val="auto"/>
                <w:szCs w:val="21"/>
              </w:rPr>
              <w:t>紫外可见分光光度计 UV752</w:t>
            </w:r>
          </w:p>
        </w:tc>
        <w:tc>
          <w:tcPr>
            <w:tcW w:w="888" w:type="dxa"/>
            <w:tcBorders>
              <w:tl2br w:val="nil"/>
              <w:tr2bl w:val="nil"/>
            </w:tcBorders>
            <w:vAlign w:val="center"/>
          </w:tcPr>
          <w:p>
            <w:pPr>
              <w:spacing w:line="289" w:lineRule="exact"/>
              <w:jc w:val="center"/>
              <w:rPr>
                <w:rFonts w:ascii="Times New Roman" w:hAnsi="Times New Roman" w:cs="Times New Roman"/>
                <w:color w:val="auto"/>
                <w:szCs w:val="21"/>
              </w:rPr>
            </w:pPr>
            <w:r>
              <w:rPr>
                <w:rFonts w:ascii="Times New Roman" w:hAnsi="Times New Roman" w:cs="Times New Roman"/>
                <w:color w:val="auto"/>
                <w:szCs w:val="21"/>
              </w:rPr>
              <w:t>0.01</w:t>
            </w:r>
          </w:p>
        </w:tc>
        <w:tc>
          <w:tcPr>
            <w:tcW w:w="803" w:type="dxa"/>
            <w:tcBorders>
              <w:tl2br w:val="nil"/>
              <w:tr2bl w:val="nil"/>
            </w:tcBorders>
            <w:vAlign w:val="center"/>
          </w:tcPr>
          <w:p>
            <w:pPr>
              <w:spacing w:line="211" w:lineRule="exact"/>
              <w:jc w:val="center"/>
              <w:rPr>
                <w:rFonts w:ascii="Times New Roman" w:hAnsi="Times New Roman" w:cs="Times New Roman"/>
                <w:color w:val="auto"/>
                <w:szCs w:val="21"/>
              </w:rPr>
            </w:pPr>
            <w:r>
              <w:rPr>
                <w:rFonts w:ascii="Times New Roman" w:hAnsi="Times New Roman" w:cs="Times New Roman"/>
                <w:color w:val="auto"/>
                <w:szCs w:val="21"/>
              </w:rPr>
              <w:t>mg/m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920" w:hRule="atLeast"/>
        </w:trPr>
        <w:tc>
          <w:tcPr>
            <w:tcW w:w="961" w:type="dxa"/>
            <w:vMerge w:val="continue"/>
            <w:tcBorders>
              <w:tl2br w:val="nil"/>
              <w:tr2bl w:val="nil"/>
            </w:tcBorders>
            <w:vAlign w:val="center"/>
          </w:tcPr>
          <w:p>
            <w:pPr>
              <w:jc w:val="center"/>
              <w:rPr>
                <w:rFonts w:ascii="Times New Roman" w:hAnsi="Times New Roman" w:cs="Times New Roman"/>
                <w:color w:val="auto"/>
                <w:szCs w:val="21"/>
              </w:rPr>
            </w:pPr>
          </w:p>
        </w:tc>
        <w:tc>
          <w:tcPr>
            <w:tcW w:w="901" w:type="dxa"/>
            <w:tcBorders>
              <w:tl2br w:val="nil"/>
              <w:tr2bl w:val="nil"/>
            </w:tcBorders>
            <w:vAlign w:val="center"/>
          </w:tcPr>
          <w:p>
            <w:pPr>
              <w:spacing w:line="262" w:lineRule="exact"/>
              <w:jc w:val="center"/>
              <w:rPr>
                <w:rFonts w:ascii="Times New Roman" w:hAnsi="Times New Roman" w:cs="Times New Roman"/>
                <w:color w:val="auto"/>
                <w:szCs w:val="21"/>
              </w:rPr>
            </w:pPr>
            <w:r>
              <w:rPr>
                <w:rFonts w:ascii="Times New Roman" w:hAnsi="Times New Roman" w:cs="Times New Roman"/>
                <w:color w:val="auto"/>
                <w:szCs w:val="21"/>
              </w:rPr>
              <w:t>硫化氢</w:t>
            </w:r>
          </w:p>
        </w:tc>
        <w:tc>
          <w:tcPr>
            <w:tcW w:w="3317" w:type="dxa"/>
            <w:tcBorders>
              <w:tl2br w:val="nil"/>
              <w:tr2bl w:val="nil"/>
            </w:tcBorders>
            <w:vAlign w:val="center"/>
          </w:tcPr>
          <w:p>
            <w:pPr>
              <w:spacing w:line="244" w:lineRule="exact"/>
              <w:jc w:val="center"/>
              <w:rPr>
                <w:rFonts w:ascii="Times New Roman" w:hAnsi="Times New Roman" w:cs="Times New Roman"/>
                <w:color w:val="auto"/>
                <w:szCs w:val="21"/>
              </w:rPr>
            </w:pPr>
            <w:r>
              <w:rPr>
                <w:rFonts w:ascii="Times New Roman" w:hAnsi="Times New Roman" w:cs="Times New Roman"/>
                <w:color w:val="auto"/>
                <w:szCs w:val="21"/>
              </w:rPr>
              <w:t>《空气和废气监测分析方法》（第四版增补版 国家环境保护总局2003年）（3.1.11.2 亚甲基蓝分光光</w:t>
            </w:r>
          </w:p>
          <w:p>
            <w:pPr>
              <w:spacing w:line="269" w:lineRule="exact"/>
              <w:jc w:val="center"/>
              <w:rPr>
                <w:rFonts w:ascii="Times New Roman" w:hAnsi="Times New Roman" w:cs="Times New Roman"/>
                <w:color w:val="auto"/>
                <w:szCs w:val="21"/>
              </w:rPr>
            </w:pPr>
            <w:r>
              <w:rPr>
                <w:rFonts w:ascii="Times New Roman" w:hAnsi="Times New Roman" w:cs="Times New Roman"/>
                <w:color w:val="auto"/>
                <w:szCs w:val="21"/>
              </w:rPr>
              <w:t>度法）</w:t>
            </w:r>
          </w:p>
        </w:tc>
        <w:tc>
          <w:tcPr>
            <w:tcW w:w="1456" w:type="dxa"/>
            <w:tcBorders>
              <w:tl2br w:val="nil"/>
              <w:tr2bl w:val="nil"/>
            </w:tcBorders>
            <w:vAlign w:val="center"/>
          </w:tcPr>
          <w:p>
            <w:pPr>
              <w:spacing w:before="160" w:line="236" w:lineRule="exact"/>
              <w:jc w:val="center"/>
              <w:rPr>
                <w:rFonts w:ascii="Times New Roman" w:hAnsi="Times New Roman" w:cs="Times New Roman"/>
                <w:color w:val="auto"/>
                <w:szCs w:val="21"/>
              </w:rPr>
            </w:pPr>
            <w:r>
              <w:rPr>
                <w:rFonts w:ascii="Times New Roman" w:hAnsi="Times New Roman" w:cs="Times New Roman"/>
                <w:color w:val="auto"/>
                <w:szCs w:val="21"/>
              </w:rPr>
              <w:t>紫外可见分光光度计UV752</w:t>
            </w:r>
          </w:p>
        </w:tc>
        <w:tc>
          <w:tcPr>
            <w:tcW w:w="888" w:type="dxa"/>
            <w:tcBorders>
              <w:tl2br w:val="nil"/>
              <w:tr2bl w:val="nil"/>
            </w:tcBorders>
            <w:vAlign w:val="center"/>
          </w:tcPr>
          <w:p>
            <w:pPr>
              <w:spacing w:line="304" w:lineRule="exact"/>
              <w:jc w:val="center"/>
              <w:rPr>
                <w:rFonts w:ascii="Times New Roman" w:hAnsi="Times New Roman" w:cs="Times New Roman"/>
                <w:color w:val="auto"/>
                <w:szCs w:val="21"/>
              </w:rPr>
            </w:pPr>
            <w:r>
              <w:rPr>
                <w:rFonts w:ascii="Times New Roman" w:hAnsi="Times New Roman" w:cs="Times New Roman"/>
                <w:color w:val="auto"/>
                <w:szCs w:val="21"/>
              </w:rPr>
              <w:t>0.001</w:t>
            </w:r>
          </w:p>
        </w:tc>
        <w:tc>
          <w:tcPr>
            <w:tcW w:w="803" w:type="dxa"/>
            <w:tcBorders>
              <w:tl2br w:val="nil"/>
              <w:tr2bl w:val="nil"/>
            </w:tcBorders>
            <w:vAlign w:val="center"/>
          </w:tcPr>
          <w:p>
            <w:pPr>
              <w:spacing w:line="199" w:lineRule="exact"/>
              <w:jc w:val="center"/>
              <w:rPr>
                <w:rFonts w:ascii="Times New Roman" w:hAnsi="Times New Roman" w:cs="Times New Roman"/>
                <w:color w:val="auto"/>
                <w:szCs w:val="21"/>
              </w:rPr>
            </w:pPr>
            <w:r>
              <w:rPr>
                <w:rFonts w:ascii="Times New Roman" w:hAnsi="Times New Roman" w:cs="Times New Roman"/>
                <w:color w:val="auto"/>
                <w:szCs w:val="21"/>
              </w:rPr>
              <w:t>mg/m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600" w:hRule="atLeast"/>
        </w:trPr>
        <w:tc>
          <w:tcPr>
            <w:tcW w:w="961" w:type="dxa"/>
            <w:vMerge w:val="continue"/>
            <w:tcBorders>
              <w:tl2br w:val="nil"/>
              <w:tr2bl w:val="nil"/>
            </w:tcBorders>
            <w:vAlign w:val="center"/>
          </w:tcPr>
          <w:p>
            <w:pPr>
              <w:jc w:val="center"/>
              <w:rPr>
                <w:rFonts w:ascii="Times New Roman" w:hAnsi="Times New Roman" w:cs="Times New Roman"/>
                <w:color w:val="auto"/>
                <w:szCs w:val="21"/>
              </w:rPr>
            </w:pPr>
          </w:p>
        </w:tc>
        <w:tc>
          <w:tcPr>
            <w:tcW w:w="901" w:type="dxa"/>
            <w:tcBorders>
              <w:tl2br w:val="nil"/>
              <w:tr2bl w:val="nil"/>
            </w:tcBorders>
            <w:vAlign w:val="center"/>
          </w:tcPr>
          <w:p>
            <w:pPr>
              <w:spacing w:line="228" w:lineRule="exact"/>
              <w:jc w:val="center"/>
              <w:rPr>
                <w:rFonts w:ascii="Times New Roman" w:hAnsi="Times New Roman" w:cs="Times New Roman"/>
                <w:color w:val="auto"/>
                <w:szCs w:val="21"/>
              </w:rPr>
            </w:pPr>
            <w:r>
              <w:rPr>
                <w:rFonts w:ascii="Times New Roman" w:hAnsi="Times New Roman" w:cs="Times New Roman"/>
                <w:color w:val="auto"/>
                <w:szCs w:val="21"/>
              </w:rPr>
              <w:t>非甲烷总</w:t>
            </w:r>
          </w:p>
          <w:p>
            <w:pPr>
              <w:spacing w:line="249" w:lineRule="exact"/>
              <w:jc w:val="center"/>
              <w:rPr>
                <w:rFonts w:ascii="Times New Roman" w:hAnsi="Times New Roman" w:cs="Times New Roman"/>
                <w:color w:val="auto"/>
                <w:szCs w:val="21"/>
              </w:rPr>
            </w:pPr>
            <w:r>
              <w:rPr>
                <w:rFonts w:ascii="Times New Roman" w:hAnsi="Times New Roman" w:cs="Times New Roman"/>
                <w:color w:val="auto"/>
                <w:szCs w:val="21"/>
              </w:rPr>
              <w:t>烃</w:t>
            </w:r>
          </w:p>
        </w:tc>
        <w:tc>
          <w:tcPr>
            <w:tcW w:w="3317" w:type="dxa"/>
            <w:tcBorders>
              <w:tl2br w:val="nil"/>
              <w:tr2bl w:val="nil"/>
            </w:tcBorders>
            <w:vAlign w:val="center"/>
          </w:tcPr>
          <w:p>
            <w:pPr>
              <w:spacing w:line="229" w:lineRule="exact"/>
              <w:jc w:val="center"/>
              <w:rPr>
                <w:rFonts w:ascii="Times New Roman" w:hAnsi="Times New Roman" w:cs="Times New Roman"/>
                <w:color w:val="auto"/>
                <w:szCs w:val="21"/>
              </w:rPr>
            </w:pPr>
            <w:r>
              <w:rPr>
                <w:rFonts w:ascii="Times New Roman" w:hAnsi="Times New Roman" w:cs="Times New Roman"/>
                <w:color w:val="auto"/>
                <w:szCs w:val="21"/>
              </w:rPr>
              <w:t>《环境空气 总烃、甲烷和非甲烷总烃的测定 直接进样-气相色谱法》HJ 604-2017</w:t>
            </w:r>
          </w:p>
        </w:tc>
        <w:tc>
          <w:tcPr>
            <w:tcW w:w="1456" w:type="dxa"/>
            <w:tcBorders>
              <w:tl2br w:val="nil"/>
              <w:tr2bl w:val="nil"/>
            </w:tcBorders>
            <w:vAlign w:val="center"/>
          </w:tcPr>
          <w:p>
            <w:pPr>
              <w:spacing w:line="236" w:lineRule="exact"/>
              <w:jc w:val="center"/>
              <w:rPr>
                <w:rFonts w:ascii="Times New Roman" w:hAnsi="Times New Roman" w:cs="Times New Roman"/>
                <w:color w:val="auto"/>
                <w:szCs w:val="21"/>
              </w:rPr>
            </w:pPr>
            <w:r>
              <w:rPr>
                <w:rFonts w:ascii="Times New Roman" w:hAnsi="Times New Roman" w:cs="Times New Roman"/>
                <w:color w:val="auto"/>
                <w:szCs w:val="21"/>
              </w:rPr>
              <w:t>气相色谱仪PANNA A60</w:t>
            </w:r>
          </w:p>
        </w:tc>
        <w:tc>
          <w:tcPr>
            <w:tcW w:w="888" w:type="dxa"/>
            <w:tcBorders>
              <w:tl2br w:val="nil"/>
              <w:tr2bl w:val="nil"/>
            </w:tcBorders>
            <w:vAlign w:val="center"/>
          </w:tcPr>
          <w:p>
            <w:pPr>
              <w:spacing w:line="272" w:lineRule="exact"/>
              <w:jc w:val="center"/>
              <w:rPr>
                <w:rFonts w:ascii="Times New Roman" w:hAnsi="Times New Roman" w:cs="Times New Roman"/>
                <w:color w:val="auto"/>
                <w:szCs w:val="21"/>
              </w:rPr>
            </w:pPr>
            <w:r>
              <w:rPr>
                <w:rFonts w:ascii="Times New Roman" w:hAnsi="Times New Roman" w:cs="Times New Roman"/>
                <w:color w:val="auto"/>
                <w:szCs w:val="21"/>
              </w:rPr>
              <w:t>0.07</w:t>
            </w:r>
          </w:p>
        </w:tc>
        <w:tc>
          <w:tcPr>
            <w:tcW w:w="803" w:type="dxa"/>
            <w:tcBorders>
              <w:tl2br w:val="nil"/>
              <w:tr2bl w:val="nil"/>
            </w:tcBorders>
            <w:vAlign w:val="center"/>
          </w:tcPr>
          <w:p>
            <w:pPr>
              <w:spacing w:line="252" w:lineRule="exact"/>
              <w:jc w:val="center"/>
              <w:rPr>
                <w:rFonts w:ascii="Times New Roman" w:hAnsi="Times New Roman" w:cs="Times New Roman"/>
                <w:color w:val="auto"/>
                <w:szCs w:val="21"/>
              </w:rPr>
            </w:pPr>
            <w:r>
              <w:rPr>
                <w:rFonts w:ascii="Times New Roman" w:hAnsi="Times New Roman" w:cs="Times New Roman"/>
                <w:color w:val="auto"/>
                <w:szCs w:val="21"/>
              </w:rPr>
              <w:t>mg/㎡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600" w:hRule="atLeast"/>
          <w:jc w:val="center"/>
        </w:trPr>
        <w:tc>
          <w:tcPr>
            <w:tcW w:w="961" w:type="dxa"/>
            <w:vMerge w:val="restart"/>
            <w:tcBorders>
              <w:tl2br w:val="nil"/>
              <w:tr2bl w:val="nil"/>
            </w:tcBorders>
            <w:vAlign w:val="center"/>
          </w:tcPr>
          <w:p>
            <w:pPr>
              <w:jc w:val="center"/>
              <w:rPr>
                <w:rFonts w:ascii="Times New Roman" w:hAnsi="Times New Roman" w:cs="Times New Roman"/>
                <w:color w:val="auto"/>
                <w:szCs w:val="21"/>
              </w:rPr>
            </w:pPr>
          </w:p>
        </w:tc>
        <w:tc>
          <w:tcPr>
            <w:tcW w:w="901" w:type="dxa"/>
            <w:tcBorders>
              <w:tl2br w:val="nil"/>
              <w:tr2bl w:val="nil"/>
            </w:tcBorders>
            <w:vAlign w:val="center"/>
          </w:tcPr>
          <w:p>
            <w:pPr>
              <w:spacing w:line="210" w:lineRule="exact"/>
              <w:jc w:val="center"/>
              <w:rPr>
                <w:rFonts w:ascii="Times New Roman" w:hAnsi="Times New Roman" w:cs="Times New Roman"/>
                <w:color w:val="auto"/>
                <w:szCs w:val="21"/>
              </w:rPr>
            </w:pPr>
            <w:r>
              <w:rPr>
                <w:rFonts w:ascii="Times New Roman" w:hAnsi="Times New Roman" w:cs="Times New Roman"/>
                <w:color w:val="auto"/>
                <w:szCs w:val="21"/>
              </w:rPr>
              <w:t>苯酚</w:t>
            </w:r>
          </w:p>
        </w:tc>
        <w:tc>
          <w:tcPr>
            <w:tcW w:w="3317" w:type="dxa"/>
            <w:tcBorders>
              <w:tl2br w:val="nil"/>
              <w:tr2bl w:val="nil"/>
            </w:tcBorders>
            <w:vAlign w:val="center"/>
          </w:tcPr>
          <w:p>
            <w:pPr>
              <w:spacing w:line="244" w:lineRule="exact"/>
              <w:jc w:val="center"/>
              <w:rPr>
                <w:rFonts w:ascii="Times New Roman" w:hAnsi="Times New Roman" w:cs="Times New Roman"/>
                <w:color w:val="auto"/>
                <w:szCs w:val="21"/>
              </w:rPr>
            </w:pPr>
            <w:r>
              <w:rPr>
                <w:rFonts w:ascii="Times New Roman" w:hAnsi="Times New Roman" w:cs="Times New Roman"/>
                <w:color w:val="auto"/>
                <w:szCs w:val="21"/>
              </w:rPr>
              <w:t>《固定污染源排气中酚类化合物的测定 4-氨基安替比林分光光度法》HJ／T 32-1999</w:t>
            </w:r>
          </w:p>
        </w:tc>
        <w:tc>
          <w:tcPr>
            <w:tcW w:w="1456" w:type="dxa"/>
            <w:tcBorders>
              <w:tl2br w:val="nil"/>
              <w:tr2bl w:val="nil"/>
            </w:tcBorders>
            <w:vAlign w:val="center"/>
          </w:tcPr>
          <w:p>
            <w:pPr>
              <w:spacing w:line="205" w:lineRule="exact"/>
              <w:jc w:val="center"/>
              <w:rPr>
                <w:rFonts w:ascii="Times New Roman" w:hAnsi="Times New Roman" w:cs="Times New Roman"/>
                <w:color w:val="auto"/>
                <w:szCs w:val="21"/>
              </w:rPr>
            </w:pPr>
            <w:r>
              <w:rPr>
                <w:rFonts w:ascii="Times New Roman" w:hAnsi="Times New Roman" w:cs="Times New Roman"/>
                <w:color w:val="auto"/>
                <w:szCs w:val="21"/>
              </w:rPr>
              <w:t>紫外可见分光光度计UV752</w:t>
            </w:r>
          </w:p>
        </w:tc>
        <w:tc>
          <w:tcPr>
            <w:tcW w:w="888" w:type="dxa"/>
            <w:tcBorders>
              <w:tl2br w:val="nil"/>
              <w:tr2bl w:val="nil"/>
            </w:tcBorders>
            <w:vAlign w:val="center"/>
          </w:tcPr>
          <w:p>
            <w:pPr>
              <w:spacing w:line="219" w:lineRule="exact"/>
              <w:jc w:val="center"/>
              <w:rPr>
                <w:rFonts w:ascii="Times New Roman" w:hAnsi="Times New Roman" w:cs="Times New Roman"/>
                <w:color w:val="auto"/>
                <w:szCs w:val="21"/>
              </w:rPr>
            </w:pPr>
            <w:r>
              <w:rPr>
                <w:rFonts w:ascii="Times New Roman" w:hAnsi="Times New Roman" w:cs="Times New Roman"/>
                <w:color w:val="auto"/>
                <w:szCs w:val="21"/>
              </w:rPr>
              <w:t>0.03</w:t>
            </w:r>
          </w:p>
        </w:tc>
        <w:tc>
          <w:tcPr>
            <w:tcW w:w="803" w:type="dxa"/>
            <w:tcBorders>
              <w:tl2br w:val="nil"/>
              <w:tr2bl w:val="nil"/>
            </w:tcBorders>
            <w:vAlign w:val="center"/>
          </w:tcPr>
          <w:p>
            <w:pPr>
              <w:spacing w:line="203" w:lineRule="exact"/>
              <w:jc w:val="center"/>
              <w:rPr>
                <w:rFonts w:ascii="Times New Roman" w:hAnsi="Times New Roman" w:cs="Times New Roman"/>
                <w:color w:val="auto"/>
                <w:szCs w:val="21"/>
              </w:rPr>
            </w:pPr>
            <w:r>
              <w:rPr>
                <w:rFonts w:ascii="Times New Roman" w:hAnsi="Times New Roman" w:cs="Times New Roman"/>
                <w:color w:val="auto"/>
                <w:szCs w:val="21"/>
              </w:rPr>
              <w:t>mg/m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600" w:hRule="atLeast"/>
          <w:jc w:val="center"/>
        </w:trPr>
        <w:tc>
          <w:tcPr>
            <w:tcW w:w="961" w:type="dxa"/>
            <w:vMerge w:val="continue"/>
            <w:tcBorders>
              <w:tl2br w:val="nil"/>
              <w:tr2bl w:val="nil"/>
            </w:tcBorders>
            <w:vAlign w:val="center"/>
          </w:tcPr>
          <w:p>
            <w:pPr>
              <w:jc w:val="center"/>
              <w:rPr>
                <w:rFonts w:ascii="Times New Roman" w:hAnsi="Times New Roman" w:cs="Times New Roman"/>
                <w:color w:val="auto"/>
                <w:szCs w:val="21"/>
              </w:rPr>
            </w:pPr>
          </w:p>
        </w:tc>
        <w:tc>
          <w:tcPr>
            <w:tcW w:w="901" w:type="dxa"/>
            <w:tcBorders>
              <w:tl2br w:val="nil"/>
              <w:tr2bl w:val="nil"/>
            </w:tcBorders>
            <w:vAlign w:val="center"/>
          </w:tcPr>
          <w:p>
            <w:pPr>
              <w:spacing w:line="203" w:lineRule="exact"/>
              <w:jc w:val="center"/>
              <w:rPr>
                <w:rFonts w:ascii="Times New Roman" w:hAnsi="Times New Roman" w:cs="Times New Roman"/>
                <w:color w:val="auto"/>
                <w:szCs w:val="21"/>
              </w:rPr>
            </w:pPr>
            <w:r>
              <w:rPr>
                <w:rFonts w:ascii="Times New Roman" w:hAnsi="Times New Roman" w:cs="Times New Roman"/>
                <w:color w:val="auto"/>
                <w:szCs w:val="21"/>
              </w:rPr>
              <w:t>＊甲醇</w:t>
            </w:r>
          </w:p>
        </w:tc>
        <w:tc>
          <w:tcPr>
            <w:tcW w:w="3317" w:type="dxa"/>
            <w:tcBorders>
              <w:tl2br w:val="nil"/>
              <w:tr2bl w:val="nil"/>
            </w:tcBorders>
            <w:vAlign w:val="center"/>
          </w:tcPr>
          <w:p>
            <w:pPr>
              <w:spacing w:line="229" w:lineRule="exact"/>
              <w:jc w:val="center"/>
              <w:rPr>
                <w:rFonts w:ascii="Times New Roman" w:hAnsi="Times New Roman" w:cs="Times New Roman"/>
                <w:color w:val="auto"/>
                <w:szCs w:val="21"/>
              </w:rPr>
            </w:pPr>
            <w:r>
              <w:rPr>
                <w:rFonts w:ascii="Times New Roman" w:hAnsi="Times New Roman" w:cs="Times New Roman"/>
                <w:color w:val="auto"/>
                <w:szCs w:val="21"/>
              </w:rPr>
              <w:t>《空气和废气监测分析方法》（第四版 增补版 国家环境保护总局2003年）（6.1.6.2 变色酸比色法）</w:t>
            </w:r>
          </w:p>
        </w:tc>
        <w:tc>
          <w:tcPr>
            <w:tcW w:w="1456" w:type="dxa"/>
            <w:tcBorders>
              <w:tl2br w:val="nil"/>
              <w:tr2bl w:val="nil"/>
            </w:tcBorders>
            <w:vAlign w:val="center"/>
          </w:tcPr>
          <w:p>
            <w:pPr>
              <w:spacing w:line="219" w:lineRule="exact"/>
              <w:jc w:val="center"/>
              <w:rPr>
                <w:rFonts w:ascii="Times New Roman" w:hAnsi="Times New Roman" w:cs="Times New Roman"/>
                <w:color w:val="auto"/>
                <w:szCs w:val="21"/>
              </w:rPr>
            </w:pPr>
            <w:r>
              <w:rPr>
                <w:rFonts w:ascii="Times New Roman" w:hAnsi="Times New Roman" w:cs="Times New Roman"/>
                <w:color w:val="auto"/>
                <w:szCs w:val="21"/>
              </w:rPr>
              <w:t>722N可见度计</w:t>
            </w:r>
          </w:p>
        </w:tc>
        <w:tc>
          <w:tcPr>
            <w:tcW w:w="888" w:type="dxa"/>
            <w:tcBorders>
              <w:tl2br w:val="nil"/>
              <w:tr2bl w:val="nil"/>
            </w:tcBorders>
            <w:vAlign w:val="center"/>
          </w:tcPr>
          <w:p>
            <w:pPr>
              <w:spacing w:before="12" w:line="205" w:lineRule="exact"/>
              <w:jc w:val="center"/>
              <w:rPr>
                <w:rFonts w:ascii="Times New Roman" w:hAnsi="Times New Roman" w:cs="Times New Roman"/>
                <w:color w:val="auto"/>
                <w:szCs w:val="21"/>
              </w:rPr>
            </w:pPr>
            <w:r>
              <w:rPr>
                <w:rFonts w:ascii="Times New Roman" w:hAnsi="Times New Roman" w:cs="Times New Roman"/>
                <w:color w:val="auto"/>
                <w:szCs w:val="21"/>
              </w:rPr>
              <w:t>0.3</w:t>
            </w:r>
          </w:p>
        </w:tc>
        <w:tc>
          <w:tcPr>
            <w:tcW w:w="803" w:type="dxa"/>
            <w:tcBorders>
              <w:tl2br w:val="nil"/>
              <w:tr2bl w:val="nil"/>
            </w:tcBorders>
            <w:vAlign w:val="center"/>
          </w:tcPr>
          <w:p>
            <w:pPr>
              <w:spacing w:line="203" w:lineRule="exact"/>
              <w:jc w:val="center"/>
              <w:rPr>
                <w:rFonts w:ascii="Times New Roman" w:hAnsi="Times New Roman" w:cs="Times New Roman"/>
                <w:color w:val="auto"/>
                <w:szCs w:val="21"/>
              </w:rPr>
            </w:pPr>
            <w:r>
              <w:rPr>
                <w:rFonts w:ascii="Times New Roman" w:hAnsi="Times New Roman" w:cs="Times New Roman"/>
                <w:color w:val="auto"/>
                <w:szCs w:val="21"/>
              </w:rPr>
              <w:t>mg/㎡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620" w:hRule="atLeast"/>
          <w:jc w:val="center"/>
        </w:trPr>
        <w:tc>
          <w:tcPr>
            <w:tcW w:w="961" w:type="dxa"/>
            <w:vMerge w:val="continue"/>
            <w:tcBorders>
              <w:tl2br w:val="nil"/>
              <w:tr2bl w:val="nil"/>
            </w:tcBorders>
            <w:vAlign w:val="center"/>
          </w:tcPr>
          <w:p>
            <w:pPr>
              <w:jc w:val="center"/>
              <w:rPr>
                <w:rFonts w:ascii="Times New Roman" w:hAnsi="Times New Roman" w:cs="Times New Roman"/>
                <w:color w:val="auto"/>
                <w:szCs w:val="21"/>
              </w:rPr>
            </w:pPr>
          </w:p>
        </w:tc>
        <w:tc>
          <w:tcPr>
            <w:tcW w:w="901" w:type="dxa"/>
            <w:tcBorders>
              <w:tl2br w:val="nil"/>
              <w:tr2bl w:val="nil"/>
            </w:tcBorders>
            <w:vAlign w:val="center"/>
          </w:tcPr>
          <w:p>
            <w:pPr>
              <w:spacing w:line="210" w:lineRule="exact"/>
              <w:jc w:val="center"/>
              <w:rPr>
                <w:rFonts w:ascii="Times New Roman" w:hAnsi="Times New Roman" w:cs="Times New Roman"/>
                <w:color w:val="auto"/>
                <w:szCs w:val="21"/>
              </w:rPr>
            </w:pPr>
            <w:r>
              <w:rPr>
                <w:rFonts w:ascii="Times New Roman" w:hAnsi="Times New Roman" w:cs="Times New Roman"/>
                <w:color w:val="auto"/>
                <w:szCs w:val="21"/>
              </w:rPr>
              <w:t>甲醛</w:t>
            </w:r>
          </w:p>
        </w:tc>
        <w:tc>
          <w:tcPr>
            <w:tcW w:w="3317" w:type="dxa"/>
            <w:tcBorders>
              <w:tl2br w:val="nil"/>
              <w:tr2bl w:val="nil"/>
            </w:tcBorders>
            <w:vAlign w:val="center"/>
          </w:tcPr>
          <w:p>
            <w:pPr>
              <w:spacing w:line="229" w:lineRule="exact"/>
              <w:jc w:val="center"/>
              <w:rPr>
                <w:rFonts w:ascii="Times New Roman" w:hAnsi="Times New Roman" w:cs="Times New Roman"/>
                <w:color w:val="auto"/>
                <w:szCs w:val="21"/>
              </w:rPr>
            </w:pPr>
            <w:r>
              <w:rPr>
                <w:rFonts w:ascii="Times New Roman" w:hAnsi="Times New Roman" w:cs="Times New Roman"/>
                <w:color w:val="auto"/>
                <w:szCs w:val="21"/>
              </w:rPr>
              <w:t>《空气质量 甲醛的测定 乙酰丙酮分光光度法》</w:t>
            </w:r>
          </w:p>
          <w:p>
            <w:pPr>
              <w:spacing w:line="229" w:lineRule="exact"/>
              <w:jc w:val="center"/>
              <w:rPr>
                <w:rFonts w:ascii="Times New Roman" w:hAnsi="Times New Roman" w:cs="Times New Roman"/>
                <w:color w:val="auto"/>
                <w:szCs w:val="21"/>
              </w:rPr>
            </w:pPr>
            <w:r>
              <w:rPr>
                <w:rFonts w:ascii="Times New Roman" w:hAnsi="Times New Roman" w:cs="Times New Roman"/>
                <w:color w:val="auto"/>
                <w:szCs w:val="21"/>
              </w:rPr>
              <w:t>GB/T 15516-1995;</w:t>
            </w:r>
          </w:p>
        </w:tc>
        <w:tc>
          <w:tcPr>
            <w:tcW w:w="1456" w:type="dxa"/>
            <w:tcBorders>
              <w:tl2br w:val="nil"/>
              <w:tr2bl w:val="nil"/>
            </w:tcBorders>
            <w:vAlign w:val="center"/>
          </w:tcPr>
          <w:p>
            <w:pPr>
              <w:spacing w:before="12" w:line="205" w:lineRule="exact"/>
              <w:jc w:val="center"/>
              <w:rPr>
                <w:rFonts w:ascii="Times New Roman" w:hAnsi="Times New Roman" w:cs="Times New Roman"/>
                <w:color w:val="auto"/>
                <w:szCs w:val="21"/>
              </w:rPr>
            </w:pPr>
            <w:r>
              <w:rPr>
                <w:rFonts w:ascii="Times New Roman" w:hAnsi="Times New Roman" w:cs="Times New Roman"/>
                <w:color w:val="auto"/>
                <w:szCs w:val="21"/>
              </w:rPr>
              <w:t>紫外可见分光光度计UV752</w:t>
            </w:r>
          </w:p>
        </w:tc>
        <w:tc>
          <w:tcPr>
            <w:tcW w:w="888" w:type="dxa"/>
            <w:tcBorders>
              <w:tl2br w:val="nil"/>
              <w:tr2bl w:val="nil"/>
            </w:tcBorders>
            <w:vAlign w:val="center"/>
          </w:tcPr>
          <w:p>
            <w:pPr>
              <w:spacing w:before="12" w:line="205" w:lineRule="exact"/>
              <w:jc w:val="center"/>
              <w:rPr>
                <w:rFonts w:ascii="Times New Roman" w:hAnsi="Times New Roman" w:cs="Times New Roman"/>
                <w:color w:val="auto"/>
                <w:szCs w:val="21"/>
              </w:rPr>
            </w:pPr>
            <w:r>
              <w:rPr>
                <w:rFonts w:ascii="Times New Roman" w:hAnsi="Times New Roman" w:cs="Times New Roman"/>
                <w:color w:val="auto"/>
                <w:szCs w:val="21"/>
              </w:rPr>
              <w:t>0.5</w:t>
            </w:r>
          </w:p>
        </w:tc>
        <w:tc>
          <w:tcPr>
            <w:tcW w:w="803" w:type="dxa"/>
            <w:tcBorders>
              <w:tl2br w:val="nil"/>
              <w:tr2bl w:val="nil"/>
            </w:tcBorders>
            <w:vAlign w:val="center"/>
          </w:tcPr>
          <w:p>
            <w:pPr>
              <w:spacing w:line="160" w:lineRule="exact"/>
              <w:jc w:val="center"/>
              <w:rPr>
                <w:rFonts w:ascii="Times New Roman" w:hAnsi="Times New Roman" w:cs="Times New Roman"/>
                <w:color w:val="auto"/>
                <w:szCs w:val="21"/>
              </w:rPr>
            </w:pPr>
            <w:r>
              <w:rPr>
                <w:rFonts w:ascii="Times New Roman" w:hAnsi="Times New Roman" w:cs="Times New Roman"/>
                <w:color w:val="auto"/>
                <w:szCs w:val="21"/>
              </w:rPr>
              <w:t>mg/m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600" w:hRule="atLeast"/>
          <w:jc w:val="center"/>
        </w:trPr>
        <w:tc>
          <w:tcPr>
            <w:tcW w:w="961" w:type="dxa"/>
            <w:tcBorders>
              <w:tl2br w:val="nil"/>
              <w:tr2bl w:val="nil"/>
            </w:tcBorders>
            <w:vAlign w:val="center"/>
          </w:tcPr>
          <w:p>
            <w:pPr>
              <w:spacing w:line="210" w:lineRule="exact"/>
              <w:jc w:val="center"/>
              <w:rPr>
                <w:rFonts w:ascii="Times New Roman" w:hAnsi="Times New Roman" w:cs="Times New Roman"/>
                <w:color w:val="auto"/>
                <w:szCs w:val="21"/>
              </w:rPr>
            </w:pPr>
            <w:r>
              <w:rPr>
                <w:rFonts w:ascii="Times New Roman" w:hAnsi="Times New Roman" w:cs="Times New Roman"/>
                <w:color w:val="auto"/>
                <w:szCs w:val="21"/>
              </w:rPr>
              <w:t>噪声</w:t>
            </w:r>
          </w:p>
        </w:tc>
        <w:tc>
          <w:tcPr>
            <w:tcW w:w="901" w:type="dxa"/>
            <w:tcBorders>
              <w:tl2br w:val="nil"/>
              <w:tr2bl w:val="nil"/>
            </w:tcBorders>
            <w:vAlign w:val="center"/>
          </w:tcPr>
          <w:p>
            <w:pPr>
              <w:spacing w:line="209" w:lineRule="exact"/>
              <w:jc w:val="center"/>
              <w:rPr>
                <w:rFonts w:ascii="Times New Roman" w:hAnsi="Times New Roman" w:cs="Times New Roman"/>
                <w:color w:val="auto"/>
                <w:szCs w:val="21"/>
              </w:rPr>
            </w:pPr>
            <w:r>
              <w:rPr>
                <w:rFonts w:ascii="Times New Roman" w:hAnsi="Times New Roman" w:cs="Times New Roman"/>
                <w:color w:val="auto"/>
                <w:szCs w:val="21"/>
              </w:rPr>
              <w:t>Leq</w:t>
            </w:r>
          </w:p>
        </w:tc>
        <w:tc>
          <w:tcPr>
            <w:tcW w:w="3317" w:type="dxa"/>
            <w:tcBorders>
              <w:tl2br w:val="nil"/>
              <w:tr2bl w:val="nil"/>
            </w:tcBorders>
            <w:vAlign w:val="center"/>
          </w:tcPr>
          <w:p>
            <w:pPr>
              <w:spacing w:line="260" w:lineRule="exact"/>
              <w:jc w:val="center"/>
              <w:rPr>
                <w:rFonts w:ascii="Times New Roman" w:hAnsi="Times New Roman" w:cs="Times New Roman"/>
                <w:color w:val="auto"/>
                <w:szCs w:val="21"/>
              </w:rPr>
            </w:pPr>
            <w:r>
              <w:rPr>
                <w:rFonts w:ascii="Times New Roman" w:hAnsi="Times New Roman" w:cs="Times New Roman"/>
                <w:color w:val="auto"/>
                <w:szCs w:val="21"/>
              </w:rPr>
              <w:t>《工业企业厂界环境噪声排放标准》GB 12348-2008</w:t>
            </w:r>
          </w:p>
        </w:tc>
        <w:tc>
          <w:tcPr>
            <w:tcW w:w="1456" w:type="dxa"/>
            <w:tcBorders>
              <w:tl2br w:val="nil"/>
              <w:tr2bl w:val="nil"/>
            </w:tcBorders>
            <w:vAlign w:val="center"/>
          </w:tcPr>
          <w:p>
            <w:pPr>
              <w:spacing w:before="15" w:line="173" w:lineRule="exact"/>
              <w:jc w:val="center"/>
              <w:rPr>
                <w:rFonts w:ascii="Times New Roman" w:hAnsi="Times New Roman" w:cs="Times New Roman"/>
                <w:color w:val="auto"/>
                <w:szCs w:val="21"/>
              </w:rPr>
            </w:pPr>
            <w:r>
              <w:rPr>
                <w:rFonts w:ascii="Times New Roman" w:hAnsi="Times New Roman" w:cs="Times New Roman"/>
                <w:color w:val="auto"/>
                <w:szCs w:val="21"/>
              </w:rPr>
              <w:t>声级计</w:t>
            </w:r>
          </w:p>
          <w:p>
            <w:pPr>
              <w:spacing w:line="227" w:lineRule="exact"/>
              <w:jc w:val="center"/>
              <w:rPr>
                <w:rFonts w:ascii="Times New Roman" w:hAnsi="Times New Roman" w:cs="Times New Roman"/>
                <w:color w:val="auto"/>
                <w:szCs w:val="21"/>
              </w:rPr>
            </w:pPr>
            <w:r>
              <w:rPr>
                <w:rFonts w:ascii="Times New Roman" w:hAnsi="Times New Roman" w:cs="Times New Roman"/>
                <w:color w:val="auto"/>
                <w:szCs w:val="21"/>
              </w:rPr>
              <w:t>AWA5688</w:t>
            </w:r>
          </w:p>
        </w:tc>
        <w:tc>
          <w:tcPr>
            <w:tcW w:w="888" w:type="dxa"/>
            <w:tcBorders>
              <w:tl2br w:val="nil"/>
              <w:tr2bl w:val="nil"/>
            </w:tcBorders>
            <w:vAlign w:val="center"/>
          </w:tcPr>
          <w:p>
            <w:pPr>
              <w:spacing w:line="205" w:lineRule="exact"/>
              <w:jc w:val="center"/>
              <w:rPr>
                <w:rFonts w:ascii="Times New Roman" w:hAnsi="Times New Roman" w:cs="Times New Roman"/>
                <w:color w:val="auto"/>
                <w:szCs w:val="21"/>
              </w:rPr>
            </w:pPr>
            <w:r>
              <w:rPr>
                <w:rFonts w:ascii="Times New Roman" w:hAnsi="Times New Roman" w:cs="Times New Roman"/>
                <w:color w:val="auto"/>
                <w:szCs w:val="21"/>
              </w:rPr>
              <w:t>/</w:t>
            </w:r>
          </w:p>
        </w:tc>
        <w:tc>
          <w:tcPr>
            <w:tcW w:w="803" w:type="dxa"/>
            <w:tcBorders>
              <w:tl2br w:val="nil"/>
              <w:tr2bl w:val="nil"/>
            </w:tcBorders>
            <w:vAlign w:val="center"/>
          </w:tcPr>
          <w:p>
            <w:pPr>
              <w:spacing w:line="203" w:lineRule="exact"/>
              <w:jc w:val="center"/>
              <w:rPr>
                <w:rFonts w:ascii="Times New Roman" w:hAnsi="Times New Roman" w:cs="Times New Roman"/>
                <w:color w:val="auto"/>
                <w:szCs w:val="21"/>
              </w:rPr>
            </w:pPr>
            <w:r>
              <w:rPr>
                <w:rFonts w:ascii="Times New Roman" w:hAnsi="Times New Roman" w:cs="Times New Roman"/>
                <w:color w:val="auto"/>
                <w:szCs w:val="21"/>
              </w:rPr>
              <w:t>(V)BP</w:t>
            </w:r>
          </w:p>
        </w:tc>
      </w:tr>
    </w:tbl>
    <w:p>
      <w:pPr>
        <w:spacing w:line="360" w:lineRule="auto"/>
        <w:outlineLvl w:val="1"/>
        <w:rPr>
          <w:rFonts w:ascii="Times New Roman" w:hAnsi="Times New Roman" w:cs="Times New Roman"/>
          <w:b/>
          <w:color w:val="auto"/>
          <w:sz w:val="30"/>
          <w:szCs w:val="30"/>
        </w:rPr>
      </w:pPr>
      <w:bookmarkStart w:id="83" w:name="_Toc10768"/>
      <w:bookmarkStart w:id="84" w:name="_Toc20264"/>
      <w:bookmarkStart w:id="85" w:name="_Toc13154"/>
      <w:bookmarkStart w:id="86" w:name="_Toc19832"/>
      <w:bookmarkStart w:id="87" w:name="_Toc13496"/>
      <w:bookmarkStart w:id="88" w:name="_Toc26195"/>
      <w:bookmarkStart w:id="89" w:name="_Toc85120901"/>
      <w:r>
        <w:rPr>
          <w:rFonts w:hint="default" w:ascii="Times New Roman" w:hAnsi="Times New Roman" w:cs="Times New Roman"/>
          <w:b/>
          <w:color w:val="auto"/>
          <w:sz w:val="30"/>
          <w:szCs w:val="30"/>
        </w:rPr>
        <w:t>8.2</w:t>
      </w:r>
      <w:bookmarkEnd w:id="83"/>
      <w:bookmarkEnd w:id="84"/>
      <w:bookmarkEnd w:id="85"/>
      <w:r>
        <w:rPr>
          <w:rFonts w:hint="default" w:ascii="Times New Roman" w:hAnsi="Times New Roman" w:cs="Times New Roman"/>
          <w:b/>
          <w:color w:val="auto"/>
          <w:sz w:val="30"/>
          <w:szCs w:val="30"/>
        </w:rPr>
        <w:t>人员能力</w:t>
      </w:r>
      <w:bookmarkEnd w:id="86"/>
      <w:bookmarkEnd w:id="87"/>
      <w:bookmarkEnd w:id="88"/>
      <w:bookmarkEnd w:id="89"/>
    </w:p>
    <w:p>
      <w:pPr>
        <w:pStyle w:val="2"/>
        <w:spacing w:line="360" w:lineRule="auto"/>
        <w:ind w:firstLine="480"/>
        <w:rPr>
          <w:rFonts w:hint="default" w:ascii="Times New Roman" w:hAnsi="Times New Roman" w:cs="Times New Roman"/>
          <w:color w:val="auto"/>
        </w:rPr>
      </w:pPr>
      <w:r>
        <w:rPr>
          <w:rFonts w:hint="default" w:ascii="Times New Roman" w:hAnsi="Times New Roman" w:eastAsia="宋体" w:cs="Times New Roman"/>
          <w:color w:val="auto"/>
        </w:rPr>
        <w:t>参加本次验收监测人员经考核并持有合格证书。</w:t>
      </w:r>
    </w:p>
    <w:p>
      <w:pPr>
        <w:spacing w:line="360" w:lineRule="auto"/>
        <w:outlineLvl w:val="1"/>
        <w:rPr>
          <w:rFonts w:ascii="Times New Roman" w:hAnsi="Times New Roman" w:cs="Times New Roman"/>
          <w:b/>
          <w:color w:val="auto"/>
          <w:sz w:val="30"/>
          <w:szCs w:val="30"/>
        </w:rPr>
      </w:pPr>
      <w:bookmarkStart w:id="90" w:name="_Toc62"/>
      <w:bookmarkStart w:id="91" w:name="_Toc6457"/>
      <w:bookmarkStart w:id="92" w:name="_Toc85120902"/>
      <w:bookmarkStart w:id="93" w:name="_Toc29031"/>
      <w:r>
        <w:rPr>
          <w:rFonts w:hint="default" w:ascii="Times New Roman" w:hAnsi="Times New Roman" w:cs="Times New Roman"/>
          <w:b/>
          <w:color w:val="auto"/>
          <w:sz w:val="30"/>
          <w:szCs w:val="30"/>
        </w:rPr>
        <w:t>8.3水质监测分析过程中的质量保证和质量控制</w:t>
      </w:r>
      <w:bookmarkEnd w:id="90"/>
      <w:bookmarkEnd w:id="91"/>
      <w:bookmarkEnd w:id="92"/>
      <w:bookmarkEnd w:id="93"/>
    </w:p>
    <w:p>
      <w:pPr>
        <w:spacing w:line="360" w:lineRule="auto"/>
        <w:ind w:firstLine="480" w:firstLineChars="200"/>
        <w:jc w:val="left"/>
        <w:rPr>
          <w:rFonts w:ascii="Times New Roman" w:hAnsi="Times New Roman" w:eastAsia="宋体" w:cs="Times New Roman"/>
          <w:color w:val="auto"/>
          <w:kern w:val="0"/>
          <w:sz w:val="24"/>
        </w:rPr>
      </w:pPr>
      <w:r>
        <w:rPr>
          <w:rFonts w:ascii="Times New Roman" w:hAnsi="Times New Roman" w:eastAsia="宋体" w:cs="Times New Roman"/>
          <w:color w:val="auto"/>
          <w:kern w:val="0"/>
          <w:sz w:val="24"/>
        </w:rPr>
        <w:t>采样过程中采集不少于10%的平行样；实验室分析过程不少于10%的平行样；对可以得到标准样品或质量控制样品的项目，在分析的同时做10%质控样品分析；对无标准样品或质量控制样品的项目，且进行加标回收测试的，在分析的同时做10%加标回收样品分析。</w:t>
      </w:r>
    </w:p>
    <w:p>
      <w:pPr>
        <w:spacing w:line="360" w:lineRule="auto"/>
        <w:outlineLvl w:val="1"/>
        <w:rPr>
          <w:rFonts w:ascii="Times New Roman" w:hAnsi="Times New Roman" w:cs="Times New Roman"/>
          <w:b/>
          <w:color w:val="auto"/>
          <w:sz w:val="30"/>
          <w:szCs w:val="30"/>
        </w:rPr>
      </w:pPr>
      <w:bookmarkStart w:id="94" w:name="_Toc27067"/>
      <w:bookmarkStart w:id="95" w:name="_Toc85120903"/>
      <w:r>
        <w:rPr>
          <w:rFonts w:hint="default" w:ascii="Times New Roman" w:hAnsi="Times New Roman" w:cs="Times New Roman"/>
          <w:b/>
          <w:color w:val="auto"/>
          <w:sz w:val="30"/>
          <w:szCs w:val="30"/>
        </w:rPr>
        <w:t>8.4废气监测分析过程中的质量保证和质量控制</w:t>
      </w:r>
      <w:bookmarkEnd w:id="94"/>
      <w:bookmarkEnd w:id="95"/>
    </w:p>
    <w:p>
      <w:pPr>
        <w:spacing w:line="360" w:lineRule="auto"/>
        <w:ind w:firstLine="480" w:firstLineChars="200"/>
        <w:jc w:val="left"/>
        <w:rPr>
          <w:rFonts w:ascii="Times New Roman" w:hAnsi="Times New Roman" w:cs="Times New Roman"/>
          <w:color w:val="auto"/>
          <w:sz w:val="24"/>
          <w:szCs w:val="24"/>
        </w:rPr>
      </w:pPr>
      <w:r>
        <w:rPr>
          <w:rFonts w:hint="default" w:ascii="Times New Roman" w:hAnsi="Times New Roman" w:cs="Times New Roman"/>
          <w:color w:val="auto"/>
          <w:sz w:val="24"/>
          <w:szCs w:val="24"/>
        </w:rPr>
        <w:t>气体监测分析过程中的质量保证和质量控制：采样器在进现场前应对气体分析、采样器流量计等进行校核。</w:t>
      </w:r>
    </w:p>
    <w:p>
      <w:pPr>
        <w:spacing w:line="360" w:lineRule="auto"/>
        <w:outlineLvl w:val="1"/>
        <w:rPr>
          <w:rFonts w:ascii="Times New Roman" w:hAnsi="Times New Roman" w:cs="Times New Roman"/>
          <w:b/>
          <w:color w:val="auto"/>
          <w:sz w:val="30"/>
          <w:szCs w:val="30"/>
        </w:rPr>
      </w:pPr>
      <w:bookmarkStart w:id="96" w:name="_Toc31883"/>
      <w:bookmarkStart w:id="97" w:name="_Toc85120904"/>
      <w:r>
        <w:rPr>
          <w:rFonts w:hint="default" w:ascii="Times New Roman" w:hAnsi="Times New Roman" w:cs="Times New Roman"/>
          <w:b/>
          <w:color w:val="auto"/>
          <w:sz w:val="30"/>
          <w:szCs w:val="30"/>
        </w:rPr>
        <w:t>8.5噪声监测分析过程中的质量保证和质量控制</w:t>
      </w:r>
      <w:bookmarkEnd w:id="96"/>
      <w:bookmarkEnd w:id="97"/>
    </w:p>
    <w:p>
      <w:pPr>
        <w:spacing w:line="360" w:lineRule="auto"/>
        <w:ind w:firstLine="480" w:firstLineChars="200"/>
        <w:jc w:val="left"/>
        <w:rPr>
          <w:rFonts w:ascii="Times New Roman" w:hAnsi="Times New Roman" w:eastAsia="宋体" w:cs="Times New Roman"/>
          <w:color w:val="auto"/>
          <w:kern w:val="0"/>
          <w:sz w:val="24"/>
        </w:rPr>
      </w:pPr>
      <w:r>
        <w:rPr>
          <w:rFonts w:ascii="Times New Roman" w:hAnsi="Times New Roman" w:eastAsia="宋体" w:cs="Times New Roman"/>
          <w:color w:val="auto"/>
          <w:kern w:val="0"/>
          <w:sz w:val="24"/>
        </w:rPr>
        <w:t>所用分析仪器经过计量检定和校准；现场监测仪器使用前都经过了校准。噪声测量仪器灵敏度相差不大于0.5dB(A)—监测前校准，监测后校核相差不大于0.5dB(A)；监测时风速＞5m/s停止测试。</w:t>
      </w:r>
    </w:p>
    <w:p>
      <w:pPr>
        <w:spacing w:line="360" w:lineRule="auto"/>
        <w:outlineLvl w:val="0"/>
        <w:rPr>
          <w:rFonts w:ascii="Times New Roman" w:hAnsi="Times New Roman" w:cs="Times New Roman"/>
          <w:b/>
          <w:color w:val="auto"/>
          <w:sz w:val="32"/>
          <w:szCs w:val="32"/>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spacing w:line="360" w:lineRule="auto"/>
        <w:outlineLvl w:val="0"/>
        <w:rPr>
          <w:rFonts w:ascii="Times New Roman" w:hAnsi="Times New Roman" w:cs="Times New Roman"/>
          <w:b/>
          <w:color w:val="auto"/>
          <w:sz w:val="32"/>
          <w:szCs w:val="32"/>
        </w:rPr>
      </w:pPr>
      <w:bookmarkStart w:id="98" w:name="_Toc6196"/>
      <w:bookmarkStart w:id="99" w:name="_Toc85120905"/>
      <w:r>
        <w:rPr>
          <w:rFonts w:hint="default" w:ascii="Times New Roman" w:hAnsi="Times New Roman" w:cs="Times New Roman"/>
          <w:b/>
          <w:color w:val="auto"/>
          <w:sz w:val="32"/>
          <w:szCs w:val="32"/>
        </w:rPr>
        <w:t>9、验收监测</w:t>
      </w:r>
      <w:bookmarkEnd w:id="98"/>
      <w:bookmarkEnd w:id="99"/>
    </w:p>
    <w:p>
      <w:pPr>
        <w:spacing w:line="360" w:lineRule="auto"/>
        <w:outlineLvl w:val="1"/>
        <w:rPr>
          <w:rFonts w:ascii="Times New Roman" w:hAnsi="Times New Roman" w:cs="Times New Roman"/>
          <w:b/>
          <w:color w:val="auto"/>
          <w:sz w:val="30"/>
          <w:szCs w:val="30"/>
        </w:rPr>
      </w:pPr>
      <w:bookmarkStart w:id="100" w:name="_Toc85120906"/>
      <w:bookmarkStart w:id="101" w:name="_Toc17181"/>
      <w:r>
        <w:rPr>
          <w:rFonts w:hint="default" w:ascii="Times New Roman" w:hAnsi="Times New Roman" w:cs="Times New Roman"/>
          <w:b/>
          <w:color w:val="auto"/>
          <w:sz w:val="30"/>
          <w:szCs w:val="30"/>
        </w:rPr>
        <w:t>9.1  生产工况</w:t>
      </w:r>
      <w:bookmarkEnd w:id="100"/>
      <w:bookmarkEnd w:id="101"/>
      <w:r>
        <w:rPr>
          <w:rFonts w:hint="eastAsia" w:ascii="Times New Roman" w:hAnsi="Times New Roman" w:cs="Times New Roman"/>
          <w:b/>
          <w:color w:val="auto"/>
          <w:sz w:val="30"/>
          <w:szCs w:val="30"/>
          <w:lang w:val="en-US" w:eastAsia="zh-CN"/>
        </w:rPr>
        <w:t>及</w:t>
      </w:r>
      <w:r>
        <w:rPr>
          <w:rFonts w:hint="default" w:ascii="Times New Roman" w:hAnsi="Times New Roman" w:cs="Times New Roman"/>
          <w:b/>
          <w:color w:val="auto"/>
          <w:sz w:val="30"/>
          <w:szCs w:val="30"/>
        </w:rPr>
        <w:t>监测期间气象参数</w:t>
      </w:r>
    </w:p>
    <w:p>
      <w:pPr>
        <w:spacing w:line="360" w:lineRule="auto"/>
        <w:ind w:firstLine="480" w:firstLineChars="200"/>
        <w:rPr>
          <w:rFonts w:ascii="Times New Roman" w:hAnsi="Times New Roman" w:cs="Times New Roman"/>
          <w:color w:val="auto"/>
          <w:sz w:val="24"/>
          <w:szCs w:val="24"/>
        </w:rPr>
      </w:pPr>
      <w:r>
        <w:rPr>
          <w:rFonts w:hint="default" w:ascii="Times New Roman" w:hAnsi="Times New Roman" w:cs="Times New Roman"/>
          <w:color w:val="auto"/>
          <w:sz w:val="24"/>
          <w:szCs w:val="24"/>
        </w:rPr>
        <w:t>监测期间，本项目处于正常生产，生产期间工况稳定。</w:t>
      </w:r>
    </w:p>
    <w:p>
      <w:pPr>
        <w:spacing w:line="360" w:lineRule="auto"/>
        <w:ind w:firstLine="0" w:firstLineChars="0"/>
        <w:outlineLvl w:val="1"/>
        <w:rPr>
          <w:rFonts w:ascii="Times New Roman" w:hAnsi="Times New Roman" w:cs="Times New Roman"/>
          <w:color w:val="auto"/>
          <w:sz w:val="24"/>
          <w:szCs w:val="24"/>
        </w:rPr>
      </w:pPr>
      <w:bookmarkStart w:id="102" w:name="_Toc85120907"/>
      <w:bookmarkStart w:id="103" w:name="_Toc6690"/>
      <w:r>
        <w:rPr>
          <w:rFonts w:hint="default" w:ascii="Times New Roman" w:hAnsi="Times New Roman" w:cs="Times New Roman"/>
          <w:b/>
          <w:color w:val="auto"/>
          <w:sz w:val="30"/>
          <w:szCs w:val="30"/>
        </w:rPr>
        <w:t xml:space="preserve"> </w:t>
      </w:r>
      <w:bookmarkEnd w:id="102"/>
      <w:bookmarkEnd w:id="103"/>
      <w:r>
        <w:rPr>
          <w:rFonts w:hint="eastAsia" w:ascii="Times New Roman" w:hAnsi="Times New Roman" w:cs="Times New Roman"/>
          <w:b/>
          <w:color w:val="auto"/>
          <w:sz w:val="30"/>
          <w:szCs w:val="30"/>
          <w:lang w:val="en-US" w:eastAsia="zh-CN"/>
        </w:rPr>
        <w:t xml:space="preserve">  </w:t>
      </w:r>
      <w:r>
        <w:rPr>
          <w:rFonts w:hint="default" w:ascii="Times New Roman" w:hAnsi="Times New Roman" w:cs="Times New Roman"/>
          <w:color w:val="auto"/>
          <w:sz w:val="24"/>
          <w:szCs w:val="24"/>
        </w:rPr>
        <w:t>本次验收监测时间为20</w:t>
      </w:r>
      <w:r>
        <w:rPr>
          <w:rFonts w:ascii="Times New Roman" w:hAnsi="Times New Roman" w:cs="Times New Roman"/>
          <w:color w:val="auto"/>
          <w:sz w:val="24"/>
          <w:szCs w:val="24"/>
        </w:rPr>
        <w:t>2</w:t>
      </w:r>
      <w:r>
        <w:rPr>
          <w:rFonts w:hint="default" w:ascii="Times New Roman" w:hAnsi="Times New Roman" w:cs="Times New Roman"/>
          <w:color w:val="auto"/>
          <w:sz w:val="24"/>
          <w:szCs w:val="24"/>
        </w:rPr>
        <w:t>2年5月28日~5月29日，</w:t>
      </w:r>
      <w:r>
        <w:rPr>
          <w:rFonts w:hint="eastAsia" w:ascii="Times New Roman" w:hAnsi="Times New Roman" w:cs="Times New Roman"/>
          <w:color w:val="auto"/>
          <w:sz w:val="24"/>
          <w:szCs w:val="24"/>
          <w:lang w:val="en-US" w:eastAsia="zh-CN"/>
        </w:rPr>
        <w:t>补充验收监测时间为11月9日至10日，</w:t>
      </w:r>
      <w:r>
        <w:rPr>
          <w:rFonts w:hint="default" w:ascii="Times New Roman" w:hAnsi="Times New Roman" w:cs="Times New Roman"/>
          <w:color w:val="auto"/>
          <w:sz w:val="24"/>
          <w:szCs w:val="24"/>
        </w:rPr>
        <w:t>合计</w:t>
      </w:r>
      <w:r>
        <w:rPr>
          <w:rFonts w:hint="eastAsia" w:ascii="Times New Roman" w:hAnsi="Times New Roman" w:cs="Times New Roman"/>
          <w:color w:val="auto"/>
          <w:sz w:val="24"/>
          <w:szCs w:val="24"/>
          <w:lang w:val="en-US" w:eastAsia="zh-CN"/>
        </w:rPr>
        <w:t>4</w:t>
      </w:r>
      <w:r>
        <w:rPr>
          <w:rFonts w:hint="default" w:ascii="Times New Roman" w:hAnsi="Times New Roman" w:cs="Times New Roman"/>
          <w:color w:val="auto"/>
          <w:sz w:val="24"/>
          <w:szCs w:val="24"/>
        </w:rPr>
        <w:t>天，监测期间以阴天为主，</w:t>
      </w:r>
      <w:r>
        <w:rPr>
          <w:rFonts w:hint="eastAsia" w:ascii="Times New Roman" w:hAnsi="Times New Roman" w:cs="Times New Roman"/>
          <w:color w:val="auto"/>
          <w:sz w:val="24"/>
          <w:szCs w:val="24"/>
          <w:lang w:val="en-US" w:eastAsia="zh-CN"/>
        </w:rPr>
        <w:t>风速</w:t>
      </w:r>
      <w:r>
        <w:rPr>
          <w:rFonts w:hint="default" w:ascii="Times New Roman" w:hAnsi="Times New Roman" w:cs="Times New Roman"/>
          <w:color w:val="auto"/>
          <w:sz w:val="24"/>
          <w:szCs w:val="24"/>
        </w:rPr>
        <w:t>小于5m/s，满足国家对监测项目竣工环保验收监测的技术要求。监测期间具体气象参数见表9.2-1。</w:t>
      </w:r>
    </w:p>
    <w:p>
      <w:pPr>
        <w:jc w:val="center"/>
        <w:rPr>
          <w:rFonts w:ascii="Times New Roman" w:hAnsi="Times New Roman" w:cs="Times New Roman"/>
          <w:b/>
          <w:bCs/>
          <w:color w:val="auto"/>
          <w:szCs w:val="21"/>
        </w:rPr>
      </w:pPr>
      <w:r>
        <w:rPr>
          <w:rFonts w:ascii="Times New Roman" w:hAnsi="Times New Roman" w:cs="Times New Roman"/>
          <w:b/>
          <w:bCs/>
          <w:color w:val="auto"/>
          <w:szCs w:val="21"/>
        </w:rPr>
        <w:t>表</w:t>
      </w:r>
      <w:r>
        <w:rPr>
          <w:rFonts w:hint="default" w:ascii="Times New Roman" w:hAnsi="Times New Roman" w:cs="Times New Roman"/>
          <w:b/>
          <w:bCs/>
          <w:color w:val="auto"/>
          <w:szCs w:val="21"/>
        </w:rPr>
        <w:t>9</w:t>
      </w:r>
      <w:r>
        <w:rPr>
          <w:rFonts w:ascii="Times New Roman" w:hAnsi="Times New Roman" w:cs="Times New Roman"/>
          <w:b/>
          <w:bCs/>
          <w:color w:val="auto"/>
          <w:szCs w:val="21"/>
        </w:rPr>
        <w:t>.2-1  验收监测期间气象参数统计</w:t>
      </w:r>
    </w:p>
    <w:tbl>
      <w:tblPr>
        <w:tblStyle w:val="28"/>
        <w:tblW w:w="5000" w:type="pct"/>
        <w:jc w:val="center"/>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71"/>
        <w:gridCol w:w="1372"/>
        <w:gridCol w:w="1395"/>
        <w:gridCol w:w="1395"/>
        <w:gridCol w:w="1394"/>
        <w:gridCol w:w="1395"/>
      </w:tblGrid>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 w:hRule="exact"/>
          <w:jc w:val="center"/>
        </w:trPr>
        <w:tc>
          <w:tcPr>
            <w:tcW w:w="1529" w:type="dxa"/>
            <w:vMerge w:val="restart"/>
            <w:vAlign w:val="center"/>
          </w:tcPr>
          <w:p>
            <w:pPr>
              <w:tabs>
                <w:tab w:val="left" w:pos="3600"/>
                <w:tab w:val="left" w:pos="5220"/>
              </w:tabs>
              <w:spacing w:line="240" w:lineRule="exact"/>
              <w:jc w:val="center"/>
              <w:rPr>
                <w:rFonts w:ascii="Times New Roman" w:hAnsi="Times New Roman" w:cs="Times New Roman"/>
                <w:color w:val="auto"/>
                <w:szCs w:val="21"/>
              </w:rPr>
            </w:pPr>
            <w:r>
              <w:rPr>
                <w:rFonts w:ascii="Times New Roman" w:hAnsi="Times New Roman" w:cs="Times New Roman"/>
                <w:color w:val="auto"/>
                <w:szCs w:val="21"/>
              </w:rPr>
              <w:t>日期</w:t>
            </w:r>
          </w:p>
        </w:tc>
        <w:tc>
          <w:tcPr>
            <w:tcW w:w="1336" w:type="dxa"/>
            <w:vMerge w:val="restart"/>
            <w:vAlign w:val="center"/>
          </w:tcPr>
          <w:p>
            <w:pPr>
              <w:tabs>
                <w:tab w:val="left" w:pos="3600"/>
                <w:tab w:val="left" w:pos="5220"/>
              </w:tabs>
              <w:spacing w:line="240" w:lineRule="exact"/>
              <w:jc w:val="center"/>
              <w:rPr>
                <w:rFonts w:ascii="Times New Roman" w:hAnsi="Times New Roman" w:cs="Times New Roman"/>
                <w:color w:val="auto"/>
                <w:szCs w:val="21"/>
              </w:rPr>
            </w:pPr>
            <w:r>
              <w:rPr>
                <w:rFonts w:ascii="Times New Roman" w:hAnsi="Times New Roman" w:cs="Times New Roman"/>
                <w:color w:val="auto"/>
                <w:szCs w:val="21"/>
              </w:rPr>
              <w:t>风向</w:t>
            </w:r>
          </w:p>
        </w:tc>
        <w:tc>
          <w:tcPr>
            <w:tcW w:w="1358" w:type="dxa"/>
            <w:vMerge w:val="restart"/>
            <w:vAlign w:val="center"/>
          </w:tcPr>
          <w:p>
            <w:pPr>
              <w:tabs>
                <w:tab w:val="left" w:pos="3600"/>
                <w:tab w:val="left" w:pos="5220"/>
              </w:tabs>
              <w:spacing w:line="240" w:lineRule="exact"/>
              <w:jc w:val="center"/>
              <w:rPr>
                <w:rFonts w:ascii="Times New Roman" w:hAnsi="Times New Roman" w:cs="Times New Roman"/>
                <w:color w:val="auto"/>
                <w:szCs w:val="21"/>
              </w:rPr>
            </w:pPr>
            <w:r>
              <w:rPr>
                <w:rFonts w:hint="default" w:ascii="Times New Roman" w:hAnsi="Times New Roman" w:cs="Times New Roman"/>
                <w:color w:val="auto"/>
                <w:szCs w:val="21"/>
              </w:rPr>
              <w:t>天气</w:t>
            </w:r>
          </w:p>
        </w:tc>
        <w:tc>
          <w:tcPr>
            <w:tcW w:w="1358" w:type="dxa"/>
            <w:vAlign w:val="center"/>
          </w:tcPr>
          <w:p>
            <w:pPr>
              <w:tabs>
                <w:tab w:val="left" w:pos="3600"/>
                <w:tab w:val="left" w:pos="5220"/>
              </w:tabs>
              <w:spacing w:line="240" w:lineRule="exact"/>
              <w:jc w:val="center"/>
              <w:rPr>
                <w:rFonts w:ascii="Times New Roman" w:hAnsi="Times New Roman" w:cs="Times New Roman"/>
                <w:color w:val="auto"/>
                <w:szCs w:val="21"/>
              </w:rPr>
            </w:pPr>
            <w:r>
              <w:rPr>
                <w:rFonts w:ascii="Times New Roman" w:hAnsi="Times New Roman" w:cs="Times New Roman"/>
                <w:color w:val="auto"/>
                <w:szCs w:val="21"/>
              </w:rPr>
              <w:t>气温</w:t>
            </w:r>
          </w:p>
        </w:tc>
        <w:tc>
          <w:tcPr>
            <w:tcW w:w="1357" w:type="dxa"/>
            <w:vAlign w:val="center"/>
          </w:tcPr>
          <w:p>
            <w:pPr>
              <w:tabs>
                <w:tab w:val="left" w:pos="3600"/>
                <w:tab w:val="left" w:pos="5220"/>
              </w:tabs>
              <w:spacing w:line="240" w:lineRule="exact"/>
              <w:jc w:val="center"/>
              <w:rPr>
                <w:rFonts w:ascii="Times New Roman" w:hAnsi="Times New Roman" w:cs="Times New Roman"/>
                <w:color w:val="auto"/>
                <w:szCs w:val="21"/>
              </w:rPr>
            </w:pPr>
            <w:r>
              <w:rPr>
                <w:rFonts w:ascii="Times New Roman" w:hAnsi="Times New Roman" w:cs="Times New Roman"/>
                <w:color w:val="auto"/>
                <w:szCs w:val="21"/>
              </w:rPr>
              <w:t>气压</w:t>
            </w:r>
          </w:p>
        </w:tc>
        <w:tc>
          <w:tcPr>
            <w:tcW w:w="1358" w:type="dxa"/>
            <w:vAlign w:val="center"/>
          </w:tcPr>
          <w:p>
            <w:pPr>
              <w:tabs>
                <w:tab w:val="left" w:pos="3600"/>
                <w:tab w:val="left" w:pos="5220"/>
              </w:tabs>
              <w:spacing w:line="240" w:lineRule="exact"/>
              <w:jc w:val="center"/>
              <w:rPr>
                <w:rFonts w:ascii="Times New Roman" w:hAnsi="Times New Roman" w:cs="Times New Roman"/>
                <w:color w:val="auto"/>
                <w:szCs w:val="21"/>
              </w:rPr>
            </w:pPr>
            <w:r>
              <w:rPr>
                <w:rFonts w:ascii="Times New Roman" w:hAnsi="Times New Roman" w:cs="Times New Roman"/>
                <w:color w:val="auto"/>
                <w:szCs w:val="21"/>
              </w:rPr>
              <w:t>风速</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exact"/>
          <w:jc w:val="center"/>
        </w:trPr>
        <w:tc>
          <w:tcPr>
            <w:tcW w:w="1529" w:type="dxa"/>
            <w:vMerge w:val="continue"/>
            <w:vAlign w:val="center"/>
          </w:tcPr>
          <w:p>
            <w:pPr>
              <w:tabs>
                <w:tab w:val="left" w:pos="3600"/>
                <w:tab w:val="left" w:pos="5220"/>
              </w:tabs>
              <w:spacing w:line="240" w:lineRule="exact"/>
              <w:jc w:val="center"/>
              <w:rPr>
                <w:rFonts w:ascii="Times New Roman" w:hAnsi="Times New Roman" w:cs="Times New Roman"/>
                <w:color w:val="auto"/>
                <w:szCs w:val="21"/>
              </w:rPr>
            </w:pPr>
          </w:p>
        </w:tc>
        <w:tc>
          <w:tcPr>
            <w:tcW w:w="1336" w:type="dxa"/>
            <w:vMerge w:val="continue"/>
            <w:vAlign w:val="center"/>
          </w:tcPr>
          <w:p>
            <w:pPr>
              <w:tabs>
                <w:tab w:val="left" w:pos="3600"/>
                <w:tab w:val="left" w:pos="5220"/>
              </w:tabs>
              <w:spacing w:line="240" w:lineRule="exact"/>
              <w:jc w:val="center"/>
              <w:rPr>
                <w:rFonts w:ascii="Times New Roman" w:hAnsi="Times New Roman" w:cs="Times New Roman"/>
                <w:color w:val="auto"/>
                <w:szCs w:val="21"/>
              </w:rPr>
            </w:pPr>
          </w:p>
        </w:tc>
        <w:tc>
          <w:tcPr>
            <w:tcW w:w="1358" w:type="dxa"/>
            <w:vMerge w:val="continue"/>
            <w:vAlign w:val="center"/>
          </w:tcPr>
          <w:p>
            <w:pPr>
              <w:tabs>
                <w:tab w:val="left" w:pos="3600"/>
                <w:tab w:val="left" w:pos="5220"/>
              </w:tabs>
              <w:spacing w:line="240" w:lineRule="exact"/>
              <w:jc w:val="center"/>
              <w:rPr>
                <w:rFonts w:ascii="Times New Roman" w:hAnsi="Times New Roman" w:cs="Times New Roman"/>
                <w:color w:val="auto"/>
                <w:szCs w:val="21"/>
              </w:rPr>
            </w:pPr>
          </w:p>
        </w:tc>
        <w:tc>
          <w:tcPr>
            <w:tcW w:w="1358" w:type="dxa"/>
            <w:vAlign w:val="center"/>
          </w:tcPr>
          <w:p>
            <w:pPr>
              <w:tabs>
                <w:tab w:val="left" w:pos="3600"/>
                <w:tab w:val="left" w:pos="5220"/>
              </w:tabs>
              <w:spacing w:line="240" w:lineRule="exact"/>
              <w:jc w:val="center"/>
              <w:rPr>
                <w:rFonts w:ascii="Times New Roman" w:hAnsi="Times New Roman" w:cs="Times New Roman"/>
                <w:color w:val="auto"/>
                <w:szCs w:val="21"/>
              </w:rPr>
            </w:pPr>
            <w:r>
              <w:rPr>
                <w:rFonts w:ascii="Times New Roman" w:hAnsi="Times New Roman" w:cs="Times New Roman"/>
                <w:color w:val="auto"/>
                <w:szCs w:val="21"/>
              </w:rPr>
              <w:t>℃</w:t>
            </w:r>
          </w:p>
        </w:tc>
        <w:tc>
          <w:tcPr>
            <w:tcW w:w="1357" w:type="dxa"/>
            <w:vAlign w:val="center"/>
          </w:tcPr>
          <w:p>
            <w:pPr>
              <w:tabs>
                <w:tab w:val="left" w:pos="3600"/>
                <w:tab w:val="left" w:pos="5220"/>
              </w:tabs>
              <w:spacing w:line="240" w:lineRule="exact"/>
              <w:jc w:val="center"/>
              <w:rPr>
                <w:rFonts w:ascii="Times New Roman" w:hAnsi="Times New Roman" w:cs="Times New Roman"/>
                <w:color w:val="auto"/>
                <w:szCs w:val="21"/>
              </w:rPr>
            </w:pPr>
            <w:r>
              <w:rPr>
                <w:rFonts w:ascii="Times New Roman" w:hAnsi="Times New Roman" w:cs="Times New Roman"/>
                <w:color w:val="auto"/>
                <w:szCs w:val="21"/>
              </w:rPr>
              <w:t>kPa</w:t>
            </w:r>
          </w:p>
        </w:tc>
        <w:tc>
          <w:tcPr>
            <w:tcW w:w="1358" w:type="dxa"/>
            <w:vAlign w:val="center"/>
          </w:tcPr>
          <w:p>
            <w:pPr>
              <w:tabs>
                <w:tab w:val="left" w:pos="3600"/>
                <w:tab w:val="left" w:pos="5220"/>
              </w:tabs>
              <w:spacing w:line="240" w:lineRule="exact"/>
              <w:jc w:val="center"/>
              <w:rPr>
                <w:rFonts w:ascii="Times New Roman" w:hAnsi="Times New Roman" w:cs="Times New Roman"/>
                <w:color w:val="auto"/>
                <w:szCs w:val="21"/>
              </w:rPr>
            </w:pPr>
            <w:r>
              <w:rPr>
                <w:rFonts w:ascii="Times New Roman" w:hAnsi="Times New Roman" w:cs="Times New Roman"/>
                <w:color w:val="auto"/>
                <w:szCs w:val="21"/>
              </w:rPr>
              <w:t>m/s</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exact"/>
          <w:jc w:val="center"/>
        </w:trPr>
        <w:tc>
          <w:tcPr>
            <w:tcW w:w="1529" w:type="dxa"/>
            <w:vAlign w:val="center"/>
          </w:tcPr>
          <w:p>
            <w:pPr>
              <w:spacing w:line="240" w:lineRule="exact"/>
              <w:jc w:val="center"/>
              <w:rPr>
                <w:rFonts w:ascii="Times New Roman" w:hAnsi="Times New Roman" w:eastAsia="宋体" w:cs="Times New Roman"/>
                <w:color w:val="auto"/>
                <w:szCs w:val="21"/>
              </w:rPr>
            </w:pPr>
            <w:r>
              <w:rPr>
                <w:rFonts w:hint="default" w:ascii="Times New Roman" w:hAnsi="Times New Roman" w:eastAsia="宋体" w:cs="Times New Roman"/>
                <w:color w:val="auto"/>
              </w:rPr>
              <w:t>5月28日</w:t>
            </w:r>
          </w:p>
        </w:tc>
        <w:tc>
          <w:tcPr>
            <w:tcW w:w="1336" w:type="dxa"/>
            <w:vAlign w:val="center"/>
          </w:tcPr>
          <w:p>
            <w:pPr>
              <w:spacing w:line="240" w:lineRule="exact"/>
              <w:jc w:val="center"/>
              <w:rPr>
                <w:rFonts w:ascii="Times New Roman" w:hAnsi="Times New Roman" w:eastAsia="宋体" w:cs="Times New Roman"/>
                <w:color w:val="auto"/>
              </w:rPr>
            </w:pPr>
            <w:r>
              <w:rPr>
                <w:rFonts w:hint="default" w:ascii="Times New Roman" w:hAnsi="Times New Roman" w:eastAsia="宋体" w:cs="Times New Roman"/>
                <w:color w:val="auto"/>
              </w:rPr>
              <w:t>南</w:t>
            </w:r>
          </w:p>
        </w:tc>
        <w:tc>
          <w:tcPr>
            <w:tcW w:w="1358" w:type="dxa"/>
            <w:vAlign w:val="center"/>
          </w:tcPr>
          <w:p>
            <w:pPr>
              <w:spacing w:line="240" w:lineRule="exact"/>
              <w:jc w:val="center"/>
              <w:rPr>
                <w:rFonts w:ascii="Times New Roman" w:hAnsi="Times New Roman" w:eastAsia="宋体" w:cs="Times New Roman"/>
                <w:color w:val="auto"/>
              </w:rPr>
            </w:pPr>
            <w:r>
              <w:rPr>
                <w:rFonts w:hint="default" w:ascii="Times New Roman" w:hAnsi="Times New Roman" w:eastAsia="宋体" w:cs="Times New Roman"/>
                <w:color w:val="auto"/>
              </w:rPr>
              <w:t>阴</w:t>
            </w:r>
          </w:p>
        </w:tc>
        <w:tc>
          <w:tcPr>
            <w:tcW w:w="1358" w:type="dxa"/>
            <w:vAlign w:val="center"/>
          </w:tcPr>
          <w:p>
            <w:pPr>
              <w:spacing w:line="240" w:lineRule="exact"/>
              <w:jc w:val="center"/>
              <w:rPr>
                <w:rFonts w:ascii="Times New Roman" w:hAnsi="Times New Roman" w:eastAsia="宋体" w:cs="Times New Roman"/>
                <w:color w:val="auto"/>
              </w:rPr>
            </w:pPr>
            <w:r>
              <w:rPr>
                <w:rFonts w:hint="default" w:ascii="Times New Roman" w:hAnsi="Times New Roman" w:eastAsia="宋体" w:cs="Times New Roman"/>
                <w:color w:val="auto"/>
              </w:rPr>
              <w:t>29.1</w:t>
            </w:r>
          </w:p>
        </w:tc>
        <w:tc>
          <w:tcPr>
            <w:tcW w:w="1357" w:type="dxa"/>
            <w:vAlign w:val="center"/>
          </w:tcPr>
          <w:p>
            <w:pPr>
              <w:spacing w:line="240" w:lineRule="exact"/>
              <w:jc w:val="center"/>
              <w:rPr>
                <w:rFonts w:ascii="Times New Roman" w:hAnsi="Times New Roman" w:eastAsia="宋体" w:cs="Times New Roman"/>
                <w:color w:val="auto"/>
              </w:rPr>
            </w:pPr>
            <w:r>
              <w:rPr>
                <w:rFonts w:hint="default" w:ascii="Times New Roman" w:hAnsi="Times New Roman" w:eastAsia="宋体" w:cs="Times New Roman"/>
                <w:color w:val="auto"/>
              </w:rPr>
              <w:t>998.8</w:t>
            </w:r>
          </w:p>
        </w:tc>
        <w:tc>
          <w:tcPr>
            <w:tcW w:w="1358" w:type="dxa"/>
            <w:vAlign w:val="center"/>
          </w:tcPr>
          <w:p>
            <w:pPr>
              <w:spacing w:line="240" w:lineRule="exact"/>
              <w:jc w:val="center"/>
              <w:rPr>
                <w:rFonts w:ascii="Times New Roman" w:hAnsi="Times New Roman" w:eastAsia="宋体" w:cs="Times New Roman"/>
                <w:color w:val="auto"/>
              </w:rPr>
            </w:pPr>
            <w:r>
              <w:rPr>
                <w:rFonts w:hint="default" w:ascii="Times New Roman" w:hAnsi="Times New Roman" w:eastAsia="宋体" w:cs="Times New Roman"/>
                <w:color w:val="auto"/>
              </w:rPr>
              <w:t>1</w:t>
            </w:r>
            <w:r>
              <w:rPr>
                <w:rFonts w:ascii="Times New Roman" w:hAnsi="Times New Roman" w:eastAsia="宋体" w:cs="Times New Roman"/>
                <w:color w:val="auto"/>
              </w:rPr>
              <w:t>.1</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exact"/>
          <w:jc w:val="center"/>
        </w:trPr>
        <w:tc>
          <w:tcPr>
            <w:tcW w:w="1529" w:type="dxa"/>
            <w:vAlign w:val="center"/>
          </w:tcPr>
          <w:p>
            <w:pPr>
              <w:spacing w:line="240" w:lineRule="exact"/>
              <w:jc w:val="center"/>
              <w:rPr>
                <w:rFonts w:ascii="Times New Roman" w:hAnsi="Times New Roman" w:eastAsia="宋体" w:cs="Times New Roman"/>
                <w:color w:val="auto"/>
              </w:rPr>
            </w:pPr>
            <w:r>
              <w:rPr>
                <w:rFonts w:hint="default" w:ascii="Times New Roman" w:hAnsi="Times New Roman" w:eastAsia="宋体" w:cs="Times New Roman"/>
                <w:color w:val="auto"/>
              </w:rPr>
              <w:t>5月29日</w:t>
            </w:r>
          </w:p>
        </w:tc>
        <w:tc>
          <w:tcPr>
            <w:tcW w:w="1336" w:type="dxa"/>
            <w:vAlign w:val="center"/>
          </w:tcPr>
          <w:p>
            <w:pPr>
              <w:spacing w:line="240" w:lineRule="exact"/>
              <w:jc w:val="center"/>
              <w:rPr>
                <w:rFonts w:ascii="Times New Roman" w:hAnsi="Times New Roman" w:eastAsia="宋体" w:cs="Times New Roman"/>
                <w:color w:val="auto"/>
              </w:rPr>
            </w:pPr>
            <w:r>
              <w:rPr>
                <w:rFonts w:hint="default" w:ascii="Times New Roman" w:hAnsi="Times New Roman" w:eastAsia="宋体" w:cs="Times New Roman"/>
                <w:color w:val="auto"/>
              </w:rPr>
              <w:t>南</w:t>
            </w:r>
          </w:p>
        </w:tc>
        <w:tc>
          <w:tcPr>
            <w:tcW w:w="1358" w:type="dxa"/>
            <w:vAlign w:val="center"/>
          </w:tcPr>
          <w:p>
            <w:pPr>
              <w:spacing w:line="240" w:lineRule="exact"/>
              <w:jc w:val="center"/>
              <w:rPr>
                <w:rFonts w:ascii="Times New Roman" w:hAnsi="Times New Roman" w:eastAsia="宋体" w:cs="Times New Roman"/>
                <w:color w:val="auto"/>
              </w:rPr>
            </w:pPr>
            <w:r>
              <w:rPr>
                <w:rFonts w:hint="default" w:ascii="Times New Roman" w:hAnsi="Times New Roman" w:eastAsia="宋体" w:cs="Times New Roman"/>
                <w:color w:val="auto"/>
              </w:rPr>
              <w:t>阴</w:t>
            </w:r>
          </w:p>
        </w:tc>
        <w:tc>
          <w:tcPr>
            <w:tcW w:w="1358" w:type="dxa"/>
            <w:vAlign w:val="center"/>
          </w:tcPr>
          <w:p>
            <w:pPr>
              <w:spacing w:line="240" w:lineRule="exact"/>
              <w:jc w:val="center"/>
              <w:rPr>
                <w:rFonts w:ascii="Times New Roman" w:hAnsi="Times New Roman" w:eastAsia="宋体" w:cs="Times New Roman"/>
                <w:color w:val="auto"/>
              </w:rPr>
            </w:pPr>
            <w:r>
              <w:rPr>
                <w:rFonts w:hint="default" w:ascii="Times New Roman" w:hAnsi="Times New Roman" w:eastAsia="宋体" w:cs="Times New Roman"/>
                <w:color w:val="auto"/>
              </w:rPr>
              <w:t>28.3</w:t>
            </w:r>
          </w:p>
        </w:tc>
        <w:tc>
          <w:tcPr>
            <w:tcW w:w="1357" w:type="dxa"/>
            <w:vAlign w:val="center"/>
          </w:tcPr>
          <w:p>
            <w:pPr>
              <w:spacing w:line="240" w:lineRule="exact"/>
              <w:jc w:val="center"/>
              <w:rPr>
                <w:rFonts w:ascii="Times New Roman" w:hAnsi="Times New Roman" w:eastAsia="宋体" w:cs="Times New Roman"/>
                <w:color w:val="auto"/>
              </w:rPr>
            </w:pPr>
            <w:r>
              <w:rPr>
                <w:rFonts w:hint="default" w:ascii="Times New Roman" w:hAnsi="Times New Roman" w:eastAsia="宋体" w:cs="Times New Roman"/>
                <w:color w:val="auto"/>
              </w:rPr>
              <w:t>998.8</w:t>
            </w:r>
          </w:p>
        </w:tc>
        <w:tc>
          <w:tcPr>
            <w:tcW w:w="1358" w:type="dxa"/>
            <w:vAlign w:val="center"/>
          </w:tcPr>
          <w:p>
            <w:pPr>
              <w:spacing w:line="240" w:lineRule="exact"/>
              <w:jc w:val="center"/>
              <w:rPr>
                <w:rFonts w:ascii="Times New Roman" w:hAnsi="Times New Roman" w:eastAsia="宋体" w:cs="Times New Roman"/>
                <w:color w:val="auto"/>
              </w:rPr>
            </w:pPr>
            <w:r>
              <w:rPr>
                <w:rFonts w:hint="default" w:ascii="Times New Roman" w:hAnsi="Times New Roman" w:eastAsia="宋体" w:cs="Times New Roman"/>
                <w:color w:val="auto"/>
              </w:rPr>
              <w:t>1</w:t>
            </w:r>
            <w:r>
              <w:rPr>
                <w:rFonts w:ascii="Times New Roman" w:hAnsi="Times New Roman" w:eastAsia="宋体" w:cs="Times New Roman"/>
                <w:color w:val="auto"/>
              </w:rPr>
              <w:t>.</w:t>
            </w:r>
            <w:r>
              <w:rPr>
                <w:rFonts w:hint="default" w:ascii="Times New Roman" w:hAnsi="Times New Roman" w:eastAsia="宋体" w:cs="Times New Roman"/>
                <w:color w:val="auto"/>
              </w:rPr>
              <w:t>1</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exact"/>
          <w:jc w:val="center"/>
        </w:trPr>
        <w:tc>
          <w:tcPr>
            <w:tcW w:w="1529" w:type="dxa"/>
            <w:vAlign w:val="center"/>
          </w:tcPr>
          <w:p>
            <w:pPr>
              <w:spacing w:line="240" w:lineRule="exact"/>
              <w:jc w:val="center"/>
              <w:rPr>
                <w:rFonts w:hint="default" w:ascii="Times New Roman" w:hAnsi="Times New Roman" w:eastAsia="宋体" w:cs="Times New Roman"/>
                <w:color w:val="auto"/>
                <w:lang w:val="en-US" w:eastAsia="zh-CN"/>
              </w:rPr>
            </w:pPr>
            <w:bookmarkStart w:id="104" w:name="_Toc85120908"/>
            <w:bookmarkStart w:id="105" w:name="_Toc22917"/>
            <w:r>
              <w:rPr>
                <w:rFonts w:hint="eastAsia" w:ascii="Times New Roman" w:hAnsi="Times New Roman" w:eastAsia="宋体" w:cs="Times New Roman"/>
                <w:color w:val="auto"/>
                <w:lang w:val="en-US" w:eastAsia="zh-CN"/>
              </w:rPr>
              <w:t>11月9日</w:t>
            </w:r>
          </w:p>
        </w:tc>
        <w:tc>
          <w:tcPr>
            <w:tcW w:w="1336" w:type="dxa"/>
            <w:vAlign w:val="center"/>
          </w:tcPr>
          <w:p>
            <w:pPr>
              <w:spacing w:line="240" w:lineRule="exact"/>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南</w:t>
            </w:r>
          </w:p>
        </w:tc>
        <w:tc>
          <w:tcPr>
            <w:tcW w:w="1358" w:type="dxa"/>
            <w:vAlign w:val="center"/>
          </w:tcPr>
          <w:p>
            <w:pPr>
              <w:spacing w:line="240" w:lineRule="exact"/>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晴</w:t>
            </w:r>
          </w:p>
        </w:tc>
        <w:tc>
          <w:tcPr>
            <w:tcW w:w="1358" w:type="dxa"/>
            <w:vAlign w:val="center"/>
          </w:tcPr>
          <w:p>
            <w:pPr>
              <w:spacing w:line="240" w:lineRule="exact"/>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18.6</w:t>
            </w:r>
          </w:p>
        </w:tc>
        <w:tc>
          <w:tcPr>
            <w:tcW w:w="1357" w:type="dxa"/>
            <w:vAlign w:val="center"/>
          </w:tcPr>
          <w:p>
            <w:pPr>
              <w:spacing w:line="240" w:lineRule="exact"/>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1001.2</w:t>
            </w:r>
          </w:p>
        </w:tc>
        <w:tc>
          <w:tcPr>
            <w:tcW w:w="1358" w:type="dxa"/>
            <w:vAlign w:val="center"/>
          </w:tcPr>
          <w:p>
            <w:pPr>
              <w:spacing w:line="240" w:lineRule="exact"/>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1.6</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exact"/>
          <w:jc w:val="center"/>
        </w:trPr>
        <w:tc>
          <w:tcPr>
            <w:tcW w:w="1529" w:type="dxa"/>
            <w:vAlign w:val="center"/>
          </w:tcPr>
          <w:p>
            <w:pPr>
              <w:spacing w:line="240" w:lineRule="exact"/>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11月10日</w:t>
            </w:r>
          </w:p>
        </w:tc>
        <w:tc>
          <w:tcPr>
            <w:tcW w:w="1336" w:type="dxa"/>
            <w:vAlign w:val="center"/>
          </w:tcPr>
          <w:p>
            <w:pPr>
              <w:spacing w:line="240" w:lineRule="exact"/>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南</w:t>
            </w:r>
          </w:p>
        </w:tc>
        <w:tc>
          <w:tcPr>
            <w:tcW w:w="1358" w:type="dxa"/>
            <w:vAlign w:val="center"/>
          </w:tcPr>
          <w:p>
            <w:pPr>
              <w:spacing w:line="240" w:lineRule="exact"/>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晴</w:t>
            </w:r>
          </w:p>
        </w:tc>
        <w:tc>
          <w:tcPr>
            <w:tcW w:w="1358" w:type="dxa"/>
            <w:vAlign w:val="center"/>
          </w:tcPr>
          <w:p>
            <w:pPr>
              <w:spacing w:line="240" w:lineRule="exact"/>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19.3</w:t>
            </w:r>
          </w:p>
        </w:tc>
        <w:tc>
          <w:tcPr>
            <w:tcW w:w="1357" w:type="dxa"/>
            <w:vAlign w:val="center"/>
          </w:tcPr>
          <w:p>
            <w:pPr>
              <w:spacing w:line="240" w:lineRule="exact"/>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999.4</w:t>
            </w:r>
          </w:p>
        </w:tc>
        <w:tc>
          <w:tcPr>
            <w:tcW w:w="1358" w:type="dxa"/>
            <w:vAlign w:val="center"/>
          </w:tcPr>
          <w:p>
            <w:pPr>
              <w:spacing w:line="240" w:lineRule="exact"/>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1.7</w:t>
            </w:r>
          </w:p>
        </w:tc>
      </w:tr>
    </w:tbl>
    <w:p>
      <w:pPr>
        <w:spacing w:line="360" w:lineRule="auto"/>
        <w:outlineLvl w:val="1"/>
        <w:rPr>
          <w:rFonts w:hint="eastAsia" w:ascii="Times New Roman" w:hAnsi="Times New Roman" w:cs="Times New Roman"/>
          <w:b/>
          <w:color w:val="auto"/>
          <w:sz w:val="30"/>
          <w:szCs w:val="30"/>
          <w:lang w:val="en-US" w:eastAsia="zh-CN"/>
        </w:rPr>
      </w:pPr>
      <w:r>
        <w:rPr>
          <w:rFonts w:hint="default" w:ascii="Times New Roman" w:hAnsi="Times New Roman" w:cs="Times New Roman"/>
          <w:b/>
          <w:color w:val="auto"/>
          <w:sz w:val="30"/>
          <w:szCs w:val="30"/>
        </w:rPr>
        <w:t>9.</w:t>
      </w:r>
      <w:r>
        <w:rPr>
          <w:rFonts w:hint="eastAsia" w:ascii="Times New Roman" w:hAnsi="Times New Roman" w:cs="Times New Roman"/>
          <w:b/>
          <w:color w:val="auto"/>
          <w:sz w:val="30"/>
          <w:szCs w:val="30"/>
          <w:lang w:val="en-US" w:eastAsia="zh-CN"/>
        </w:rPr>
        <w:t>2</w:t>
      </w:r>
      <w:r>
        <w:rPr>
          <w:rFonts w:hint="default" w:ascii="Times New Roman" w:hAnsi="Times New Roman" w:cs="Times New Roman"/>
          <w:b/>
          <w:color w:val="auto"/>
          <w:sz w:val="30"/>
          <w:szCs w:val="30"/>
        </w:rPr>
        <w:t xml:space="preserve">  </w:t>
      </w:r>
      <w:r>
        <w:rPr>
          <w:rFonts w:hint="eastAsia" w:ascii="Times New Roman" w:hAnsi="Times New Roman" w:cs="Times New Roman"/>
          <w:b/>
          <w:color w:val="auto"/>
          <w:sz w:val="30"/>
          <w:szCs w:val="30"/>
          <w:lang w:val="en-US" w:eastAsia="zh-CN"/>
        </w:rPr>
        <w:t>环保设施调试运行效果</w:t>
      </w:r>
    </w:p>
    <w:p>
      <w:pPr>
        <w:pStyle w:val="9"/>
        <w:rPr>
          <w:rFonts w:hint="eastAsia" w:ascii="宋体" w:hAnsi="宋体" w:eastAsia="宋体" w:cs="宋体"/>
          <w:b/>
          <w:bCs/>
          <w:lang w:val="en-US" w:eastAsia="zh-CN"/>
        </w:rPr>
      </w:pPr>
      <w:r>
        <w:rPr>
          <w:rFonts w:hint="eastAsia" w:ascii="宋体" w:hAnsi="宋体" w:eastAsia="宋体" w:cs="宋体"/>
          <w:b/>
          <w:bCs/>
          <w:lang w:val="en-US" w:eastAsia="zh-CN"/>
        </w:rPr>
        <w:t>9.2.1废气处理设施效率：</w:t>
      </w:r>
    </w:p>
    <w:p>
      <w:pPr>
        <w:pStyle w:val="9"/>
        <w:rPr>
          <w:rFonts w:hint="eastAsia" w:ascii="宋体" w:hAnsi="宋体" w:eastAsia="宋体" w:cs="宋体"/>
          <w:b w:val="0"/>
          <w:bCs w:val="0"/>
          <w:color w:val="auto"/>
          <w:sz w:val="24"/>
          <w:szCs w:val="24"/>
          <w:shd w:val="clear" w:color="auto" w:fill="auto"/>
          <w:lang w:val="en-US" w:eastAsia="zh-CN"/>
        </w:rPr>
      </w:pPr>
      <w:r>
        <w:rPr>
          <w:rFonts w:hint="eastAsia" w:ascii="宋体" w:hAnsi="宋体" w:eastAsia="宋体" w:cs="宋体"/>
          <w:b w:val="0"/>
          <w:bCs w:val="0"/>
          <w:color w:val="auto"/>
          <w:sz w:val="24"/>
          <w:szCs w:val="24"/>
          <w:shd w:val="clear" w:color="auto" w:fill="auto"/>
          <w:lang w:val="en-US" w:eastAsia="zh-CN"/>
        </w:rPr>
        <w:t>根据本项目验收期间连续2天的废气处理设施进、出口监测结果，工艺废气采用</w:t>
      </w:r>
      <w:r>
        <w:rPr>
          <w:rFonts w:hint="eastAsia" w:ascii="宋体" w:hAnsi="宋体" w:eastAsia="宋体" w:cs="宋体"/>
          <w:b w:val="0"/>
          <w:bCs w:val="0"/>
          <w:color w:val="auto"/>
          <w:kern w:val="0"/>
          <w:sz w:val="24"/>
          <w:szCs w:val="24"/>
        </w:rPr>
        <w:t>强制冷凝+水吸收+酸吸收+</w:t>
      </w:r>
      <w:r>
        <w:rPr>
          <w:rFonts w:hint="eastAsia" w:ascii="宋体" w:hAnsi="宋体" w:eastAsia="宋体" w:cs="宋体"/>
          <w:b w:val="0"/>
          <w:bCs w:val="0"/>
          <w:color w:val="auto"/>
          <w:kern w:val="0"/>
          <w:sz w:val="24"/>
          <w:szCs w:val="24"/>
          <w:lang w:val="en-US" w:eastAsia="zh-CN"/>
        </w:rPr>
        <w:t>酸</w:t>
      </w:r>
      <w:r>
        <w:rPr>
          <w:rFonts w:hint="eastAsia" w:ascii="宋体" w:hAnsi="宋体" w:eastAsia="宋体" w:cs="宋体"/>
          <w:b w:val="0"/>
          <w:bCs w:val="0"/>
          <w:color w:val="auto"/>
          <w:kern w:val="0"/>
          <w:sz w:val="24"/>
          <w:szCs w:val="24"/>
        </w:rPr>
        <w:t>吸收+除雾板+</w:t>
      </w:r>
      <w:r>
        <w:rPr>
          <w:rFonts w:hint="eastAsia" w:ascii="宋体" w:hAnsi="宋体" w:eastAsia="宋体" w:cs="宋体"/>
          <w:b w:val="0"/>
          <w:bCs w:val="0"/>
          <w:color w:val="auto"/>
          <w:kern w:val="0"/>
          <w:sz w:val="24"/>
          <w:szCs w:val="24"/>
          <w:lang w:val="en-US" w:eastAsia="zh-CN"/>
        </w:rPr>
        <w:t>酸吸收+活性炭处理，</w:t>
      </w:r>
      <w:r>
        <w:rPr>
          <w:rFonts w:hint="eastAsia" w:ascii="宋体" w:hAnsi="宋体" w:eastAsia="宋体" w:cs="宋体"/>
          <w:b w:val="0"/>
          <w:bCs w:val="0"/>
          <w:color w:val="auto"/>
          <w:sz w:val="24"/>
          <w:szCs w:val="24"/>
          <w:shd w:val="clear" w:color="auto" w:fill="auto"/>
          <w:lang w:val="en-US" w:eastAsia="zh-CN"/>
        </w:rPr>
        <w:t>苯酚处理效率约为：85.2%，甲醇的处理效率约为：83.7%，甲醛的处理效率约为：80.4%，VOCs处理效率为：93.2%，氨气处理效率约为86.1%。通过水吸收+酸吸收+生物除臭喷淋装置，氨气去除率为：73.7%，硫化氢去除率为：68.5%。油烟净化机净化效率约为：65.5%。</w:t>
      </w:r>
    </w:p>
    <w:p>
      <w:pPr>
        <w:pStyle w:val="9"/>
        <w:rPr>
          <w:rFonts w:hint="eastAsia" w:ascii="宋体" w:hAnsi="宋体" w:eastAsia="宋体" w:cs="宋体"/>
          <w:b/>
          <w:bCs/>
          <w:lang w:val="en-US" w:eastAsia="zh-CN"/>
        </w:rPr>
      </w:pPr>
      <w:r>
        <w:rPr>
          <w:rFonts w:hint="eastAsia" w:ascii="宋体" w:hAnsi="宋体" w:eastAsia="宋体" w:cs="宋体"/>
          <w:b/>
          <w:bCs/>
          <w:lang w:val="en-US" w:eastAsia="zh-CN"/>
        </w:rPr>
        <w:t>9.2.2废水处理设施效率：</w:t>
      </w:r>
    </w:p>
    <w:p>
      <w:pPr>
        <w:pStyle w:val="9"/>
        <w:rPr>
          <w:rFonts w:hint="default" w:eastAsiaTheme="minorEastAsia"/>
          <w:lang w:val="en-US" w:eastAsia="zh-CN"/>
        </w:rPr>
      </w:pPr>
      <w:r>
        <w:rPr>
          <w:rFonts w:hint="eastAsia" w:ascii="宋体" w:hAnsi="宋体" w:eastAsia="宋体" w:cs="宋体"/>
          <w:b w:val="0"/>
          <w:bCs w:val="0"/>
          <w:color w:val="auto"/>
          <w:sz w:val="24"/>
          <w:szCs w:val="24"/>
          <w:shd w:val="clear" w:color="auto" w:fill="auto"/>
          <w:lang w:val="en-US" w:eastAsia="zh-CN"/>
        </w:rPr>
        <w:t>根据本项目验收期间连续2天的废水处理设施进、出口监测结果，废水采用</w:t>
      </w:r>
      <w:r>
        <w:rPr>
          <w:rFonts w:hint="eastAsia" w:asciiTheme="minorEastAsia" w:hAnsiTheme="minorEastAsia" w:eastAsiaTheme="minorEastAsia" w:cstheme="minorEastAsia"/>
          <w:b w:val="0"/>
          <w:bCs w:val="0"/>
          <w:color w:val="auto"/>
          <w:sz w:val="24"/>
          <w:szCs w:val="24"/>
        </w:rPr>
        <w:t>调节+水解酸化+AO+沉淀</w:t>
      </w:r>
      <w:r>
        <w:rPr>
          <w:rFonts w:hint="eastAsia" w:asciiTheme="minorEastAsia" w:hAnsiTheme="minorEastAsia" w:eastAsiaTheme="minorEastAsia" w:cstheme="minorEastAsia"/>
          <w:b w:val="0"/>
          <w:bCs w:val="0"/>
          <w:color w:val="auto"/>
          <w:sz w:val="24"/>
          <w:szCs w:val="24"/>
          <w:lang w:val="en-US" w:eastAsia="zh-CN"/>
        </w:rPr>
        <w:t>工艺进行处理，COD去除率为：97.6%，BOD5去除率为97.9%，氨氮去除率为99.7%，动植物油去除率为：97.4%，悬浮物去除率为：87.5%。</w:t>
      </w:r>
    </w:p>
    <w:p>
      <w:pPr>
        <w:spacing w:line="360" w:lineRule="auto"/>
        <w:outlineLvl w:val="1"/>
        <w:rPr>
          <w:rFonts w:ascii="Times New Roman" w:hAnsi="Times New Roman" w:cs="Times New Roman"/>
          <w:b/>
          <w:color w:val="auto"/>
          <w:sz w:val="30"/>
          <w:szCs w:val="30"/>
        </w:rPr>
      </w:pPr>
      <w:r>
        <w:rPr>
          <w:rFonts w:hint="default" w:ascii="Times New Roman" w:hAnsi="Times New Roman" w:cs="Times New Roman"/>
          <w:b/>
          <w:color w:val="auto"/>
          <w:sz w:val="30"/>
          <w:szCs w:val="30"/>
        </w:rPr>
        <w:t>9.3  废气监测结果及评价</w:t>
      </w:r>
      <w:bookmarkEnd w:id="104"/>
      <w:bookmarkEnd w:id="105"/>
    </w:p>
    <w:p>
      <w:pPr>
        <w:spacing w:line="360" w:lineRule="auto"/>
        <w:ind w:firstLine="480" w:firstLineChars="200"/>
        <w:rPr>
          <w:rFonts w:ascii="Times New Roman" w:hAnsi="Times New Roman" w:cs="Times New Roman"/>
          <w:color w:val="auto"/>
          <w:sz w:val="24"/>
          <w:szCs w:val="24"/>
        </w:rPr>
      </w:pPr>
      <w:r>
        <w:rPr>
          <w:rFonts w:hint="default" w:ascii="Times New Roman" w:hAnsi="Times New Roman" w:cs="Times New Roman"/>
          <w:color w:val="auto"/>
          <w:sz w:val="24"/>
          <w:szCs w:val="24"/>
        </w:rPr>
        <w:t>有组织废气浓度监测结果见表9</w:t>
      </w:r>
      <w:r>
        <w:rPr>
          <w:rFonts w:ascii="Times New Roman" w:hAnsi="Times New Roman" w:cs="Times New Roman"/>
          <w:color w:val="auto"/>
          <w:sz w:val="24"/>
          <w:szCs w:val="24"/>
        </w:rPr>
        <w:t>.3-1</w:t>
      </w:r>
      <w:r>
        <w:rPr>
          <w:rFonts w:hint="default" w:ascii="Times New Roman" w:hAnsi="Times New Roman" w:cs="Times New Roman"/>
          <w:color w:val="auto"/>
          <w:sz w:val="24"/>
          <w:szCs w:val="24"/>
        </w:rPr>
        <w:t>、9.3-2。</w:t>
      </w:r>
    </w:p>
    <w:p>
      <w:pPr>
        <w:jc w:val="center"/>
        <w:rPr>
          <w:rFonts w:ascii="Times New Roman" w:hAnsi="Times New Roman" w:eastAsia="宋体" w:cs="Times New Roman"/>
          <w:b/>
          <w:color w:val="auto"/>
          <w:spacing w:val="-5"/>
          <w:kern w:val="0"/>
          <w:szCs w:val="21"/>
        </w:rPr>
      </w:pPr>
      <w:r>
        <w:rPr>
          <w:rFonts w:ascii="Times New Roman" w:hAnsi="Times New Roman" w:cs="Times New Roman"/>
          <w:b/>
          <w:bCs/>
          <w:color w:val="auto"/>
          <w:szCs w:val="21"/>
        </w:rPr>
        <w:t>表</w:t>
      </w:r>
      <w:r>
        <w:rPr>
          <w:rFonts w:hint="default" w:ascii="Times New Roman" w:hAnsi="Times New Roman" w:cs="Times New Roman"/>
          <w:b/>
          <w:bCs/>
          <w:color w:val="auto"/>
          <w:szCs w:val="21"/>
        </w:rPr>
        <w:t>9</w:t>
      </w:r>
      <w:r>
        <w:rPr>
          <w:rFonts w:ascii="Times New Roman" w:hAnsi="Times New Roman" w:cs="Times New Roman"/>
          <w:b/>
          <w:bCs/>
          <w:color w:val="auto"/>
          <w:szCs w:val="21"/>
        </w:rPr>
        <w:t xml:space="preserve">.3-1  </w:t>
      </w:r>
      <w:r>
        <w:rPr>
          <w:rFonts w:hint="default" w:ascii="Times New Roman" w:hAnsi="Times New Roman" w:eastAsia="宋体" w:cs="Times New Roman"/>
          <w:b/>
          <w:color w:val="auto"/>
          <w:spacing w:val="-5"/>
          <w:kern w:val="0"/>
          <w:szCs w:val="21"/>
        </w:rPr>
        <w:t>有组织废气（</w:t>
      </w:r>
      <w:r>
        <w:rPr>
          <w:rFonts w:hint="eastAsia" w:ascii="Times New Roman" w:hAnsi="Times New Roman" w:eastAsia="宋体" w:cs="Times New Roman"/>
          <w:b/>
          <w:color w:val="auto"/>
          <w:spacing w:val="-5"/>
          <w:kern w:val="0"/>
          <w:szCs w:val="21"/>
          <w:lang w:val="en-US" w:eastAsia="zh-CN"/>
        </w:rPr>
        <w:t>工艺</w:t>
      </w:r>
      <w:r>
        <w:rPr>
          <w:rFonts w:hint="default" w:ascii="Times New Roman" w:hAnsi="Times New Roman" w:eastAsia="宋体" w:cs="Times New Roman"/>
          <w:b/>
          <w:color w:val="auto"/>
          <w:spacing w:val="-5"/>
          <w:kern w:val="0"/>
          <w:szCs w:val="21"/>
        </w:rPr>
        <w:t>废气处理设施）浓度</w:t>
      </w:r>
      <w:r>
        <w:rPr>
          <w:rFonts w:ascii="Times New Roman" w:hAnsi="Times New Roman" w:eastAsia="宋体" w:cs="Times New Roman"/>
          <w:b/>
          <w:color w:val="auto"/>
          <w:spacing w:val="-5"/>
          <w:kern w:val="0"/>
          <w:szCs w:val="21"/>
        </w:rPr>
        <w:t>监测结果</w:t>
      </w:r>
    </w:p>
    <w:tbl>
      <w:tblPr>
        <w:tblStyle w:val="29"/>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74"/>
        <w:gridCol w:w="417"/>
        <w:gridCol w:w="1131"/>
        <w:gridCol w:w="775"/>
        <w:gridCol w:w="775"/>
        <w:gridCol w:w="775"/>
        <w:gridCol w:w="775"/>
        <w:gridCol w:w="775"/>
        <w:gridCol w:w="775"/>
        <w:gridCol w:w="775"/>
        <w:gridCol w:w="77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74" w:type="dxa"/>
            <w:vMerge w:val="restart"/>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监测点位</w:t>
            </w:r>
          </w:p>
        </w:tc>
        <w:tc>
          <w:tcPr>
            <w:tcW w:w="1548" w:type="dxa"/>
            <w:gridSpan w:val="2"/>
            <w:vMerge w:val="restart"/>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检测项目</w:t>
            </w:r>
          </w:p>
        </w:tc>
        <w:tc>
          <w:tcPr>
            <w:tcW w:w="4650" w:type="dxa"/>
            <w:gridSpan w:val="6"/>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监测日期、监测频次及检测结果</w:t>
            </w:r>
          </w:p>
        </w:tc>
        <w:tc>
          <w:tcPr>
            <w:tcW w:w="775" w:type="dxa"/>
            <w:vMerge w:val="restart"/>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标准限值</w:t>
            </w:r>
          </w:p>
        </w:tc>
        <w:tc>
          <w:tcPr>
            <w:tcW w:w="775" w:type="dxa"/>
            <w:vMerge w:val="restart"/>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单位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74" w:type="dxa"/>
            <w:vMerge w:val="continue"/>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p>
        </w:tc>
        <w:tc>
          <w:tcPr>
            <w:tcW w:w="1548" w:type="dxa"/>
            <w:gridSpan w:val="2"/>
            <w:vMerge w:val="continue"/>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p>
        </w:tc>
        <w:tc>
          <w:tcPr>
            <w:tcW w:w="2325" w:type="dxa"/>
            <w:gridSpan w:val="3"/>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2022.</w:t>
            </w:r>
            <w:r>
              <w:rPr>
                <w:rFonts w:hint="eastAsia" w:ascii="Times New Roman" w:hAnsi="Times New Roman" w:cs="Times New Roman" w:eastAsiaTheme="minorEastAsia"/>
                <w:color w:val="auto"/>
                <w:sz w:val="18"/>
                <w:szCs w:val="18"/>
                <w:lang w:val="en-US" w:eastAsia="zh-CN"/>
              </w:rPr>
              <w:t>11.9</w:t>
            </w:r>
          </w:p>
        </w:tc>
        <w:tc>
          <w:tcPr>
            <w:tcW w:w="2325" w:type="dxa"/>
            <w:gridSpan w:val="3"/>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2022.</w:t>
            </w:r>
            <w:r>
              <w:rPr>
                <w:rFonts w:hint="eastAsia" w:ascii="Times New Roman" w:hAnsi="Times New Roman" w:cs="Times New Roman" w:eastAsiaTheme="minorEastAsia"/>
                <w:color w:val="auto"/>
                <w:sz w:val="18"/>
                <w:szCs w:val="18"/>
                <w:lang w:val="en-US" w:eastAsia="zh-CN"/>
              </w:rPr>
              <w:t>11.10</w:t>
            </w:r>
          </w:p>
        </w:tc>
        <w:tc>
          <w:tcPr>
            <w:tcW w:w="775" w:type="dxa"/>
            <w:vMerge w:val="continue"/>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p>
        </w:tc>
        <w:tc>
          <w:tcPr>
            <w:tcW w:w="775" w:type="dxa"/>
            <w:vMerge w:val="continue"/>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74" w:type="dxa"/>
            <w:vMerge w:val="continue"/>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p>
        </w:tc>
        <w:tc>
          <w:tcPr>
            <w:tcW w:w="1548" w:type="dxa"/>
            <w:gridSpan w:val="2"/>
            <w:vMerge w:val="continue"/>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第一次</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第二次</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第三次</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第一次</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第二次</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第三次</w:t>
            </w:r>
          </w:p>
        </w:tc>
        <w:tc>
          <w:tcPr>
            <w:tcW w:w="775" w:type="dxa"/>
            <w:vMerge w:val="continue"/>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p>
        </w:tc>
        <w:tc>
          <w:tcPr>
            <w:tcW w:w="775" w:type="dxa"/>
            <w:vMerge w:val="continue"/>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74" w:type="dxa"/>
            <w:vMerge w:val="restart"/>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color w:val="auto"/>
                <w:spacing w:val="-5"/>
                <w:sz w:val="18"/>
                <w:szCs w:val="18"/>
              </w:rPr>
              <w:t>废气处理设施进口G1</w:t>
            </w:r>
          </w:p>
        </w:tc>
        <w:tc>
          <w:tcPr>
            <w:tcW w:w="1548" w:type="dxa"/>
            <w:gridSpan w:val="2"/>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标干流量</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406</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450</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403</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412</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423</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419</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m</w:t>
            </w:r>
            <w:r>
              <w:rPr>
                <w:rFonts w:hint="default" w:ascii="Times New Roman" w:hAnsi="Times New Roman" w:cs="Times New Roman" w:eastAsiaTheme="minorEastAsia"/>
                <w:color w:val="auto"/>
                <w:sz w:val="18"/>
                <w:szCs w:val="18"/>
                <w:vertAlign w:val="superscript"/>
              </w:rPr>
              <w:t>3</w:t>
            </w:r>
            <w:r>
              <w:rPr>
                <w:rFonts w:hint="default" w:ascii="Times New Roman" w:hAnsi="Times New Roman" w:cs="Times New Roman" w:eastAsiaTheme="minorEastAsia"/>
                <w:color w:val="auto"/>
                <w:sz w:val="18"/>
                <w:szCs w:val="18"/>
              </w:rPr>
              <w:t>/h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74" w:type="dxa"/>
            <w:vMerge w:val="continue"/>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p>
        </w:tc>
        <w:tc>
          <w:tcPr>
            <w:tcW w:w="1548" w:type="dxa"/>
            <w:gridSpan w:val="2"/>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烟温</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28.2</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28.3</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28.3</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28.5</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28.6</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28.6</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74" w:type="dxa"/>
            <w:vMerge w:val="continue"/>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p>
        </w:tc>
        <w:tc>
          <w:tcPr>
            <w:tcW w:w="1548" w:type="dxa"/>
            <w:gridSpan w:val="2"/>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流速</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6.2</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6.4</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6.4</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6.0</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6.2</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6.4</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m/s</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74" w:type="dxa"/>
            <w:vMerge w:val="continue"/>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p>
        </w:tc>
        <w:tc>
          <w:tcPr>
            <w:tcW w:w="417" w:type="dxa"/>
            <w:vMerge w:val="restart"/>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氨气</w:t>
            </w:r>
          </w:p>
        </w:tc>
        <w:tc>
          <w:tcPr>
            <w:tcW w:w="1131"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实测浓度</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30.1</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30.5</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30.8</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31.2</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30.2</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30.8</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mg/m</w:t>
            </w:r>
            <w:r>
              <w:rPr>
                <w:rFonts w:hint="default" w:ascii="Times New Roman" w:hAnsi="Times New Roman" w:cs="Times New Roman" w:eastAsiaTheme="minorEastAsia"/>
                <w:color w:val="auto"/>
                <w:sz w:val="18"/>
                <w:szCs w:val="18"/>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74" w:type="dxa"/>
            <w:vMerge w:val="continue"/>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p>
        </w:tc>
        <w:tc>
          <w:tcPr>
            <w:tcW w:w="417" w:type="dxa"/>
            <w:vMerge w:val="continue"/>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p>
        </w:tc>
        <w:tc>
          <w:tcPr>
            <w:tcW w:w="1131"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排放速率</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w:t>
            </w:r>
            <w:r>
              <w:rPr>
                <w:rFonts w:hint="eastAsia" w:ascii="Times New Roman" w:hAnsi="Times New Roman" w:cs="Times New Roman" w:eastAsiaTheme="minorEastAsia"/>
                <w:color w:val="auto"/>
                <w:sz w:val="18"/>
                <w:szCs w:val="18"/>
                <w:lang w:val="en-US" w:eastAsia="zh-CN"/>
              </w:rPr>
              <w:t>122</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w:t>
            </w:r>
            <w:r>
              <w:rPr>
                <w:rFonts w:hint="eastAsia" w:ascii="Times New Roman" w:hAnsi="Times New Roman" w:cs="Times New Roman" w:eastAsiaTheme="minorEastAsia"/>
                <w:color w:val="auto"/>
                <w:sz w:val="18"/>
                <w:szCs w:val="18"/>
                <w:lang w:val="en-US" w:eastAsia="zh-CN"/>
              </w:rPr>
              <w:t>137</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w:t>
            </w:r>
            <w:r>
              <w:rPr>
                <w:rFonts w:hint="eastAsia" w:ascii="Times New Roman" w:hAnsi="Times New Roman" w:cs="Times New Roman" w:eastAsiaTheme="minorEastAsia"/>
                <w:color w:val="auto"/>
                <w:sz w:val="18"/>
                <w:szCs w:val="18"/>
                <w:lang w:val="en-US" w:eastAsia="zh-CN"/>
              </w:rPr>
              <w:t>124</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w:t>
            </w:r>
            <w:r>
              <w:rPr>
                <w:rFonts w:hint="eastAsia" w:ascii="Times New Roman" w:hAnsi="Times New Roman" w:cs="Times New Roman" w:eastAsiaTheme="minorEastAsia"/>
                <w:color w:val="auto"/>
                <w:sz w:val="18"/>
                <w:szCs w:val="18"/>
                <w:lang w:val="en-US" w:eastAsia="zh-CN"/>
              </w:rPr>
              <w:t>129</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w:t>
            </w:r>
            <w:r>
              <w:rPr>
                <w:rFonts w:hint="eastAsia" w:ascii="Times New Roman" w:hAnsi="Times New Roman" w:cs="Times New Roman" w:eastAsiaTheme="minorEastAsia"/>
                <w:color w:val="auto"/>
                <w:sz w:val="18"/>
                <w:szCs w:val="18"/>
                <w:lang w:val="en-US" w:eastAsia="zh-CN"/>
              </w:rPr>
              <w:t>128</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w:t>
            </w:r>
            <w:r>
              <w:rPr>
                <w:rFonts w:hint="eastAsia" w:ascii="Times New Roman" w:hAnsi="Times New Roman" w:cs="Times New Roman" w:eastAsiaTheme="minorEastAsia"/>
                <w:color w:val="auto"/>
                <w:sz w:val="18"/>
                <w:szCs w:val="18"/>
                <w:lang w:val="en-US" w:eastAsia="zh-CN"/>
              </w:rPr>
              <w:t>129</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74" w:type="dxa"/>
            <w:vMerge w:val="continue"/>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p>
        </w:tc>
        <w:tc>
          <w:tcPr>
            <w:tcW w:w="417" w:type="dxa"/>
            <w:vMerge w:val="restart"/>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苯酚</w:t>
            </w:r>
          </w:p>
        </w:tc>
        <w:tc>
          <w:tcPr>
            <w:tcW w:w="1131"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实测浓度</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30.2</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29.8</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30.4</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30.5</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30.1</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eastAsia" w:ascii="Times New Roman" w:hAnsi="Times New Roman" w:cs="Times New Roman" w:eastAsiaTheme="minorEastAsia"/>
                <w:color w:val="auto"/>
                <w:sz w:val="18"/>
                <w:szCs w:val="18"/>
                <w:lang w:val="en-US" w:eastAsia="zh-CN"/>
              </w:rPr>
              <w:t>30.6</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mg/m</w:t>
            </w:r>
            <w:r>
              <w:rPr>
                <w:rFonts w:hint="default" w:ascii="Times New Roman" w:hAnsi="Times New Roman" w:cs="Times New Roman" w:eastAsiaTheme="minorEastAsia"/>
                <w:color w:val="auto"/>
                <w:sz w:val="18"/>
                <w:szCs w:val="18"/>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74" w:type="dxa"/>
            <w:vMerge w:val="continue"/>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p>
        </w:tc>
        <w:tc>
          <w:tcPr>
            <w:tcW w:w="417" w:type="dxa"/>
            <w:vMerge w:val="continue"/>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p>
        </w:tc>
        <w:tc>
          <w:tcPr>
            <w:tcW w:w="1131"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排放速率</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w:t>
            </w:r>
            <w:r>
              <w:rPr>
                <w:rFonts w:hint="eastAsia" w:ascii="Times New Roman" w:hAnsi="Times New Roman" w:cs="Times New Roman" w:eastAsiaTheme="minorEastAsia"/>
                <w:color w:val="auto"/>
                <w:sz w:val="18"/>
                <w:szCs w:val="18"/>
                <w:lang w:val="en-US" w:eastAsia="zh-CN"/>
              </w:rPr>
              <w:t>123</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w:t>
            </w:r>
            <w:r>
              <w:rPr>
                <w:rFonts w:hint="eastAsia" w:ascii="Times New Roman" w:hAnsi="Times New Roman" w:cs="Times New Roman" w:eastAsiaTheme="minorEastAsia"/>
                <w:color w:val="auto"/>
                <w:sz w:val="18"/>
                <w:szCs w:val="18"/>
                <w:lang w:val="en-US" w:eastAsia="zh-CN"/>
              </w:rPr>
              <w:t>134</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w:t>
            </w:r>
            <w:r>
              <w:rPr>
                <w:rFonts w:hint="eastAsia" w:ascii="Times New Roman" w:hAnsi="Times New Roman" w:cs="Times New Roman" w:eastAsiaTheme="minorEastAsia"/>
                <w:color w:val="auto"/>
                <w:sz w:val="18"/>
                <w:szCs w:val="18"/>
                <w:lang w:val="en-US" w:eastAsia="zh-CN"/>
              </w:rPr>
              <w:t>123</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w:t>
            </w:r>
            <w:r>
              <w:rPr>
                <w:rFonts w:hint="eastAsia" w:ascii="Times New Roman" w:hAnsi="Times New Roman" w:cs="Times New Roman" w:eastAsiaTheme="minorEastAsia"/>
                <w:color w:val="auto"/>
                <w:sz w:val="18"/>
                <w:szCs w:val="18"/>
                <w:lang w:val="en-US" w:eastAsia="zh-CN"/>
              </w:rPr>
              <w:t>126</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w:t>
            </w:r>
            <w:r>
              <w:rPr>
                <w:rFonts w:hint="eastAsia" w:ascii="Times New Roman" w:hAnsi="Times New Roman" w:cs="Times New Roman" w:eastAsiaTheme="minorEastAsia"/>
                <w:color w:val="auto"/>
                <w:sz w:val="18"/>
                <w:szCs w:val="18"/>
                <w:lang w:val="en-US" w:eastAsia="zh-CN"/>
              </w:rPr>
              <w:t>127</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w:t>
            </w:r>
            <w:r>
              <w:rPr>
                <w:rFonts w:hint="eastAsia" w:ascii="Times New Roman" w:hAnsi="Times New Roman" w:cs="Times New Roman" w:eastAsiaTheme="minorEastAsia"/>
                <w:color w:val="auto"/>
                <w:sz w:val="18"/>
                <w:szCs w:val="18"/>
                <w:lang w:val="en-US" w:eastAsia="zh-CN"/>
              </w:rPr>
              <w:t>128</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74" w:type="dxa"/>
            <w:vMerge w:val="continue"/>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p>
        </w:tc>
        <w:tc>
          <w:tcPr>
            <w:tcW w:w="417" w:type="dxa"/>
            <w:vMerge w:val="restart"/>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甲醇</w:t>
            </w:r>
          </w:p>
        </w:tc>
        <w:tc>
          <w:tcPr>
            <w:tcW w:w="1131"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实测浓度</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7.55</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7.46</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7.83</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7.62</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7.52</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7.41</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mg/m</w:t>
            </w:r>
            <w:r>
              <w:rPr>
                <w:rFonts w:hint="default" w:ascii="Times New Roman" w:hAnsi="Times New Roman" w:cs="Times New Roman" w:eastAsiaTheme="minorEastAsia"/>
                <w:color w:val="auto"/>
                <w:sz w:val="18"/>
                <w:szCs w:val="18"/>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74" w:type="dxa"/>
            <w:vMerge w:val="continue"/>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p>
        </w:tc>
        <w:tc>
          <w:tcPr>
            <w:tcW w:w="417" w:type="dxa"/>
            <w:vMerge w:val="continue"/>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p>
        </w:tc>
        <w:tc>
          <w:tcPr>
            <w:tcW w:w="1131"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排放速率</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0.00</w:t>
            </w:r>
            <w:r>
              <w:rPr>
                <w:rFonts w:hint="eastAsia" w:ascii="Times New Roman" w:hAnsi="Times New Roman" w:cs="Times New Roman" w:eastAsiaTheme="minorEastAsia"/>
                <w:color w:val="auto"/>
                <w:sz w:val="18"/>
                <w:szCs w:val="18"/>
                <w:lang w:val="en-US" w:eastAsia="zh-CN"/>
              </w:rPr>
              <w:t>307</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0.00</w:t>
            </w:r>
            <w:r>
              <w:rPr>
                <w:rFonts w:hint="eastAsia" w:ascii="Times New Roman" w:hAnsi="Times New Roman" w:cs="Times New Roman" w:eastAsiaTheme="minorEastAsia"/>
                <w:color w:val="auto"/>
                <w:sz w:val="18"/>
                <w:szCs w:val="18"/>
                <w:lang w:val="en-US" w:eastAsia="zh-CN"/>
              </w:rPr>
              <w:t>336</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0.00</w:t>
            </w:r>
            <w:r>
              <w:rPr>
                <w:rFonts w:hint="eastAsia" w:ascii="Times New Roman" w:hAnsi="Times New Roman" w:cs="Times New Roman" w:eastAsiaTheme="minorEastAsia"/>
                <w:color w:val="auto"/>
                <w:sz w:val="18"/>
                <w:szCs w:val="18"/>
                <w:lang w:val="en-US" w:eastAsia="zh-CN"/>
              </w:rPr>
              <w:t>316</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0.00</w:t>
            </w:r>
            <w:r>
              <w:rPr>
                <w:rFonts w:hint="eastAsia" w:ascii="Times New Roman" w:hAnsi="Times New Roman" w:cs="Times New Roman" w:eastAsiaTheme="minorEastAsia"/>
                <w:color w:val="auto"/>
                <w:sz w:val="18"/>
                <w:szCs w:val="18"/>
                <w:lang w:val="en-US" w:eastAsia="zh-CN"/>
              </w:rPr>
              <w:t>314</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0.00</w:t>
            </w:r>
            <w:r>
              <w:rPr>
                <w:rFonts w:hint="eastAsia" w:ascii="Times New Roman" w:hAnsi="Times New Roman" w:cs="Times New Roman" w:eastAsiaTheme="minorEastAsia"/>
                <w:color w:val="auto"/>
                <w:sz w:val="18"/>
                <w:szCs w:val="18"/>
                <w:lang w:val="en-US" w:eastAsia="zh-CN"/>
              </w:rPr>
              <w:t>318</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0.00</w:t>
            </w:r>
            <w:r>
              <w:rPr>
                <w:rFonts w:hint="eastAsia" w:ascii="Times New Roman" w:hAnsi="Times New Roman" w:cs="Times New Roman" w:eastAsiaTheme="minorEastAsia"/>
                <w:color w:val="auto"/>
                <w:sz w:val="18"/>
                <w:szCs w:val="18"/>
                <w:lang w:val="en-US" w:eastAsia="zh-CN"/>
              </w:rPr>
              <w:t>310</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74" w:type="dxa"/>
            <w:vMerge w:val="continue"/>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p>
        </w:tc>
        <w:tc>
          <w:tcPr>
            <w:tcW w:w="417" w:type="dxa"/>
            <w:vMerge w:val="restart"/>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甲醛</w:t>
            </w:r>
          </w:p>
        </w:tc>
        <w:tc>
          <w:tcPr>
            <w:tcW w:w="1131"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实测浓度</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12.4</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13.1</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12.6</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12.7</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rPr>
            </w:pPr>
            <w:r>
              <w:rPr>
                <w:rFonts w:hint="eastAsia" w:ascii="Times New Roman" w:hAnsi="Times New Roman" w:cs="Times New Roman" w:eastAsiaTheme="minorEastAsia"/>
                <w:color w:val="auto"/>
                <w:sz w:val="18"/>
                <w:szCs w:val="18"/>
                <w:lang w:val="en-US" w:eastAsia="zh-CN"/>
              </w:rPr>
              <w:t>12.3</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12.5</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mg/m</w:t>
            </w:r>
            <w:r>
              <w:rPr>
                <w:rFonts w:hint="default" w:ascii="Times New Roman" w:hAnsi="Times New Roman" w:cs="Times New Roman" w:eastAsiaTheme="minorEastAsia"/>
                <w:color w:val="auto"/>
                <w:sz w:val="18"/>
                <w:szCs w:val="18"/>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74" w:type="dxa"/>
            <w:vMerge w:val="continue"/>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p>
        </w:tc>
        <w:tc>
          <w:tcPr>
            <w:tcW w:w="417" w:type="dxa"/>
            <w:vMerge w:val="continue"/>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p>
        </w:tc>
        <w:tc>
          <w:tcPr>
            <w:tcW w:w="1131"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排放速率</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0.00</w:t>
            </w:r>
            <w:r>
              <w:rPr>
                <w:rFonts w:hint="eastAsia" w:ascii="Times New Roman" w:hAnsi="Times New Roman" w:cs="Times New Roman" w:eastAsiaTheme="minorEastAsia"/>
                <w:color w:val="auto"/>
                <w:sz w:val="18"/>
                <w:szCs w:val="18"/>
                <w:lang w:val="en-US" w:eastAsia="zh-CN"/>
              </w:rPr>
              <w:t>5</w:t>
            </w:r>
            <w:r>
              <w:rPr>
                <w:rFonts w:hint="default" w:ascii="Times New Roman" w:hAnsi="Times New Roman" w:cs="Times New Roman" w:eastAsiaTheme="minorEastAsia"/>
                <w:color w:val="auto"/>
                <w:sz w:val="18"/>
                <w:szCs w:val="18"/>
              </w:rPr>
              <w:t>03</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0.00</w:t>
            </w:r>
            <w:r>
              <w:rPr>
                <w:rFonts w:hint="eastAsia" w:ascii="Times New Roman" w:hAnsi="Times New Roman" w:cs="Times New Roman" w:eastAsiaTheme="minorEastAsia"/>
                <w:color w:val="auto"/>
                <w:sz w:val="18"/>
                <w:szCs w:val="18"/>
                <w:lang w:val="en-US" w:eastAsia="zh-CN"/>
              </w:rPr>
              <w:t>590</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0.00</w:t>
            </w:r>
            <w:r>
              <w:rPr>
                <w:rFonts w:hint="eastAsia" w:ascii="Times New Roman" w:hAnsi="Times New Roman" w:cs="Times New Roman" w:eastAsiaTheme="minorEastAsia"/>
                <w:color w:val="auto"/>
                <w:sz w:val="18"/>
                <w:szCs w:val="18"/>
                <w:lang w:val="en-US" w:eastAsia="zh-CN"/>
              </w:rPr>
              <w:t>508</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0.00</w:t>
            </w:r>
            <w:r>
              <w:rPr>
                <w:rFonts w:hint="eastAsia" w:ascii="Times New Roman" w:hAnsi="Times New Roman" w:cs="Times New Roman" w:eastAsiaTheme="minorEastAsia"/>
                <w:color w:val="auto"/>
                <w:sz w:val="18"/>
                <w:szCs w:val="18"/>
                <w:lang w:val="en-US" w:eastAsia="zh-CN"/>
              </w:rPr>
              <w:t>523</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0.00</w:t>
            </w:r>
            <w:r>
              <w:rPr>
                <w:rFonts w:hint="eastAsia" w:ascii="Times New Roman" w:hAnsi="Times New Roman" w:cs="Times New Roman" w:eastAsiaTheme="minorEastAsia"/>
                <w:color w:val="auto"/>
                <w:sz w:val="18"/>
                <w:szCs w:val="18"/>
                <w:lang w:val="en-US" w:eastAsia="zh-CN"/>
              </w:rPr>
              <w:t>520</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0.00</w:t>
            </w:r>
            <w:r>
              <w:rPr>
                <w:rFonts w:hint="eastAsia" w:ascii="Times New Roman" w:hAnsi="Times New Roman" w:cs="Times New Roman" w:eastAsiaTheme="minorEastAsia"/>
                <w:color w:val="auto"/>
                <w:sz w:val="18"/>
                <w:szCs w:val="18"/>
                <w:lang w:val="en-US" w:eastAsia="zh-CN"/>
              </w:rPr>
              <w:t>524</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74" w:type="dxa"/>
            <w:vMerge w:val="continue"/>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p>
        </w:tc>
        <w:tc>
          <w:tcPr>
            <w:tcW w:w="417" w:type="dxa"/>
            <w:vMerge w:val="restart"/>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TVOC</w:t>
            </w:r>
          </w:p>
        </w:tc>
        <w:tc>
          <w:tcPr>
            <w:tcW w:w="1131"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实测浓度</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19.8</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eastAsia" w:ascii="Times New Roman" w:hAnsi="Times New Roman" w:cs="Times New Roman" w:eastAsiaTheme="minorEastAsia"/>
                <w:color w:val="auto"/>
                <w:sz w:val="18"/>
                <w:szCs w:val="18"/>
                <w:lang w:val="en-US" w:eastAsia="zh-CN"/>
              </w:rPr>
              <w:t>24.3</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20.3</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22.7</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22.2</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25.5</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mg/m</w:t>
            </w:r>
            <w:r>
              <w:rPr>
                <w:rFonts w:hint="default" w:ascii="Times New Roman" w:hAnsi="Times New Roman" w:cs="Times New Roman" w:eastAsiaTheme="minorEastAsia"/>
                <w:color w:val="auto"/>
                <w:sz w:val="18"/>
                <w:szCs w:val="18"/>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74" w:type="dxa"/>
            <w:vMerge w:val="continue"/>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p>
        </w:tc>
        <w:tc>
          <w:tcPr>
            <w:tcW w:w="417" w:type="dxa"/>
            <w:vMerge w:val="continue"/>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p>
        </w:tc>
        <w:tc>
          <w:tcPr>
            <w:tcW w:w="1131"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排放速率</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vertAlign w:val="superscript"/>
                <w:lang w:val="en-US" w:eastAsia="zh-CN"/>
              </w:rPr>
            </w:pPr>
            <w:r>
              <w:rPr>
                <w:rFonts w:hint="eastAsia" w:ascii="Times New Roman" w:hAnsi="Times New Roman" w:cs="Times New Roman" w:eastAsiaTheme="minorEastAsia"/>
                <w:color w:val="auto"/>
                <w:sz w:val="18"/>
                <w:szCs w:val="18"/>
                <w:lang w:val="en-US" w:eastAsia="zh-CN"/>
              </w:rPr>
              <w:t>8.04</w:t>
            </w:r>
            <w:r>
              <w:rPr>
                <w:rFonts w:hint="default" w:ascii="Arial" w:hAnsi="Arial" w:cs="Arial" w:eastAsiaTheme="minorEastAsia"/>
                <w:color w:val="auto"/>
                <w:sz w:val="18"/>
                <w:szCs w:val="18"/>
                <w:lang w:val="en-US" w:eastAsia="zh-CN"/>
              </w:rPr>
              <w:t>×</w:t>
            </w:r>
            <w:r>
              <w:rPr>
                <w:rFonts w:hint="eastAsia" w:ascii="Times New Roman" w:hAnsi="Times New Roman" w:cs="Times New Roman" w:eastAsiaTheme="minorEastAsia"/>
                <w:color w:val="auto"/>
                <w:sz w:val="18"/>
                <w:szCs w:val="18"/>
                <w:lang w:val="en-US" w:eastAsia="zh-CN"/>
              </w:rPr>
              <w:t>10</w:t>
            </w:r>
            <w:r>
              <w:rPr>
                <w:rFonts w:hint="eastAsia" w:ascii="Times New Roman" w:hAnsi="Times New Roman" w:cs="Times New Roman" w:eastAsiaTheme="minorEastAsia"/>
                <w:color w:val="auto"/>
                <w:sz w:val="18"/>
                <w:szCs w:val="18"/>
                <w:vertAlign w:val="superscript"/>
                <w:lang w:val="en-US" w:eastAsia="zh-CN"/>
              </w:rPr>
              <w:t>-3</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eastAsia" w:ascii="Times New Roman" w:hAnsi="Times New Roman" w:cs="Times New Roman" w:eastAsiaTheme="minorEastAsia"/>
                <w:color w:val="auto"/>
                <w:sz w:val="18"/>
                <w:szCs w:val="18"/>
                <w:lang w:val="en-US" w:eastAsia="zh-CN"/>
              </w:rPr>
              <w:t>1.09</w:t>
            </w:r>
            <w:r>
              <w:rPr>
                <w:rFonts w:hint="default" w:ascii="Arial" w:hAnsi="Arial" w:cs="Arial" w:eastAsiaTheme="minorEastAsia"/>
                <w:color w:val="auto"/>
                <w:sz w:val="18"/>
                <w:szCs w:val="18"/>
                <w:lang w:val="en-US" w:eastAsia="zh-CN"/>
              </w:rPr>
              <w:t>×</w:t>
            </w:r>
            <w:r>
              <w:rPr>
                <w:rFonts w:hint="eastAsia" w:ascii="Times New Roman" w:hAnsi="Times New Roman" w:cs="Times New Roman" w:eastAsiaTheme="minorEastAsia"/>
                <w:color w:val="auto"/>
                <w:sz w:val="18"/>
                <w:szCs w:val="18"/>
                <w:lang w:val="en-US" w:eastAsia="zh-CN"/>
              </w:rPr>
              <w:t>10</w:t>
            </w:r>
            <w:r>
              <w:rPr>
                <w:rFonts w:hint="eastAsia" w:ascii="Times New Roman" w:hAnsi="Times New Roman" w:cs="Times New Roman" w:eastAsiaTheme="minorEastAsia"/>
                <w:color w:val="auto"/>
                <w:sz w:val="18"/>
                <w:szCs w:val="18"/>
                <w:vertAlign w:val="superscript"/>
                <w:lang w:val="en-US" w:eastAsia="zh-CN"/>
              </w:rPr>
              <w:t>-2</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eastAsia" w:ascii="Times New Roman" w:hAnsi="Times New Roman" w:cs="Times New Roman" w:eastAsiaTheme="minorEastAsia"/>
                <w:color w:val="auto"/>
                <w:sz w:val="18"/>
                <w:szCs w:val="18"/>
                <w:lang w:val="en-US" w:eastAsia="zh-CN"/>
              </w:rPr>
              <w:t>8.18</w:t>
            </w:r>
            <w:r>
              <w:rPr>
                <w:rFonts w:hint="default" w:ascii="Arial" w:hAnsi="Arial" w:cs="Arial" w:eastAsiaTheme="minorEastAsia"/>
                <w:color w:val="auto"/>
                <w:sz w:val="18"/>
                <w:szCs w:val="18"/>
                <w:lang w:val="en-US" w:eastAsia="zh-CN"/>
              </w:rPr>
              <w:t>×</w:t>
            </w:r>
            <w:r>
              <w:rPr>
                <w:rFonts w:hint="eastAsia" w:ascii="Times New Roman" w:hAnsi="Times New Roman" w:cs="Times New Roman" w:eastAsiaTheme="minorEastAsia"/>
                <w:color w:val="auto"/>
                <w:sz w:val="18"/>
                <w:szCs w:val="18"/>
                <w:lang w:val="en-US" w:eastAsia="zh-CN"/>
              </w:rPr>
              <w:t>10</w:t>
            </w:r>
            <w:r>
              <w:rPr>
                <w:rFonts w:hint="eastAsia" w:ascii="Times New Roman" w:hAnsi="Times New Roman" w:cs="Times New Roman" w:eastAsiaTheme="minorEastAsia"/>
                <w:color w:val="auto"/>
                <w:sz w:val="18"/>
                <w:szCs w:val="18"/>
                <w:vertAlign w:val="superscript"/>
                <w:lang w:val="en-US" w:eastAsia="zh-CN"/>
              </w:rPr>
              <w:t>-3</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eastAsia" w:ascii="Times New Roman" w:hAnsi="Times New Roman" w:cs="Times New Roman" w:eastAsiaTheme="minorEastAsia"/>
                <w:color w:val="auto"/>
                <w:sz w:val="18"/>
                <w:szCs w:val="18"/>
                <w:lang w:val="en-US" w:eastAsia="zh-CN"/>
              </w:rPr>
              <w:t>9.35</w:t>
            </w:r>
            <w:r>
              <w:rPr>
                <w:rFonts w:hint="default" w:ascii="Arial" w:hAnsi="Arial" w:cs="Arial" w:eastAsiaTheme="minorEastAsia"/>
                <w:color w:val="auto"/>
                <w:sz w:val="18"/>
                <w:szCs w:val="18"/>
                <w:lang w:val="en-US" w:eastAsia="zh-CN"/>
              </w:rPr>
              <w:t>×</w:t>
            </w:r>
            <w:r>
              <w:rPr>
                <w:rFonts w:hint="eastAsia" w:ascii="Times New Roman" w:hAnsi="Times New Roman" w:cs="Times New Roman" w:eastAsiaTheme="minorEastAsia"/>
                <w:color w:val="auto"/>
                <w:sz w:val="18"/>
                <w:szCs w:val="18"/>
                <w:lang w:val="en-US" w:eastAsia="zh-CN"/>
              </w:rPr>
              <w:t>10</w:t>
            </w:r>
            <w:r>
              <w:rPr>
                <w:rFonts w:hint="eastAsia" w:ascii="Times New Roman" w:hAnsi="Times New Roman" w:cs="Times New Roman" w:eastAsiaTheme="minorEastAsia"/>
                <w:color w:val="auto"/>
                <w:sz w:val="18"/>
                <w:szCs w:val="18"/>
                <w:vertAlign w:val="superscript"/>
                <w:lang w:val="en-US" w:eastAsia="zh-CN"/>
              </w:rPr>
              <w:t>-3</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eastAsia" w:ascii="Times New Roman" w:hAnsi="Times New Roman" w:cs="Times New Roman" w:eastAsiaTheme="minorEastAsia"/>
                <w:color w:val="auto"/>
                <w:sz w:val="18"/>
                <w:szCs w:val="18"/>
                <w:lang w:val="en-US" w:eastAsia="zh-CN"/>
              </w:rPr>
              <w:t>9.39</w:t>
            </w:r>
            <w:r>
              <w:rPr>
                <w:rFonts w:hint="default" w:ascii="Arial" w:hAnsi="Arial" w:cs="Arial" w:eastAsiaTheme="minorEastAsia"/>
                <w:color w:val="auto"/>
                <w:sz w:val="18"/>
                <w:szCs w:val="18"/>
                <w:lang w:val="en-US" w:eastAsia="zh-CN"/>
              </w:rPr>
              <w:t>×</w:t>
            </w:r>
            <w:r>
              <w:rPr>
                <w:rFonts w:hint="eastAsia" w:ascii="Times New Roman" w:hAnsi="Times New Roman" w:cs="Times New Roman" w:eastAsiaTheme="minorEastAsia"/>
                <w:color w:val="auto"/>
                <w:sz w:val="18"/>
                <w:szCs w:val="18"/>
                <w:lang w:val="en-US" w:eastAsia="zh-CN"/>
              </w:rPr>
              <w:t>10</w:t>
            </w:r>
            <w:r>
              <w:rPr>
                <w:rFonts w:hint="eastAsia" w:ascii="Times New Roman" w:hAnsi="Times New Roman" w:cs="Times New Roman" w:eastAsiaTheme="minorEastAsia"/>
                <w:color w:val="auto"/>
                <w:sz w:val="18"/>
                <w:szCs w:val="18"/>
                <w:vertAlign w:val="superscript"/>
                <w:lang w:val="en-US" w:eastAsia="zh-CN"/>
              </w:rPr>
              <w:t>-3</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eastAsia" w:ascii="Times New Roman" w:hAnsi="Times New Roman" w:cs="Times New Roman" w:eastAsiaTheme="minorEastAsia"/>
                <w:color w:val="auto"/>
                <w:sz w:val="18"/>
                <w:szCs w:val="18"/>
                <w:lang w:val="en-US" w:eastAsia="zh-CN"/>
              </w:rPr>
              <w:t>1.07</w:t>
            </w:r>
            <w:r>
              <w:rPr>
                <w:rFonts w:hint="default" w:ascii="Arial" w:hAnsi="Arial" w:cs="Arial" w:eastAsiaTheme="minorEastAsia"/>
                <w:color w:val="auto"/>
                <w:sz w:val="18"/>
                <w:szCs w:val="18"/>
                <w:lang w:val="en-US" w:eastAsia="zh-CN"/>
              </w:rPr>
              <w:t>×</w:t>
            </w:r>
            <w:r>
              <w:rPr>
                <w:rFonts w:hint="eastAsia" w:ascii="Times New Roman" w:hAnsi="Times New Roman" w:cs="Times New Roman" w:eastAsiaTheme="minorEastAsia"/>
                <w:color w:val="auto"/>
                <w:sz w:val="18"/>
                <w:szCs w:val="18"/>
                <w:lang w:val="en-US" w:eastAsia="zh-CN"/>
              </w:rPr>
              <w:t>10</w:t>
            </w:r>
            <w:r>
              <w:rPr>
                <w:rFonts w:hint="eastAsia" w:ascii="Times New Roman" w:hAnsi="Times New Roman" w:cs="Times New Roman" w:eastAsiaTheme="minorEastAsia"/>
                <w:color w:val="auto"/>
                <w:sz w:val="18"/>
                <w:szCs w:val="18"/>
                <w:vertAlign w:val="superscript"/>
                <w:lang w:val="en-US" w:eastAsia="zh-CN"/>
              </w:rPr>
              <w:t>-2</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74" w:type="dxa"/>
            <w:vMerge w:val="restart"/>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color w:val="auto"/>
                <w:sz w:val="18"/>
                <w:szCs w:val="18"/>
              </w:rPr>
              <w:t>废气处理设施出口</w:t>
            </w:r>
          </w:p>
        </w:tc>
        <w:tc>
          <w:tcPr>
            <w:tcW w:w="1548" w:type="dxa"/>
            <w:gridSpan w:val="2"/>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标干流量</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396</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rPr>
            </w:pPr>
            <w:r>
              <w:rPr>
                <w:rFonts w:hint="eastAsia" w:ascii="Times New Roman" w:hAnsi="Times New Roman" w:cs="Times New Roman" w:eastAsiaTheme="minorEastAsia"/>
                <w:color w:val="auto"/>
                <w:sz w:val="18"/>
                <w:szCs w:val="18"/>
                <w:lang w:val="en-US" w:eastAsia="zh-CN"/>
              </w:rPr>
              <w:t>389</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384</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385</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391</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386</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m</w:t>
            </w:r>
            <w:r>
              <w:rPr>
                <w:rFonts w:hint="default" w:ascii="Times New Roman" w:hAnsi="Times New Roman" w:cs="Times New Roman" w:eastAsiaTheme="minorEastAsia"/>
                <w:color w:val="auto"/>
                <w:sz w:val="18"/>
                <w:szCs w:val="18"/>
                <w:vertAlign w:val="superscript"/>
              </w:rPr>
              <w:t>3</w:t>
            </w:r>
            <w:r>
              <w:rPr>
                <w:rFonts w:hint="default" w:ascii="Times New Roman" w:hAnsi="Times New Roman" w:cs="Times New Roman" w:eastAsiaTheme="minorEastAsia"/>
                <w:color w:val="auto"/>
                <w:sz w:val="18"/>
                <w:szCs w:val="18"/>
              </w:rPr>
              <w:t>/h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74" w:type="dxa"/>
            <w:vMerge w:val="continue"/>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p>
        </w:tc>
        <w:tc>
          <w:tcPr>
            <w:tcW w:w="1548" w:type="dxa"/>
            <w:gridSpan w:val="2"/>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烟温</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28.4</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28.5</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28.4</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28.3</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28.4</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28.3</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74" w:type="dxa"/>
            <w:vMerge w:val="continue"/>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p>
        </w:tc>
        <w:tc>
          <w:tcPr>
            <w:tcW w:w="1548" w:type="dxa"/>
            <w:gridSpan w:val="2"/>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流速</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6.1</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6.1</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6.1</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6.0</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6.2</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6.6</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m/s</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74" w:type="dxa"/>
            <w:vMerge w:val="continue"/>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p>
        </w:tc>
        <w:tc>
          <w:tcPr>
            <w:tcW w:w="417" w:type="dxa"/>
            <w:vMerge w:val="restart"/>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氨气</w:t>
            </w:r>
          </w:p>
        </w:tc>
        <w:tc>
          <w:tcPr>
            <w:tcW w:w="1131"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实测浓度</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4.06</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4.25</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4.16</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eastAsia" w:ascii="Times New Roman" w:hAnsi="Times New Roman" w:cs="Times New Roman" w:eastAsiaTheme="minorEastAsia"/>
                <w:color w:val="auto"/>
                <w:sz w:val="18"/>
                <w:szCs w:val="18"/>
                <w:lang w:val="en-US" w:eastAsia="zh-CN"/>
              </w:rPr>
              <w:t>4</w:t>
            </w:r>
            <w:r>
              <w:rPr>
                <w:rFonts w:hint="default" w:ascii="Times New Roman" w:hAnsi="Times New Roman" w:cs="Times New Roman" w:eastAsiaTheme="minorEastAsia"/>
                <w:color w:val="auto"/>
                <w:sz w:val="18"/>
                <w:szCs w:val="18"/>
              </w:rPr>
              <w:t>.24</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4.51</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4.27</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30</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mg/m</w:t>
            </w:r>
            <w:r>
              <w:rPr>
                <w:rFonts w:hint="default" w:ascii="Times New Roman" w:hAnsi="Times New Roman" w:cs="Times New Roman" w:eastAsiaTheme="minorEastAsia"/>
                <w:color w:val="auto"/>
                <w:sz w:val="18"/>
                <w:szCs w:val="18"/>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74" w:type="dxa"/>
            <w:vMerge w:val="continue"/>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p>
        </w:tc>
        <w:tc>
          <w:tcPr>
            <w:tcW w:w="417" w:type="dxa"/>
            <w:vMerge w:val="continue"/>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p>
        </w:tc>
        <w:tc>
          <w:tcPr>
            <w:tcW w:w="1131"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排放速率</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0.00</w:t>
            </w:r>
            <w:r>
              <w:rPr>
                <w:rFonts w:hint="eastAsia" w:ascii="Times New Roman" w:hAnsi="Times New Roman" w:cs="Times New Roman" w:eastAsiaTheme="minorEastAsia"/>
                <w:color w:val="auto"/>
                <w:sz w:val="18"/>
                <w:szCs w:val="18"/>
                <w:lang w:val="en-US" w:eastAsia="zh-CN"/>
              </w:rPr>
              <w:t>161</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0.00</w:t>
            </w:r>
            <w:r>
              <w:rPr>
                <w:rFonts w:hint="eastAsia" w:ascii="Times New Roman" w:hAnsi="Times New Roman" w:cs="Times New Roman" w:eastAsiaTheme="minorEastAsia"/>
                <w:color w:val="auto"/>
                <w:sz w:val="18"/>
                <w:szCs w:val="18"/>
                <w:lang w:val="en-US" w:eastAsia="zh-CN"/>
              </w:rPr>
              <w:t>165</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0.00</w:t>
            </w:r>
            <w:r>
              <w:rPr>
                <w:rFonts w:hint="eastAsia" w:ascii="Times New Roman" w:hAnsi="Times New Roman" w:cs="Times New Roman" w:eastAsiaTheme="minorEastAsia"/>
                <w:color w:val="auto"/>
                <w:sz w:val="18"/>
                <w:szCs w:val="18"/>
                <w:lang w:val="en-US" w:eastAsia="zh-CN"/>
              </w:rPr>
              <w:t>160</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0.00</w:t>
            </w:r>
            <w:r>
              <w:rPr>
                <w:rFonts w:hint="eastAsia" w:ascii="Times New Roman" w:hAnsi="Times New Roman" w:cs="Times New Roman" w:eastAsiaTheme="minorEastAsia"/>
                <w:color w:val="auto"/>
                <w:sz w:val="18"/>
                <w:szCs w:val="18"/>
                <w:lang w:val="en-US" w:eastAsia="zh-CN"/>
              </w:rPr>
              <w:t>163</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0.00</w:t>
            </w:r>
            <w:r>
              <w:rPr>
                <w:rFonts w:hint="eastAsia" w:ascii="Times New Roman" w:hAnsi="Times New Roman" w:cs="Times New Roman" w:eastAsiaTheme="minorEastAsia"/>
                <w:color w:val="auto"/>
                <w:sz w:val="18"/>
                <w:szCs w:val="18"/>
                <w:lang w:val="en-US" w:eastAsia="zh-CN"/>
              </w:rPr>
              <w:t>176</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0.00</w:t>
            </w:r>
            <w:r>
              <w:rPr>
                <w:rFonts w:hint="eastAsia" w:ascii="Times New Roman" w:hAnsi="Times New Roman" w:cs="Times New Roman" w:eastAsiaTheme="minorEastAsia"/>
                <w:color w:val="auto"/>
                <w:sz w:val="18"/>
                <w:szCs w:val="18"/>
                <w:lang w:val="en-US" w:eastAsia="zh-CN"/>
              </w:rPr>
              <w:t>165</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74" w:type="dxa"/>
            <w:vMerge w:val="continue"/>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p>
        </w:tc>
        <w:tc>
          <w:tcPr>
            <w:tcW w:w="417" w:type="dxa"/>
            <w:vMerge w:val="restart"/>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苯酚</w:t>
            </w:r>
          </w:p>
        </w:tc>
        <w:tc>
          <w:tcPr>
            <w:tcW w:w="1131"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实测浓度</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4.55</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4.47</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4.38</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4.62</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4.48</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4.43</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15</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mg/m</w:t>
            </w:r>
            <w:r>
              <w:rPr>
                <w:rFonts w:hint="default" w:ascii="Times New Roman" w:hAnsi="Times New Roman" w:cs="Times New Roman" w:eastAsiaTheme="minorEastAsia"/>
                <w:color w:val="auto"/>
                <w:sz w:val="18"/>
                <w:szCs w:val="18"/>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74" w:type="dxa"/>
            <w:vMerge w:val="continue"/>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p>
        </w:tc>
        <w:tc>
          <w:tcPr>
            <w:tcW w:w="417" w:type="dxa"/>
            <w:vMerge w:val="continue"/>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p>
        </w:tc>
        <w:tc>
          <w:tcPr>
            <w:tcW w:w="1131"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排放速率</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0.00</w:t>
            </w:r>
            <w:r>
              <w:rPr>
                <w:rFonts w:hint="eastAsia" w:ascii="Times New Roman" w:hAnsi="Times New Roman" w:cs="Times New Roman" w:eastAsiaTheme="minorEastAsia"/>
                <w:color w:val="auto"/>
                <w:sz w:val="18"/>
                <w:szCs w:val="18"/>
                <w:lang w:val="en-US" w:eastAsia="zh-CN"/>
              </w:rPr>
              <w:t>180</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0.00</w:t>
            </w:r>
            <w:r>
              <w:rPr>
                <w:rFonts w:hint="eastAsia" w:ascii="Times New Roman" w:hAnsi="Times New Roman" w:cs="Times New Roman" w:eastAsiaTheme="minorEastAsia"/>
                <w:color w:val="auto"/>
                <w:sz w:val="18"/>
                <w:szCs w:val="18"/>
                <w:lang w:val="en-US" w:eastAsia="zh-CN"/>
              </w:rPr>
              <w:t>174</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0.00</w:t>
            </w:r>
            <w:r>
              <w:rPr>
                <w:rFonts w:hint="eastAsia" w:ascii="Times New Roman" w:hAnsi="Times New Roman" w:cs="Times New Roman" w:eastAsiaTheme="minorEastAsia"/>
                <w:color w:val="auto"/>
                <w:sz w:val="18"/>
                <w:szCs w:val="18"/>
                <w:lang w:val="en-US" w:eastAsia="zh-CN"/>
              </w:rPr>
              <w:t>168</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0.001</w:t>
            </w:r>
            <w:r>
              <w:rPr>
                <w:rFonts w:hint="eastAsia" w:ascii="Times New Roman" w:hAnsi="Times New Roman" w:cs="Times New Roman" w:eastAsiaTheme="minorEastAsia"/>
                <w:color w:val="auto"/>
                <w:sz w:val="18"/>
                <w:szCs w:val="18"/>
                <w:lang w:val="en-US" w:eastAsia="zh-CN"/>
              </w:rPr>
              <w:t>78</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0.00</w:t>
            </w:r>
            <w:r>
              <w:rPr>
                <w:rFonts w:hint="eastAsia" w:ascii="Times New Roman" w:hAnsi="Times New Roman" w:cs="Times New Roman" w:eastAsiaTheme="minorEastAsia"/>
                <w:color w:val="auto"/>
                <w:sz w:val="18"/>
                <w:szCs w:val="18"/>
                <w:lang w:val="en-US" w:eastAsia="zh-CN"/>
              </w:rPr>
              <w:t>175</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0.00</w:t>
            </w:r>
            <w:r>
              <w:rPr>
                <w:rFonts w:hint="eastAsia" w:ascii="Times New Roman" w:hAnsi="Times New Roman" w:cs="Times New Roman" w:eastAsiaTheme="minorEastAsia"/>
                <w:color w:val="auto"/>
                <w:sz w:val="18"/>
                <w:szCs w:val="18"/>
                <w:lang w:val="en-US" w:eastAsia="zh-CN"/>
              </w:rPr>
              <w:t>171</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74" w:type="dxa"/>
            <w:vMerge w:val="continue"/>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p>
        </w:tc>
        <w:tc>
          <w:tcPr>
            <w:tcW w:w="417" w:type="dxa"/>
            <w:vMerge w:val="restart"/>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甲醇</w:t>
            </w:r>
          </w:p>
        </w:tc>
        <w:tc>
          <w:tcPr>
            <w:tcW w:w="1131"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实测浓度</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1.24</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1.22</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1.19</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1.34</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1.21</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1.19</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60</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mg/m</w:t>
            </w:r>
            <w:r>
              <w:rPr>
                <w:rFonts w:hint="default" w:ascii="Times New Roman" w:hAnsi="Times New Roman" w:cs="Times New Roman" w:eastAsiaTheme="minorEastAsia"/>
                <w:color w:val="auto"/>
                <w:sz w:val="18"/>
                <w:szCs w:val="18"/>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74" w:type="dxa"/>
            <w:vMerge w:val="continue"/>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p>
        </w:tc>
        <w:tc>
          <w:tcPr>
            <w:tcW w:w="417" w:type="dxa"/>
            <w:vMerge w:val="continue"/>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p>
        </w:tc>
        <w:tc>
          <w:tcPr>
            <w:tcW w:w="1131"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排放速率</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0.000</w:t>
            </w:r>
            <w:r>
              <w:rPr>
                <w:rFonts w:hint="eastAsia" w:ascii="Times New Roman" w:hAnsi="Times New Roman" w:cs="Times New Roman" w:eastAsiaTheme="minorEastAsia"/>
                <w:color w:val="auto"/>
                <w:sz w:val="18"/>
                <w:szCs w:val="18"/>
                <w:lang w:val="en-US" w:eastAsia="zh-CN"/>
              </w:rPr>
              <w:t>491</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0.000</w:t>
            </w:r>
            <w:r>
              <w:rPr>
                <w:rFonts w:hint="eastAsia" w:ascii="Times New Roman" w:hAnsi="Times New Roman" w:cs="Times New Roman" w:eastAsiaTheme="minorEastAsia"/>
                <w:color w:val="auto"/>
                <w:sz w:val="18"/>
                <w:szCs w:val="18"/>
                <w:lang w:val="en-US" w:eastAsia="zh-CN"/>
              </w:rPr>
              <w:t>475</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0.000</w:t>
            </w:r>
            <w:r>
              <w:rPr>
                <w:rFonts w:hint="eastAsia" w:ascii="Times New Roman" w:hAnsi="Times New Roman" w:cs="Times New Roman" w:eastAsiaTheme="minorEastAsia"/>
                <w:color w:val="auto"/>
                <w:sz w:val="18"/>
                <w:szCs w:val="18"/>
                <w:lang w:val="en-US" w:eastAsia="zh-CN"/>
              </w:rPr>
              <w:t>457</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0.0005</w:t>
            </w:r>
            <w:r>
              <w:rPr>
                <w:rFonts w:hint="eastAsia" w:ascii="Times New Roman" w:hAnsi="Times New Roman" w:cs="Times New Roman" w:eastAsiaTheme="minorEastAsia"/>
                <w:color w:val="auto"/>
                <w:sz w:val="18"/>
                <w:szCs w:val="18"/>
                <w:lang w:val="en-US" w:eastAsia="zh-CN"/>
              </w:rPr>
              <w:t>16</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0.0004</w:t>
            </w:r>
            <w:r>
              <w:rPr>
                <w:rFonts w:hint="eastAsia" w:ascii="Times New Roman" w:hAnsi="Times New Roman" w:cs="Times New Roman" w:eastAsiaTheme="minorEastAsia"/>
                <w:color w:val="auto"/>
                <w:sz w:val="18"/>
                <w:szCs w:val="18"/>
                <w:lang w:val="en-US" w:eastAsia="zh-CN"/>
              </w:rPr>
              <w:t>73</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0.0004</w:t>
            </w:r>
            <w:r>
              <w:rPr>
                <w:rFonts w:hint="eastAsia" w:ascii="Times New Roman" w:hAnsi="Times New Roman" w:cs="Times New Roman" w:eastAsiaTheme="minorEastAsia"/>
                <w:color w:val="auto"/>
                <w:sz w:val="18"/>
                <w:szCs w:val="18"/>
                <w:lang w:val="en-US" w:eastAsia="zh-CN"/>
              </w:rPr>
              <w:t>59</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14.3</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74" w:type="dxa"/>
            <w:vMerge w:val="continue"/>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p>
        </w:tc>
        <w:tc>
          <w:tcPr>
            <w:tcW w:w="417" w:type="dxa"/>
            <w:vMerge w:val="restart"/>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甲醛</w:t>
            </w:r>
          </w:p>
        </w:tc>
        <w:tc>
          <w:tcPr>
            <w:tcW w:w="1131"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实测浓度</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2.3</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2.7</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2.4</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2.4</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2.6</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2.4</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5.0</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mg/m</w:t>
            </w:r>
            <w:r>
              <w:rPr>
                <w:rFonts w:hint="default" w:ascii="Times New Roman" w:hAnsi="Times New Roman" w:cs="Times New Roman" w:eastAsiaTheme="minorEastAsia"/>
                <w:color w:val="auto"/>
                <w:sz w:val="18"/>
                <w:szCs w:val="18"/>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74" w:type="dxa"/>
            <w:vMerge w:val="continue"/>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p>
        </w:tc>
        <w:tc>
          <w:tcPr>
            <w:tcW w:w="417" w:type="dxa"/>
            <w:vMerge w:val="continue"/>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p>
        </w:tc>
        <w:tc>
          <w:tcPr>
            <w:tcW w:w="1131"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排放速率</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0.000</w:t>
            </w:r>
            <w:r>
              <w:rPr>
                <w:rFonts w:hint="eastAsia" w:ascii="Times New Roman" w:hAnsi="Times New Roman" w:cs="Times New Roman" w:eastAsiaTheme="minorEastAsia"/>
                <w:color w:val="auto"/>
                <w:sz w:val="18"/>
                <w:szCs w:val="18"/>
                <w:lang w:val="en-US" w:eastAsia="zh-CN"/>
              </w:rPr>
              <w:t>911</w:t>
            </w:r>
          </w:p>
        </w:tc>
        <w:tc>
          <w:tcPr>
            <w:tcW w:w="775" w:type="dxa"/>
            <w:tcBorders>
              <w:tl2br w:val="nil"/>
              <w:tr2bl w:val="nil"/>
            </w:tcBorders>
            <w:vAlign w:val="center"/>
          </w:tcPr>
          <w:p>
            <w:pPr>
              <w:pStyle w:val="2"/>
              <w:jc w:val="center"/>
              <w:rPr>
                <w:rFonts w:hint="eastAsia" w:ascii="Times New Roman" w:hAnsi="Times New Roman" w:cs="Times New Roman" w:eastAsiaTheme="minorEastAsia"/>
                <w:color w:val="auto"/>
                <w:sz w:val="18"/>
                <w:szCs w:val="18"/>
                <w:lang w:eastAsia="zh-CN"/>
              </w:rPr>
            </w:pPr>
            <w:r>
              <w:rPr>
                <w:rFonts w:hint="default" w:ascii="Times New Roman" w:hAnsi="Times New Roman" w:cs="Times New Roman" w:eastAsiaTheme="minorEastAsia"/>
                <w:color w:val="auto"/>
                <w:sz w:val="18"/>
                <w:szCs w:val="18"/>
              </w:rPr>
              <w:t>0.00</w:t>
            </w:r>
            <w:r>
              <w:rPr>
                <w:rFonts w:hint="eastAsia" w:ascii="Times New Roman" w:hAnsi="Times New Roman" w:cs="Times New Roman" w:eastAsiaTheme="minorEastAsia"/>
                <w:color w:val="auto"/>
                <w:sz w:val="18"/>
                <w:szCs w:val="18"/>
                <w:lang w:val="en-US" w:eastAsia="zh-CN"/>
              </w:rPr>
              <w:t>1050</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0.000</w:t>
            </w:r>
            <w:r>
              <w:rPr>
                <w:rFonts w:hint="eastAsia" w:ascii="Times New Roman" w:hAnsi="Times New Roman" w:cs="Times New Roman" w:eastAsiaTheme="minorEastAsia"/>
                <w:color w:val="auto"/>
                <w:sz w:val="18"/>
                <w:szCs w:val="18"/>
                <w:lang w:val="en-US" w:eastAsia="zh-CN"/>
              </w:rPr>
              <w:t>922</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0.000</w:t>
            </w:r>
            <w:r>
              <w:rPr>
                <w:rFonts w:hint="eastAsia" w:ascii="Times New Roman" w:hAnsi="Times New Roman" w:cs="Times New Roman" w:eastAsiaTheme="minorEastAsia"/>
                <w:color w:val="auto"/>
                <w:sz w:val="18"/>
                <w:szCs w:val="18"/>
                <w:lang w:val="en-US" w:eastAsia="zh-CN"/>
              </w:rPr>
              <w:t>924</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0.00</w:t>
            </w:r>
            <w:r>
              <w:rPr>
                <w:rFonts w:hint="eastAsia" w:ascii="Times New Roman" w:hAnsi="Times New Roman" w:cs="Times New Roman" w:eastAsiaTheme="minorEastAsia"/>
                <w:color w:val="auto"/>
                <w:sz w:val="18"/>
                <w:szCs w:val="18"/>
                <w:lang w:val="en-US" w:eastAsia="zh-CN"/>
              </w:rPr>
              <w:t>1017</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0.000</w:t>
            </w:r>
            <w:r>
              <w:rPr>
                <w:rFonts w:hint="eastAsia" w:ascii="Times New Roman" w:hAnsi="Times New Roman" w:cs="Times New Roman" w:eastAsiaTheme="minorEastAsia"/>
                <w:color w:val="auto"/>
                <w:sz w:val="18"/>
                <w:szCs w:val="18"/>
                <w:lang w:val="en-US" w:eastAsia="zh-CN"/>
              </w:rPr>
              <w:t>926</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74" w:type="dxa"/>
            <w:vMerge w:val="continue"/>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p>
        </w:tc>
        <w:tc>
          <w:tcPr>
            <w:tcW w:w="417" w:type="dxa"/>
            <w:vMerge w:val="restart"/>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TVOC</w:t>
            </w:r>
          </w:p>
        </w:tc>
        <w:tc>
          <w:tcPr>
            <w:tcW w:w="1131"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实测浓度</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1.63</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1.35</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1.97</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1.53</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1.51</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1.20</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60</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mg/m</w:t>
            </w:r>
            <w:r>
              <w:rPr>
                <w:rFonts w:hint="default" w:ascii="Times New Roman" w:hAnsi="Times New Roman" w:cs="Times New Roman" w:eastAsiaTheme="minorEastAsia"/>
                <w:color w:val="auto"/>
                <w:sz w:val="18"/>
                <w:szCs w:val="18"/>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774" w:type="dxa"/>
            <w:vMerge w:val="continue"/>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p>
        </w:tc>
        <w:tc>
          <w:tcPr>
            <w:tcW w:w="417" w:type="dxa"/>
            <w:vMerge w:val="continue"/>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p>
        </w:tc>
        <w:tc>
          <w:tcPr>
            <w:tcW w:w="1131"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排放速率</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eastAsia" w:ascii="Times New Roman" w:hAnsi="Times New Roman" w:cs="Times New Roman" w:eastAsiaTheme="minorEastAsia"/>
                <w:color w:val="auto"/>
                <w:sz w:val="18"/>
                <w:szCs w:val="18"/>
                <w:lang w:val="en-US" w:eastAsia="zh-CN"/>
              </w:rPr>
              <w:t>6.45</w:t>
            </w:r>
            <w:r>
              <w:rPr>
                <w:rFonts w:hint="default" w:ascii="Arial" w:hAnsi="Arial" w:cs="Arial" w:eastAsiaTheme="minorEastAsia"/>
                <w:color w:val="auto"/>
                <w:sz w:val="18"/>
                <w:szCs w:val="18"/>
                <w:lang w:val="en-US" w:eastAsia="zh-CN"/>
              </w:rPr>
              <w:t>×</w:t>
            </w:r>
            <w:r>
              <w:rPr>
                <w:rFonts w:hint="eastAsia" w:ascii="Times New Roman" w:hAnsi="Times New Roman" w:cs="Times New Roman" w:eastAsiaTheme="minorEastAsia"/>
                <w:color w:val="auto"/>
                <w:sz w:val="18"/>
                <w:szCs w:val="18"/>
                <w:lang w:val="en-US" w:eastAsia="zh-CN"/>
              </w:rPr>
              <w:t>10</w:t>
            </w:r>
            <w:r>
              <w:rPr>
                <w:rFonts w:hint="eastAsia" w:ascii="Times New Roman" w:hAnsi="Times New Roman" w:cs="Times New Roman" w:eastAsiaTheme="minorEastAsia"/>
                <w:color w:val="auto"/>
                <w:sz w:val="18"/>
                <w:szCs w:val="18"/>
                <w:vertAlign w:val="superscript"/>
                <w:lang w:val="en-US" w:eastAsia="zh-CN"/>
              </w:rPr>
              <w:t>-4</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eastAsia" w:ascii="Times New Roman" w:hAnsi="Times New Roman" w:cs="Times New Roman" w:eastAsiaTheme="minorEastAsia"/>
                <w:color w:val="auto"/>
                <w:sz w:val="18"/>
                <w:szCs w:val="18"/>
                <w:lang w:val="en-US" w:eastAsia="zh-CN"/>
              </w:rPr>
              <w:t>5.25</w:t>
            </w:r>
            <w:r>
              <w:rPr>
                <w:rFonts w:hint="default" w:ascii="Arial" w:hAnsi="Arial" w:cs="Arial" w:eastAsiaTheme="minorEastAsia"/>
                <w:color w:val="auto"/>
                <w:sz w:val="18"/>
                <w:szCs w:val="18"/>
                <w:lang w:val="en-US" w:eastAsia="zh-CN"/>
              </w:rPr>
              <w:t>×</w:t>
            </w:r>
            <w:r>
              <w:rPr>
                <w:rFonts w:hint="eastAsia" w:ascii="Times New Roman" w:hAnsi="Times New Roman" w:cs="Times New Roman" w:eastAsiaTheme="minorEastAsia"/>
                <w:color w:val="auto"/>
                <w:sz w:val="18"/>
                <w:szCs w:val="18"/>
                <w:lang w:val="en-US" w:eastAsia="zh-CN"/>
              </w:rPr>
              <w:t>10</w:t>
            </w:r>
            <w:r>
              <w:rPr>
                <w:rFonts w:hint="eastAsia" w:ascii="Times New Roman" w:hAnsi="Times New Roman" w:cs="Times New Roman" w:eastAsiaTheme="minorEastAsia"/>
                <w:color w:val="auto"/>
                <w:sz w:val="18"/>
                <w:szCs w:val="18"/>
                <w:vertAlign w:val="superscript"/>
                <w:lang w:val="en-US" w:eastAsia="zh-CN"/>
              </w:rPr>
              <w:t>-4</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eastAsia" w:ascii="Times New Roman" w:hAnsi="Times New Roman" w:cs="Times New Roman" w:eastAsiaTheme="minorEastAsia"/>
                <w:color w:val="auto"/>
                <w:sz w:val="18"/>
                <w:szCs w:val="18"/>
                <w:lang w:val="en-US" w:eastAsia="zh-CN"/>
              </w:rPr>
              <w:t>7.56</w:t>
            </w:r>
            <w:r>
              <w:rPr>
                <w:rFonts w:hint="default" w:ascii="Arial" w:hAnsi="Arial" w:cs="Arial" w:eastAsiaTheme="minorEastAsia"/>
                <w:color w:val="auto"/>
                <w:sz w:val="18"/>
                <w:szCs w:val="18"/>
                <w:lang w:val="en-US" w:eastAsia="zh-CN"/>
              </w:rPr>
              <w:t>×</w:t>
            </w:r>
            <w:r>
              <w:rPr>
                <w:rFonts w:hint="eastAsia" w:ascii="Times New Roman" w:hAnsi="Times New Roman" w:cs="Times New Roman" w:eastAsiaTheme="minorEastAsia"/>
                <w:color w:val="auto"/>
                <w:sz w:val="18"/>
                <w:szCs w:val="18"/>
                <w:lang w:val="en-US" w:eastAsia="zh-CN"/>
              </w:rPr>
              <w:t>10</w:t>
            </w:r>
            <w:r>
              <w:rPr>
                <w:rFonts w:hint="eastAsia" w:ascii="Times New Roman" w:hAnsi="Times New Roman" w:cs="Times New Roman" w:eastAsiaTheme="minorEastAsia"/>
                <w:color w:val="auto"/>
                <w:sz w:val="18"/>
                <w:szCs w:val="18"/>
                <w:vertAlign w:val="superscript"/>
                <w:lang w:val="en-US" w:eastAsia="zh-CN"/>
              </w:rPr>
              <w:t>-4</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eastAsia" w:ascii="Times New Roman" w:hAnsi="Times New Roman" w:cs="Times New Roman" w:eastAsiaTheme="minorEastAsia"/>
                <w:color w:val="auto"/>
                <w:sz w:val="18"/>
                <w:szCs w:val="18"/>
                <w:lang w:val="en-US" w:eastAsia="zh-CN"/>
              </w:rPr>
              <w:t>5.89</w:t>
            </w:r>
            <w:r>
              <w:rPr>
                <w:rFonts w:hint="default" w:ascii="Arial" w:hAnsi="Arial" w:cs="Arial" w:eastAsiaTheme="minorEastAsia"/>
                <w:color w:val="auto"/>
                <w:sz w:val="18"/>
                <w:szCs w:val="18"/>
                <w:lang w:val="en-US" w:eastAsia="zh-CN"/>
              </w:rPr>
              <w:t>×</w:t>
            </w:r>
            <w:r>
              <w:rPr>
                <w:rFonts w:hint="eastAsia" w:ascii="Times New Roman" w:hAnsi="Times New Roman" w:cs="Times New Roman" w:eastAsiaTheme="minorEastAsia"/>
                <w:color w:val="auto"/>
                <w:sz w:val="18"/>
                <w:szCs w:val="18"/>
                <w:lang w:val="en-US" w:eastAsia="zh-CN"/>
              </w:rPr>
              <w:t>10</w:t>
            </w:r>
            <w:r>
              <w:rPr>
                <w:rFonts w:hint="eastAsia" w:ascii="Times New Roman" w:hAnsi="Times New Roman" w:cs="Times New Roman" w:eastAsiaTheme="minorEastAsia"/>
                <w:color w:val="auto"/>
                <w:sz w:val="18"/>
                <w:szCs w:val="18"/>
                <w:vertAlign w:val="superscript"/>
                <w:lang w:val="en-US" w:eastAsia="zh-CN"/>
              </w:rPr>
              <w:t>-4</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eastAsia" w:ascii="Times New Roman" w:hAnsi="Times New Roman" w:cs="Times New Roman" w:eastAsiaTheme="minorEastAsia"/>
                <w:color w:val="auto"/>
                <w:sz w:val="18"/>
                <w:szCs w:val="18"/>
                <w:lang w:val="en-US" w:eastAsia="zh-CN"/>
              </w:rPr>
              <w:t>5.90</w:t>
            </w:r>
            <w:r>
              <w:rPr>
                <w:rFonts w:hint="default" w:ascii="Arial" w:hAnsi="Arial" w:cs="Arial" w:eastAsiaTheme="minorEastAsia"/>
                <w:color w:val="auto"/>
                <w:sz w:val="18"/>
                <w:szCs w:val="18"/>
                <w:lang w:val="en-US" w:eastAsia="zh-CN"/>
              </w:rPr>
              <w:t>×</w:t>
            </w:r>
            <w:r>
              <w:rPr>
                <w:rFonts w:hint="eastAsia" w:ascii="Times New Roman" w:hAnsi="Times New Roman" w:cs="Times New Roman" w:eastAsiaTheme="minorEastAsia"/>
                <w:color w:val="auto"/>
                <w:sz w:val="18"/>
                <w:szCs w:val="18"/>
                <w:lang w:val="en-US" w:eastAsia="zh-CN"/>
              </w:rPr>
              <w:t>10</w:t>
            </w:r>
            <w:r>
              <w:rPr>
                <w:rFonts w:hint="eastAsia" w:ascii="Times New Roman" w:hAnsi="Times New Roman" w:cs="Times New Roman" w:eastAsiaTheme="minorEastAsia"/>
                <w:color w:val="auto"/>
                <w:sz w:val="18"/>
                <w:szCs w:val="18"/>
                <w:vertAlign w:val="superscript"/>
                <w:lang w:val="en-US" w:eastAsia="zh-CN"/>
              </w:rPr>
              <w:t>-4</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eastAsia" w:ascii="Times New Roman" w:hAnsi="Times New Roman" w:cs="Times New Roman" w:eastAsiaTheme="minorEastAsia"/>
                <w:color w:val="auto"/>
                <w:sz w:val="18"/>
                <w:szCs w:val="18"/>
                <w:lang w:val="en-US" w:eastAsia="zh-CN"/>
              </w:rPr>
              <w:t>4.63</w:t>
            </w:r>
            <w:r>
              <w:rPr>
                <w:rFonts w:hint="default" w:ascii="Arial" w:hAnsi="Arial" w:cs="Arial" w:eastAsiaTheme="minorEastAsia"/>
                <w:color w:val="auto"/>
                <w:sz w:val="18"/>
                <w:szCs w:val="18"/>
                <w:lang w:val="en-US" w:eastAsia="zh-CN"/>
              </w:rPr>
              <w:t>×</w:t>
            </w:r>
            <w:r>
              <w:rPr>
                <w:rFonts w:hint="eastAsia" w:ascii="Times New Roman" w:hAnsi="Times New Roman" w:cs="Times New Roman" w:eastAsiaTheme="minorEastAsia"/>
                <w:color w:val="auto"/>
                <w:sz w:val="18"/>
                <w:szCs w:val="18"/>
                <w:lang w:val="en-US" w:eastAsia="zh-CN"/>
              </w:rPr>
              <w:t>10</w:t>
            </w:r>
            <w:r>
              <w:rPr>
                <w:rFonts w:hint="eastAsia" w:ascii="Times New Roman" w:hAnsi="Times New Roman" w:cs="Times New Roman" w:eastAsiaTheme="minorEastAsia"/>
                <w:color w:val="auto"/>
                <w:sz w:val="18"/>
                <w:szCs w:val="18"/>
                <w:vertAlign w:val="superscript"/>
                <w:lang w:val="en-US" w:eastAsia="zh-CN"/>
              </w:rPr>
              <w:t>-4</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eastAsiaTheme="minorEastAsia"/>
                <w:color w:val="auto"/>
                <w:sz w:val="18"/>
                <w:szCs w:val="18"/>
                <w:lang w:val="en-US" w:eastAsia="zh-CN"/>
              </w:rPr>
              <w:t>14.3</w:t>
            </w:r>
          </w:p>
        </w:tc>
        <w:tc>
          <w:tcPr>
            <w:tcW w:w="775"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74" w:type="dxa"/>
            <w:tcBorders>
              <w:tl2br w:val="nil"/>
              <w:tr2bl w:val="nil"/>
            </w:tcBorders>
            <w:vAlign w:val="center"/>
          </w:tcPr>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备注</w:t>
            </w:r>
          </w:p>
        </w:tc>
        <w:tc>
          <w:tcPr>
            <w:tcW w:w="7748" w:type="dxa"/>
            <w:gridSpan w:val="10"/>
            <w:tcBorders>
              <w:tl2br w:val="nil"/>
              <w:tr2bl w:val="nil"/>
            </w:tcBorders>
            <w:vAlign w:val="center"/>
          </w:tcPr>
          <w:p>
            <w:pPr>
              <w:jc w:val="left"/>
              <w:rPr>
                <w:rFonts w:ascii="Times New Roman" w:hAnsi="Times New Roman" w:cs="Times New Roman"/>
                <w:color w:val="auto"/>
                <w:sz w:val="18"/>
                <w:szCs w:val="18"/>
              </w:rPr>
            </w:pPr>
            <w:r>
              <w:rPr>
                <w:rFonts w:hint="default" w:ascii="Times New Roman" w:hAnsi="Times New Roman" w:cs="Times New Roman"/>
                <w:color w:val="auto"/>
                <w:sz w:val="18"/>
                <w:szCs w:val="18"/>
              </w:rPr>
              <w:t>1.苯酚、甲醛、氨气执行</w:t>
            </w:r>
            <w:r>
              <w:rPr>
                <w:rFonts w:ascii="Times New Roman" w:hAnsi="Times New Roman" w:cs="Times New Roman"/>
                <w:color w:val="auto"/>
                <w:sz w:val="18"/>
                <w:szCs w:val="18"/>
              </w:rPr>
              <w:t>《合成树脂工业污染物排放标准》（GB31572-2015）表5大气污染物特别排放限值</w:t>
            </w:r>
            <w:r>
              <w:rPr>
                <w:rFonts w:hint="default" w:ascii="Times New Roman" w:hAnsi="Times New Roman" w:cs="Times New Roman"/>
                <w:color w:val="auto"/>
                <w:sz w:val="18"/>
                <w:szCs w:val="18"/>
              </w:rPr>
              <w:t>；</w:t>
            </w:r>
          </w:p>
          <w:p>
            <w:pPr>
              <w:pStyle w:val="2"/>
              <w:jc w:val="center"/>
              <w:rPr>
                <w:rFonts w:hint="default" w:ascii="Times New Roman" w:hAnsi="Times New Roman" w:cs="Times New Roman" w:eastAsiaTheme="minorEastAsia"/>
                <w:color w:val="auto"/>
                <w:sz w:val="18"/>
                <w:szCs w:val="18"/>
              </w:rPr>
            </w:pPr>
            <w:r>
              <w:rPr>
                <w:rFonts w:hint="default" w:ascii="Times New Roman" w:hAnsi="Times New Roman" w:cs="Times New Roman"/>
                <w:color w:val="auto"/>
                <w:sz w:val="18"/>
                <w:szCs w:val="18"/>
              </w:rPr>
              <w:t>2.其他执行《工业企业挥发性有机物排放控制标准》（DB/524-20</w:t>
            </w:r>
            <w:r>
              <w:rPr>
                <w:rFonts w:hint="eastAsia" w:ascii="Times New Roman" w:hAnsi="Times New Roman" w:eastAsia="宋体" w:cs="Times New Roman"/>
                <w:color w:val="auto"/>
                <w:sz w:val="18"/>
                <w:szCs w:val="18"/>
                <w:lang w:eastAsia="zh-CN"/>
              </w:rPr>
              <w:t>2</w:t>
            </w:r>
            <w:r>
              <w:rPr>
                <w:rFonts w:hint="eastAsia" w:ascii="Times New Roman" w:hAnsi="Times New Roman" w:eastAsia="宋体" w:cs="Times New Roman"/>
                <w:color w:val="auto"/>
                <w:sz w:val="18"/>
                <w:szCs w:val="18"/>
                <w:lang w:val="en-US" w:eastAsia="zh-CN"/>
              </w:rPr>
              <w:t>0</w:t>
            </w:r>
            <w:r>
              <w:rPr>
                <w:rFonts w:hint="default" w:ascii="Times New Roman" w:hAnsi="Times New Roman" w:cs="Times New Roman"/>
                <w:color w:val="auto"/>
                <w:sz w:val="18"/>
                <w:szCs w:val="18"/>
              </w:rPr>
              <w:t>）</w:t>
            </w:r>
            <w:r>
              <w:rPr>
                <w:rFonts w:hint="eastAsia" w:ascii="Times New Roman" w:hAnsi="Times New Roman" w:eastAsia="宋体" w:cs="Times New Roman"/>
                <w:color w:val="auto"/>
                <w:sz w:val="18"/>
                <w:szCs w:val="18"/>
                <w:lang w:val="en-US" w:eastAsia="zh-CN"/>
              </w:rPr>
              <w:t>其他行业</w:t>
            </w:r>
            <w:r>
              <w:rPr>
                <w:rFonts w:hint="default" w:ascii="Times New Roman" w:hAnsi="Times New Roman" w:cs="Times New Roman"/>
                <w:color w:val="auto"/>
                <w:sz w:val="18"/>
                <w:szCs w:val="18"/>
              </w:rPr>
              <w:t>标准限值,甲醇按照TVOC限值标准。</w:t>
            </w:r>
          </w:p>
        </w:tc>
      </w:tr>
    </w:tbl>
    <w:p>
      <w:pPr>
        <w:jc w:val="center"/>
        <w:rPr>
          <w:rFonts w:ascii="Times New Roman" w:hAnsi="Times New Roman" w:cs="Times New Roman"/>
          <w:b/>
          <w:bCs/>
          <w:color w:val="auto"/>
          <w:szCs w:val="21"/>
        </w:rPr>
      </w:pPr>
    </w:p>
    <w:p>
      <w:pPr>
        <w:jc w:val="center"/>
        <w:rPr>
          <w:rFonts w:ascii="Times New Roman" w:hAnsi="Times New Roman" w:eastAsia="宋体" w:cs="Times New Roman"/>
          <w:b/>
          <w:color w:val="auto"/>
          <w:spacing w:val="-5"/>
          <w:kern w:val="0"/>
          <w:szCs w:val="21"/>
        </w:rPr>
      </w:pPr>
      <w:r>
        <w:rPr>
          <w:rFonts w:ascii="Times New Roman" w:hAnsi="Times New Roman" w:cs="Times New Roman"/>
          <w:b/>
          <w:bCs/>
          <w:color w:val="auto"/>
          <w:szCs w:val="21"/>
        </w:rPr>
        <w:t>表</w:t>
      </w:r>
      <w:r>
        <w:rPr>
          <w:rFonts w:hint="default" w:ascii="Times New Roman" w:hAnsi="Times New Roman" w:cs="Times New Roman"/>
          <w:b/>
          <w:bCs/>
          <w:color w:val="auto"/>
          <w:szCs w:val="21"/>
        </w:rPr>
        <w:t>9</w:t>
      </w:r>
      <w:r>
        <w:rPr>
          <w:rFonts w:ascii="Times New Roman" w:hAnsi="Times New Roman" w:cs="Times New Roman"/>
          <w:b/>
          <w:bCs/>
          <w:color w:val="auto"/>
          <w:szCs w:val="21"/>
        </w:rPr>
        <w:t>.3-</w:t>
      </w:r>
      <w:r>
        <w:rPr>
          <w:rFonts w:hint="default" w:ascii="Times New Roman" w:hAnsi="Times New Roman" w:cs="Times New Roman"/>
          <w:b/>
          <w:bCs/>
          <w:color w:val="auto"/>
          <w:szCs w:val="21"/>
        </w:rPr>
        <w:t>2</w:t>
      </w:r>
      <w:r>
        <w:rPr>
          <w:rFonts w:ascii="Times New Roman" w:hAnsi="Times New Roman" w:cs="Times New Roman"/>
          <w:b/>
          <w:bCs/>
          <w:color w:val="auto"/>
          <w:szCs w:val="21"/>
        </w:rPr>
        <w:t xml:space="preserve">  </w:t>
      </w:r>
      <w:r>
        <w:rPr>
          <w:rFonts w:hint="default" w:ascii="Times New Roman" w:hAnsi="Times New Roman" w:eastAsia="宋体" w:cs="Times New Roman"/>
          <w:b/>
          <w:color w:val="auto"/>
          <w:spacing w:val="-5"/>
          <w:kern w:val="0"/>
          <w:szCs w:val="21"/>
        </w:rPr>
        <w:t>有组织废气（废水处理站产生废气处理设施）浓度</w:t>
      </w:r>
      <w:r>
        <w:rPr>
          <w:rFonts w:ascii="Times New Roman" w:hAnsi="Times New Roman" w:eastAsia="宋体" w:cs="Times New Roman"/>
          <w:b/>
          <w:color w:val="auto"/>
          <w:spacing w:val="-5"/>
          <w:kern w:val="0"/>
          <w:szCs w:val="21"/>
        </w:rPr>
        <w:t>监测结果</w:t>
      </w:r>
    </w:p>
    <w:tbl>
      <w:tblPr>
        <w:tblStyle w:val="2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74"/>
        <w:gridCol w:w="615"/>
        <w:gridCol w:w="693"/>
        <w:gridCol w:w="900"/>
        <w:gridCol w:w="924"/>
        <w:gridCol w:w="845"/>
        <w:gridCol w:w="833"/>
        <w:gridCol w:w="936"/>
        <w:gridCol w:w="794"/>
        <w:gridCol w:w="424"/>
        <w:gridCol w:w="78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54" w:type="pct"/>
            <w:vMerge w:val="restar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b/>
                <w:bCs/>
                <w:color w:val="auto"/>
                <w:sz w:val="18"/>
                <w:szCs w:val="18"/>
              </w:rPr>
            </w:pPr>
            <w:r>
              <w:rPr>
                <w:rFonts w:ascii="Times New Roman" w:hAnsi="Times New Roman" w:eastAsia="宋体" w:cs="Times New Roman"/>
                <w:b/>
                <w:bCs/>
                <w:color w:val="auto"/>
                <w:sz w:val="18"/>
                <w:szCs w:val="18"/>
              </w:rPr>
              <w:t>监测点位</w:t>
            </w:r>
          </w:p>
        </w:tc>
        <w:tc>
          <w:tcPr>
            <w:tcW w:w="767" w:type="pct"/>
            <w:gridSpan w:val="2"/>
            <w:vMerge w:val="restar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b/>
                <w:bCs/>
                <w:color w:val="auto"/>
                <w:sz w:val="18"/>
                <w:szCs w:val="18"/>
              </w:rPr>
            </w:pPr>
            <w:r>
              <w:rPr>
                <w:rFonts w:ascii="Times New Roman" w:hAnsi="Times New Roman" w:eastAsia="宋体" w:cs="Times New Roman"/>
                <w:b/>
                <w:bCs/>
                <w:color w:val="auto"/>
                <w:sz w:val="18"/>
                <w:szCs w:val="18"/>
              </w:rPr>
              <w:t>检测项目</w:t>
            </w:r>
          </w:p>
        </w:tc>
        <w:tc>
          <w:tcPr>
            <w:tcW w:w="3069" w:type="pct"/>
            <w:gridSpan w:val="6"/>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b/>
                <w:bCs/>
                <w:color w:val="auto"/>
                <w:sz w:val="18"/>
                <w:szCs w:val="18"/>
              </w:rPr>
              <w:t>监测日期，监测频次及检测结果</w:t>
            </w:r>
          </w:p>
        </w:tc>
        <w:tc>
          <w:tcPr>
            <w:tcW w:w="248" w:type="pct"/>
            <w:vMerge w:val="restar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b/>
                <w:bCs/>
                <w:color w:val="auto"/>
                <w:sz w:val="18"/>
                <w:szCs w:val="18"/>
              </w:rPr>
            </w:pPr>
            <w:r>
              <w:rPr>
                <w:rFonts w:ascii="Times New Roman" w:hAnsi="Times New Roman" w:eastAsia="宋体" w:cs="Times New Roman"/>
                <w:b/>
                <w:bCs/>
                <w:color w:val="auto"/>
                <w:sz w:val="18"/>
                <w:szCs w:val="18"/>
              </w:rPr>
              <w:t>标准限值</w:t>
            </w:r>
          </w:p>
        </w:tc>
        <w:tc>
          <w:tcPr>
            <w:tcW w:w="459" w:type="pct"/>
            <w:vMerge w:val="restar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b/>
                <w:bCs/>
                <w:color w:val="auto"/>
                <w:sz w:val="18"/>
                <w:szCs w:val="18"/>
              </w:rPr>
            </w:pPr>
            <w:r>
              <w:rPr>
                <w:rFonts w:ascii="Times New Roman" w:hAnsi="Times New Roman" w:eastAsia="宋体" w:cs="Times New Roman"/>
                <w:b/>
                <w:bCs/>
                <w:color w:val="auto"/>
                <w:sz w:val="18"/>
                <w:szCs w:val="18"/>
              </w:rPr>
              <w:t>单位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54" w:type="pct"/>
            <w:vMerge w:val="continue"/>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b/>
                <w:bCs/>
                <w:color w:val="auto"/>
                <w:sz w:val="18"/>
                <w:szCs w:val="18"/>
              </w:rPr>
            </w:pPr>
          </w:p>
        </w:tc>
        <w:tc>
          <w:tcPr>
            <w:tcW w:w="767" w:type="pct"/>
            <w:gridSpan w:val="2"/>
            <w:vMerge w:val="continue"/>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b/>
                <w:bCs/>
                <w:color w:val="auto"/>
                <w:sz w:val="18"/>
                <w:szCs w:val="18"/>
              </w:rPr>
            </w:pPr>
          </w:p>
        </w:tc>
        <w:tc>
          <w:tcPr>
            <w:tcW w:w="1565" w:type="pct"/>
            <w:gridSpan w:val="3"/>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hint="default" w:ascii="Times New Roman" w:hAnsi="Times New Roman" w:eastAsia="宋体" w:cs="Times New Roman"/>
                <w:color w:val="auto"/>
                <w:sz w:val="18"/>
                <w:szCs w:val="18"/>
                <w:lang w:val="en-US" w:eastAsia="zh-CN"/>
              </w:rPr>
            </w:pPr>
            <w:r>
              <w:rPr>
                <w:rFonts w:ascii="Times New Roman" w:hAnsi="Times New Roman" w:eastAsia="宋体" w:cs="Times New Roman"/>
                <w:color w:val="auto"/>
                <w:sz w:val="18"/>
                <w:szCs w:val="18"/>
              </w:rPr>
              <w:t>2022.</w:t>
            </w:r>
            <w:r>
              <w:rPr>
                <w:rFonts w:hint="eastAsia" w:ascii="Times New Roman" w:hAnsi="Times New Roman" w:eastAsia="宋体" w:cs="Times New Roman"/>
                <w:color w:val="auto"/>
                <w:sz w:val="18"/>
                <w:szCs w:val="18"/>
                <w:lang w:val="en-US" w:eastAsia="zh-CN"/>
              </w:rPr>
              <w:t>11.9</w:t>
            </w:r>
          </w:p>
        </w:tc>
        <w:tc>
          <w:tcPr>
            <w:tcW w:w="1503" w:type="pct"/>
            <w:gridSpan w:val="3"/>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hint="default" w:ascii="Times New Roman" w:hAnsi="Times New Roman" w:eastAsia="宋体" w:cs="Times New Roman"/>
                <w:color w:val="auto"/>
                <w:sz w:val="18"/>
                <w:szCs w:val="18"/>
                <w:lang w:val="en-US" w:eastAsia="zh-CN"/>
              </w:rPr>
            </w:pPr>
            <w:r>
              <w:rPr>
                <w:rFonts w:ascii="Times New Roman" w:hAnsi="Times New Roman" w:eastAsia="宋体" w:cs="Times New Roman"/>
                <w:color w:val="auto"/>
                <w:sz w:val="18"/>
                <w:szCs w:val="18"/>
              </w:rPr>
              <w:t>2022.</w:t>
            </w:r>
            <w:r>
              <w:rPr>
                <w:rFonts w:hint="eastAsia" w:ascii="Times New Roman" w:hAnsi="Times New Roman" w:eastAsia="宋体" w:cs="Times New Roman"/>
                <w:color w:val="auto"/>
                <w:sz w:val="18"/>
                <w:szCs w:val="18"/>
                <w:lang w:val="en-US" w:eastAsia="zh-CN"/>
              </w:rPr>
              <w:t>11.10</w:t>
            </w:r>
          </w:p>
        </w:tc>
        <w:tc>
          <w:tcPr>
            <w:tcW w:w="248" w:type="pct"/>
            <w:vMerge w:val="continue"/>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b/>
                <w:bCs/>
                <w:color w:val="auto"/>
                <w:sz w:val="18"/>
                <w:szCs w:val="18"/>
              </w:rPr>
            </w:pPr>
          </w:p>
        </w:tc>
        <w:tc>
          <w:tcPr>
            <w:tcW w:w="459" w:type="pct"/>
            <w:vMerge w:val="continue"/>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b/>
                <w:bCs/>
                <w:color w:val="auto"/>
                <w:sz w:val="18"/>
                <w:szCs w:val="18"/>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54" w:type="pct"/>
            <w:vMerge w:val="continue"/>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p>
        </w:tc>
        <w:tc>
          <w:tcPr>
            <w:tcW w:w="767" w:type="pct"/>
            <w:gridSpan w:val="2"/>
            <w:vMerge w:val="continue"/>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p>
        </w:tc>
        <w:tc>
          <w:tcPr>
            <w:tcW w:w="52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第一次</w:t>
            </w:r>
          </w:p>
        </w:tc>
        <w:tc>
          <w:tcPr>
            <w:tcW w:w="542"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第二次</w:t>
            </w:r>
          </w:p>
        </w:tc>
        <w:tc>
          <w:tcPr>
            <w:tcW w:w="49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第三次</w:t>
            </w:r>
          </w:p>
        </w:tc>
        <w:tc>
          <w:tcPr>
            <w:tcW w:w="48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第一次</w:t>
            </w:r>
          </w:p>
        </w:tc>
        <w:tc>
          <w:tcPr>
            <w:tcW w:w="54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第二次</w:t>
            </w:r>
          </w:p>
        </w:tc>
        <w:tc>
          <w:tcPr>
            <w:tcW w:w="46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第三次</w:t>
            </w:r>
          </w:p>
        </w:tc>
        <w:tc>
          <w:tcPr>
            <w:tcW w:w="248" w:type="pct"/>
            <w:vMerge w:val="continue"/>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p>
        </w:tc>
        <w:tc>
          <w:tcPr>
            <w:tcW w:w="459" w:type="pct"/>
            <w:vMerge w:val="continue"/>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54" w:type="pct"/>
            <w:vMerge w:val="restar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adjustRightInd w:val="0"/>
              <w:snapToGrid w:val="0"/>
              <w:ind w:left="-42" w:leftChars="-20"/>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废水处理站产生废气处理设施</w:t>
            </w:r>
          </w:p>
          <w:p>
            <w:pPr>
              <w:adjustRightInd w:val="0"/>
              <w:snapToGrid w:val="0"/>
              <w:ind w:left="-42" w:leftChars="-20"/>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进口G2</w:t>
            </w:r>
          </w:p>
        </w:tc>
        <w:tc>
          <w:tcPr>
            <w:tcW w:w="767" w:type="pct"/>
            <w:gridSpan w:val="2"/>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标干流量</w:t>
            </w:r>
          </w:p>
        </w:tc>
        <w:tc>
          <w:tcPr>
            <w:tcW w:w="52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3170</w:t>
            </w:r>
          </w:p>
        </w:tc>
        <w:tc>
          <w:tcPr>
            <w:tcW w:w="542"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3224</w:t>
            </w:r>
          </w:p>
        </w:tc>
        <w:tc>
          <w:tcPr>
            <w:tcW w:w="49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3237</w:t>
            </w:r>
          </w:p>
        </w:tc>
        <w:tc>
          <w:tcPr>
            <w:tcW w:w="48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3083</w:t>
            </w:r>
          </w:p>
        </w:tc>
        <w:tc>
          <w:tcPr>
            <w:tcW w:w="54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3236</w:t>
            </w:r>
          </w:p>
        </w:tc>
        <w:tc>
          <w:tcPr>
            <w:tcW w:w="46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3196</w:t>
            </w:r>
          </w:p>
        </w:tc>
        <w:tc>
          <w:tcPr>
            <w:tcW w:w="24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w:t>
            </w:r>
          </w:p>
        </w:tc>
        <w:tc>
          <w:tcPr>
            <w:tcW w:w="45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m</w:t>
            </w:r>
            <w:r>
              <w:rPr>
                <w:rFonts w:ascii="Times New Roman" w:hAnsi="Times New Roman" w:eastAsia="宋体" w:cs="Times New Roman"/>
                <w:color w:val="auto"/>
                <w:sz w:val="18"/>
                <w:szCs w:val="18"/>
                <w:vertAlign w:val="superscript"/>
              </w:rPr>
              <w:t>3</w:t>
            </w:r>
            <w:r>
              <w:rPr>
                <w:rFonts w:ascii="Times New Roman" w:hAnsi="Times New Roman" w:eastAsia="宋体" w:cs="Times New Roman"/>
                <w:color w:val="auto"/>
                <w:sz w:val="18"/>
                <w:szCs w:val="18"/>
              </w:rPr>
              <w:t>/h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54" w:type="pct"/>
            <w:vMerge w:val="continue"/>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p>
        </w:tc>
        <w:tc>
          <w:tcPr>
            <w:tcW w:w="767" w:type="pct"/>
            <w:gridSpan w:val="2"/>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烟温</w:t>
            </w:r>
          </w:p>
        </w:tc>
        <w:tc>
          <w:tcPr>
            <w:tcW w:w="52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24.6</w:t>
            </w:r>
          </w:p>
        </w:tc>
        <w:tc>
          <w:tcPr>
            <w:tcW w:w="542"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24.7</w:t>
            </w:r>
          </w:p>
        </w:tc>
        <w:tc>
          <w:tcPr>
            <w:tcW w:w="49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24.7</w:t>
            </w:r>
          </w:p>
        </w:tc>
        <w:tc>
          <w:tcPr>
            <w:tcW w:w="48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24.3</w:t>
            </w:r>
          </w:p>
        </w:tc>
        <w:tc>
          <w:tcPr>
            <w:tcW w:w="54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24.5</w:t>
            </w:r>
          </w:p>
        </w:tc>
        <w:tc>
          <w:tcPr>
            <w:tcW w:w="46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24.3</w:t>
            </w:r>
          </w:p>
        </w:tc>
        <w:tc>
          <w:tcPr>
            <w:tcW w:w="24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snapToGrid w:val="0"/>
              <w:spacing w:before="56" w:beforeLines="18" w:after="56" w:afterLines="18"/>
              <w:ind w:left="-105" w:right="-105"/>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w:t>
            </w:r>
          </w:p>
        </w:tc>
        <w:tc>
          <w:tcPr>
            <w:tcW w:w="45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snapToGrid w:val="0"/>
              <w:spacing w:before="56" w:beforeLines="18" w:after="56" w:afterLines="18"/>
              <w:ind w:left="-105" w:right="-105"/>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54" w:type="pct"/>
            <w:vMerge w:val="continue"/>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p>
        </w:tc>
        <w:tc>
          <w:tcPr>
            <w:tcW w:w="767" w:type="pct"/>
            <w:gridSpan w:val="2"/>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流速</w:t>
            </w:r>
          </w:p>
        </w:tc>
        <w:tc>
          <w:tcPr>
            <w:tcW w:w="52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1.9</w:t>
            </w:r>
          </w:p>
        </w:tc>
        <w:tc>
          <w:tcPr>
            <w:tcW w:w="542"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2.3</w:t>
            </w:r>
          </w:p>
        </w:tc>
        <w:tc>
          <w:tcPr>
            <w:tcW w:w="49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2.1</w:t>
            </w:r>
          </w:p>
        </w:tc>
        <w:tc>
          <w:tcPr>
            <w:tcW w:w="48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2.7</w:t>
            </w:r>
          </w:p>
        </w:tc>
        <w:tc>
          <w:tcPr>
            <w:tcW w:w="54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2.3</w:t>
            </w:r>
          </w:p>
        </w:tc>
        <w:tc>
          <w:tcPr>
            <w:tcW w:w="46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2.7</w:t>
            </w:r>
          </w:p>
        </w:tc>
        <w:tc>
          <w:tcPr>
            <w:tcW w:w="24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snapToGrid w:val="0"/>
              <w:spacing w:before="56" w:beforeLines="18" w:after="56" w:afterLines="18"/>
              <w:ind w:left="-105" w:right="-105"/>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w:t>
            </w:r>
          </w:p>
        </w:tc>
        <w:tc>
          <w:tcPr>
            <w:tcW w:w="45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snapToGrid w:val="0"/>
              <w:spacing w:before="56" w:beforeLines="18" w:after="56" w:afterLines="18"/>
              <w:ind w:left="-105" w:right="-105"/>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m/s</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54" w:type="pct"/>
            <w:vMerge w:val="continue"/>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p>
        </w:tc>
        <w:tc>
          <w:tcPr>
            <w:tcW w:w="360"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臭气浓度</w:t>
            </w:r>
          </w:p>
        </w:tc>
        <w:tc>
          <w:tcPr>
            <w:tcW w:w="406"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实测浓度</w:t>
            </w:r>
          </w:p>
        </w:tc>
        <w:tc>
          <w:tcPr>
            <w:tcW w:w="52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2283</w:t>
            </w:r>
          </w:p>
        </w:tc>
        <w:tc>
          <w:tcPr>
            <w:tcW w:w="542"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2289</w:t>
            </w:r>
          </w:p>
        </w:tc>
        <w:tc>
          <w:tcPr>
            <w:tcW w:w="49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2296</w:t>
            </w:r>
          </w:p>
        </w:tc>
        <w:tc>
          <w:tcPr>
            <w:tcW w:w="48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2281</w:t>
            </w:r>
          </w:p>
        </w:tc>
        <w:tc>
          <w:tcPr>
            <w:tcW w:w="54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2289</w:t>
            </w:r>
          </w:p>
        </w:tc>
        <w:tc>
          <w:tcPr>
            <w:tcW w:w="46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2302</w:t>
            </w:r>
          </w:p>
        </w:tc>
        <w:tc>
          <w:tcPr>
            <w:tcW w:w="24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snapToGrid w:val="0"/>
              <w:spacing w:before="56" w:beforeLines="18" w:after="56" w:afterLines="18"/>
              <w:ind w:left="-105" w:right="-105"/>
              <w:jc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w:t>
            </w:r>
          </w:p>
        </w:tc>
        <w:tc>
          <w:tcPr>
            <w:tcW w:w="45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hint="eastAsia" w:ascii="Times New Roman" w:hAnsi="Times New Roman" w:eastAsia="宋体" w:cs="Times New Roman"/>
                <w:color w:val="auto"/>
                <w:sz w:val="18"/>
                <w:szCs w:val="18"/>
                <w:lang w:eastAsia="zh-CN"/>
              </w:rPr>
            </w:pPr>
            <w:r>
              <w:rPr>
                <w:rFonts w:hint="eastAsia" w:ascii="Times New Roman" w:hAnsi="Times New Roman" w:eastAsia="宋体" w:cs="Times New Roman"/>
                <w:color w:val="auto"/>
                <w:sz w:val="18"/>
                <w:szCs w:val="18"/>
                <w:lang w:val="en-US" w:eastAsia="zh-CN"/>
              </w:rPr>
              <w:t>无量纲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54" w:type="pct"/>
            <w:vMerge w:val="continue"/>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p>
        </w:tc>
        <w:tc>
          <w:tcPr>
            <w:tcW w:w="360" w:type="pct"/>
            <w:vMerge w:val="restar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氨气</w:t>
            </w:r>
          </w:p>
        </w:tc>
        <w:tc>
          <w:tcPr>
            <w:tcW w:w="406"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实测浓度</w:t>
            </w:r>
          </w:p>
        </w:tc>
        <w:tc>
          <w:tcPr>
            <w:tcW w:w="52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4.13</w:t>
            </w:r>
          </w:p>
        </w:tc>
        <w:tc>
          <w:tcPr>
            <w:tcW w:w="542"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4.41</w:t>
            </w:r>
          </w:p>
        </w:tc>
        <w:tc>
          <w:tcPr>
            <w:tcW w:w="49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4.27</w:t>
            </w:r>
          </w:p>
        </w:tc>
        <w:tc>
          <w:tcPr>
            <w:tcW w:w="48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4.14</w:t>
            </w:r>
          </w:p>
        </w:tc>
        <w:tc>
          <w:tcPr>
            <w:tcW w:w="54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4.28</w:t>
            </w:r>
          </w:p>
        </w:tc>
        <w:tc>
          <w:tcPr>
            <w:tcW w:w="46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4.46</w:t>
            </w:r>
          </w:p>
        </w:tc>
        <w:tc>
          <w:tcPr>
            <w:tcW w:w="24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snapToGrid w:val="0"/>
              <w:spacing w:before="56" w:beforeLines="18" w:after="56" w:afterLines="18"/>
              <w:ind w:left="-105" w:right="-105"/>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w:t>
            </w:r>
          </w:p>
        </w:tc>
        <w:tc>
          <w:tcPr>
            <w:tcW w:w="45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mg/m</w:t>
            </w:r>
            <w:r>
              <w:rPr>
                <w:rFonts w:ascii="Times New Roman" w:hAnsi="Times New Roman" w:eastAsia="宋体" w:cs="Times New Roman"/>
                <w:color w:val="auto"/>
                <w:sz w:val="18"/>
                <w:szCs w:val="18"/>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54" w:type="pct"/>
            <w:vMerge w:val="continue"/>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p>
        </w:tc>
        <w:tc>
          <w:tcPr>
            <w:tcW w:w="360" w:type="pct"/>
            <w:vMerge w:val="continue"/>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p>
        </w:tc>
        <w:tc>
          <w:tcPr>
            <w:tcW w:w="406"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排放速率</w:t>
            </w:r>
          </w:p>
        </w:tc>
        <w:tc>
          <w:tcPr>
            <w:tcW w:w="52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kern w:val="0"/>
                <w:sz w:val="18"/>
                <w:szCs w:val="18"/>
                <w:lang w:val="en-US" w:eastAsia="zh-CN" w:bidi="ar"/>
              </w:rPr>
              <w:t>0.0131</w:t>
            </w:r>
            <w:r>
              <w:rPr>
                <w:rFonts w:ascii="Times New Roman" w:hAnsi="Times New Roman" w:eastAsia="宋体" w:cs="Times New Roman"/>
                <w:color w:val="auto"/>
                <w:kern w:val="0"/>
                <w:sz w:val="18"/>
                <w:szCs w:val="18"/>
                <w:lang w:bidi="ar"/>
              </w:rPr>
              <w:t xml:space="preserve"> </w:t>
            </w:r>
          </w:p>
        </w:tc>
        <w:tc>
          <w:tcPr>
            <w:tcW w:w="542"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kern w:val="0"/>
                <w:sz w:val="18"/>
                <w:szCs w:val="18"/>
                <w:lang w:val="en-US" w:eastAsia="zh-CN" w:bidi="ar"/>
              </w:rPr>
              <w:t>0.0142</w:t>
            </w:r>
            <w:r>
              <w:rPr>
                <w:rFonts w:ascii="Times New Roman" w:hAnsi="Times New Roman" w:eastAsia="宋体" w:cs="Times New Roman"/>
                <w:color w:val="auto"/>
                <w:kern w:val="0"/>
                <w:sz w:val="18"/>
                <w:szCs w:val="18"/>
                <w:lang w:bidi="ar"/>
              </w:rPr>
              <w:t xml:space="preserve"> </w:t>
            </w:r>
          </w:p>
        </w:tc>
        <w:tc>
          <w:tcPr>
            <w:tcW w:w="49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0.0138</w:t>
            </w:r>
          </w:p>
        </w:tc>
        <w:tc>
          <w:tcPr>
            <w:tcW w:w="48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kern w:val="0"/>
                <w:sz w:val="18"/>
                <w:szCs w:val="18"/>
                <w:lang w:val="en-US" w:eastAsia="zh-CN" w:bidi="ar"/>
              </w:rPr>
              <w:t>0.0128</w:t>
            </w:r>
            <w:r>
              <w:rPr>
                <w:rFonts w:ascii="Times New Roman" w:hAnsi="Times New Roman" w:eastAsia="宋体" w:cs="Times New Roman"/>
                <w:color w:val="auto"/>
                <w:kern w:val="0"/>
                <w:sz w:val="18"/>
                <w:szCs w:val="18"/>
                <w:lang w:bidi="ar"/>
              </w:rPr>
              <w:t xml:space="preserve"> </w:t>
            </w:r>
          </w:p>
        </w:tc>
        <w:tc>
          <w:tcPr>
            <w:tcW w:w="54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0.0139</w:t>
            </w:r>
          </w:p>
        </w:tc>
        <w:tc>
          <w:tcPr>
            <w:tcW w:w="46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kern w:val="0"/>
                <w:sz w:val="18"/>
                <w:szCs w:val="18"/>
                <w:lang w:val="en-US" w:eastAsia="zh-CN" w:bidi="ar"/>
              </w:rPr>
              <w:t>0.0142</w:t>
            </w:r>
          </w:p>
        </w:tc>
        <w:tc>
          <w:tcPr>
            <w:tcW w:w="24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snapToGrid w:val="0"/>
              <w:spacing w:before="56" w:beforeLines="18" w:after="56" w:afterLines="18"/>
              <w:ind w:left="-105" w:right="-105"/>
              <w:jc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w:t>
            </w:r>
          </w:p>
        </w:tc>
        <w:tc>
          <w:tcPr>
            <w:tcW w:w="45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54" w:type="pct"/>
            <w:vMerge w:val="continue"/>
            <w:tcBorders>
              <w:top w:val="single" w:color="auto" w:sz="4" w:space="0"/>
              <w:left w:val="single" w:color="auto" w:sz="4" w:space="0"/>
              <w:bottom w:val="single" w:color="FBDFE4"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p>
        </w:tc>
        <w:tc>
          <w:tcPr>
            <w:tcW w:w="360" w:type="pct"/>
            <w:vMerge w:val="restar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硫化氢</w:t>
            </w:r>
          </w:p>
        </w:tc>
        <w:tc>
          <w:tcPr>
            <w:tcW w:w="406"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实测浓度</w:t>
            </w:r>
          </w:p>
        </w:tc>
        <w:tc>
          <w:tcPr>
            <w:tcW w:w="52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7.82</w:t>
            </w:r>
          </w:p>
        </w:tc>
        <w:tc>
          <w:tcPr>
            <w:tcW w:w="542"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8.05</w:t>
            </w:r>
          </w:p>
        </w:tc>
        <w:tc>
          <w:tcPr>
            <w:tcW w:w="49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7.94</w:t>
            </w:r>
          </w:p>
        </w:tc>
        <w:tc>
          <w:tcPr>
            <w:tcW w:w="48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8.15</w:t>
            </w:r>
          </w:p>
        </w:tc>
        <w:tc>
          <w:tcPr>
            <w:tcW w:w="54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7.86</w:t>
            </w:r>
          </w:p>
        </w:tc>
        <w:tc>
          <w:tcPr>
            <w:tcW w:w="46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8.29</w:t>
            </w:r>
          </w:p>
        </w:tc>
        <w:tc>
          <w:tcPr>
            <w:tcW w:w="24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snapToGrid w:val="0"/>
              <w:spacing w:before="56" w:beforeLines="18" w:after="56" w:afterLines="18"/>
              <w:ind w:left="-105" w:right="-105"/>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w:t>
            </w:r>
          </w:p>
        </w:tc>
        <w:tc>
          <w:tcPr>
            <w:tcW w:w="45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mg/m</w:t>
            </w:r>
            <w:r>
              <w:rPr>
                <w:rFonts w:ascii="Times New Roman" w:hAnsi="Times New Roman" w:eastAsia="宋体" w:cs="Times New Roman"/>
                <w:color w:val="auto"/>
                <w:sz w:val="18"/>
                <w:szCs w:val="18"/>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54" w:type="pct"/>
            <w:vMerge w:val="continue"/>
            <w:tcBorders>
              <w:top w:val="single" w:color="FBDFE4" w:sz="4" w:space="0"/>
              <w:left w:val="single" w:color="auto" w:sz="4" w:space="0"/>
              <w:bottom w:val="single" w:color="FBDFE4"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p>
        </w:tc>
        <w:tc>
          <w:tcPr>
            <w:tcW w:w="360" w:type="pct"/>
            <w:vMerge w:val="continue"/>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p>
        </w:tc>
        <w:tc>
          <w:tcPr>
            <w:tcW w:w="406"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排放速率</w:t>
            </w:r>
          </w:p>
        </w:tc>
        <w:tc>
          <w:tcPr>
            <w:tcW w:w="52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0.0248</w:t>
            </w:r>
          </w:p>
        </w:tc>
        <w:tc>
          <w:tcPr>
            <w:tcW w:w="542"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0.0260</w:t>
            </w:r>
          </w:p>
        </w:tc>
        <w:tc>
          <w:tcPr>
            <w:tcW w:w="49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0.0257</w:t>
            </w:r>
          </w:p>
        </w:tc>
        <w:tc>
          <w:tcPr>
            <w:tcW w:w="48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0.0251</w:t>
            </w:r>
          </w:p>
        </w:tc>
        <w:tc>
          <w:tcPr>
            <w:tcW w:w="54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0.0254</w:t>
            </w:r>
          </w:p>
        </w:tc>
        <w:tc>
          <w:tcPr>
            <w:tcW w:w="46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0.0265</w:t>
            </w:r>
          </w:p>
        </w:tc>
        <w:tc>
          <w:tcPr>
            <w:tcW w:w="24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snapToGrid w:val="0"/>
              <w:spacing w:before="56" w:beforeLines="18" w:after="56" w:afterLines="18"/>
              <w:ind w:left="-105" w:right="-105"/>
              <w:jc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w:t>
            </w:r>
          </w:p>
        </w:tc>
        <w:tc>
          <w:tcPr>
            <w:tcW w:w="45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54" w:type="pct"/>
            <w:vMerge w:val="continue"/>
            <w:tcBorders>
              <w:top w:val="single" w:color="FBDFE4" w:sz="4" w:space="0"/>
              <w:left w:val="single" w:color="auto" w:sz="4" w:space="0"/>
              <w:bottom w:val="single" w:color="FBDFE4"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p>
        </w:tc>
        <w:tc>
          <w:tcPr>
            <w:tcW w:w="360" w:type="pct"/>
            <w:vMerge w:val="restar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TVOC</w:t>
            </w:r>
          </w:p>
        </w:tc>
        <w:tc>
          <w:tcPr>
            <w:tcW w:w="406"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实测浓度</w:t>
            </w:r>
          </w:p>
        </w:tc>
        <w:tc>
          <w:tcPr>
            <w:tcW w:w="52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2.61</w:t>
            </w:r>
          </w:p>
        </w:tc>
        <w:tc>
          <w:tcPr>
            <w:tcW w:w="542"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2.66</w:t>
            </w:r>
          </w:p>
        </w:tc>
        <w:tc>
          <w:tcPr>
            <w:tcW w:w="49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2.53</w:t>
            </w:r>
          </w:p>
        </w:tc>
        <w:tc>
          <w:tcPr>
            <w:tcW w:w="48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eastAsia="zh-CN"/>
              </w:rPr>
              <w:t>2</w:t>
            </w:r>
            <w:r>
              <w:rPr>
                <w:rFonts w:hint="eastAsia" w:ascii="Times New Roman" w:hAnsi="Times New Roman" w:eastAsia="宋体" w:cs="Times New Roman"/>
                <w:color w:val="auto"/>
                <w:sz w:val="18"/>
                <w:szCs w:val="18"/>
                <w:lang w:val="en-US" w:eastAsia="zh-CN"/>
              </w:rPr>
              <w:t>.50</w:t>
            </w:r>
          </w:p>
        </w:tc>
        <w:tc>
          <w:tcPr>
            <w:tcW w:w="54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lang w:val="en-US"/>
              </w:rPr>
            </w:pPr>
            <w:r>
              <w:rPr>
                <w:rFonts w:hint="eastAsia" w:ascii="Times New Roman" w:hAnsi="Times New Roman" w:eastAsia="宋体" w:cs="Times New Roman"/>
                <w:color w:val="auto"/>
                <w:sz w:val="18"/>
                <w:szCs w:val="18"/>
                <w:lang w:eastAsia="zh-CN"/>
              </w:rPr>
              <w:t>2</w:t>
            </w:r>
            <w:r>
              <w:rPr>
                <w:rFonts w:hint="eastAsia" w:ascii="Times New Roman" w:hAnsi="Times New Roman" w:eastAsia="宋体" w:cs="Times New Roman"/>
                <w:color w:val="auto"/>
                <w:sz w:val="18"/>
                <w:szCs w:val="18"/>
                <w:lang w:val="en-US" w:eastAsia="zh-CN"/>
              </w:rPr>
              <w:t>.35</w:t>
            </w:r>
          </w:p>
        </w:tc>
        <w:tc>
          <w:tcPr>
            <w:tcW w:w="46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lang w:val="en-US"/>
              </w:rPr>
            </w:pPr>
            <w:r>
              <w:rPr>
                <w:rFonts w:hint="eastAsia" w:ascii="Times New Roman" w:hAnsi="Times New Roman" w:eastAsia="宋体" w:cs="Times New Roman"/>
                <w:color w:val="auto"/>
                <w:sz w:val="18"/>
                <w:szCs w:val="18"/>
                <w:lang w:eastAsia="zh-CN"/>
              </w:rPr>
              <w:t>2</w:t>
            </w:r>
            <w:r>
              <w:rPr>
                <w:rFonts w:hint="eastAsia" w:ascii="Times New Roman" w:hAnsi="Times New Roman" w:eastAsia="宋体" w:cs="Times New Roman"/>
                <w:color w:val="auto"/>
                <w:sz w:val="18"/>
                <w:szCs w:val="18"/>
                <w:lang w:val="en-US" w:eastAsia="zh-CN"/>
              </w:rPr>
              <w:t>.42</w:t>
            </w:r>
          </w:p>
        </w:tc>
        <w:tc>
          <w:tcPr>
            <w:tcW w:w="24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snapToGrid w:val="0"/>
              <w:spacing w:before="56" w:beforeLines="18" w:after="56" w:afterLines="18"/>
              <w:ind w:left="-105" w:right="-105"/>
              <w:jc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w:t>
            </w:r>
          </w:p>
        </w:tc>
        <w:tc>
          <w:tcPr>
            <w:tcW w:w="45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mg/m</w:t>
            </w:r>
            <w:r>
              <w:rPr>
                <w:rFonts w:ascii="Times New Roman" w:hAnsi="Times New Roman" w:eastAsia="宋体" w:cs="Times New Roman"/>
                <w:color w:val="auto"/>
                <w:sz w:val="18"/>
                <w:szCs w:val="18"/>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54" w:type="pct"/>
            <w:vMerge w:val="continue"/>
            <w:tcBorders>
              <w:top w:val="single" w:color="FBDFE4"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p>
        </w:tc>
        <w:tc>
          <w:tcPr>
            <w:tcW w:w="360" w:type="pct"/>
            <w:vMerge w:val="continue"/>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p>
        </w:tc>
        <w:tc>
          <w:tcPr>
            <w:tcW w:w="406"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排放速率</w:t>
            </w:r>
          </w:p>
        </w:tc>
        <w:tc>
          <w:tcPr>
            <w:tcW w:w="52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kern w:val="0"/>
                <w:sz w:val="18"/>
                <w:szCs w:val="18"/>
                <w:lang w:bidi="ar"/>
              </w:rPr>
              <w:t>0.00</w:t>
            </w:r>
            <w:r>
              <w:rPr>
                <w:rFonts w:hint="eastAsia" w:ascii="Times New Roman" w:hAnsi="Times New Roman" w:eastAsia="宋体" w:cs="Times New Roman"/>
                <w:color w:val="auto"/>
                <w:kern w:val="0"/>
                <w:sz w:val="18"/>
                <w:szCs w:val="18"/>
                <w:lang w:eastAsia="zh-CN" w:bidi="ar"/>
              </w:rPr>
              <w:t>8</w:t>
            </w:r>
            <w:r>
              <w:rPr>
                <w:rFonts w:hint="eastAsia" w:ascii="Times New Roman" w:hAnsi="Times New Roman" w:eastAsia="宋体" w:cs="Times New Roman"/>
                <w:color w:val="auto"/>
                <w:kern w:val="0"/>
                <w:sz w:val="18"/>
                <w:szCs w:val="18"/>
                <w:lang w:val="en-US" w:eastAsia="zh-CN" w:bidi="ar"/>
              </w:rPr>
              <w:t>27</w:t>
            </w:r>
            <w:r>
              <w:rPr>
                <w:rFonts w:ascii="Times New Roman" w:hAnsi="Times New Roman" w:eastAsia="宋体" w:cs="Times New Roman"/>
                <w:color w:val="auto"/>
                <w:kern w:val="0"/>
                <w:sz w:val="18"/>
                <w:szCs w:val="18"/>
                <w:lang w:bidi="ar"/>
              </w:rPr>
              <w:t xml:space="preserve"> </w:t>
            </w:r>
          </w:p>
        </w:tc>
        <w:tc>
          <w:tcPr>
            <w:tcW w:w="542"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kern w:val="0"/>
                <w:sz w:val="18"/>
                <w:szCs w:val="18"/>
                <w:lang w:bidi="ar"/>
              </w:rPr>
              <w:t>0.00</w:t>
            </w:r>
            <w:r>
              <w:rPr>
                <w:rFonts w:hint="eastAsia" w:ascii="Times New Roman" w:hAnsi="Times New Roman" w:eastAsia="宋体" w:cs="Times New Roman"/>
                <w:color w:val="auto"/>
                <w:kern w:val="0"/>
                <w:sz w:val="18"/>
                <w:szCs w:val="18"/>
                <w:lang w:eastAsia="zh-CN" w:bidi="ar"/>
              </w:rPr>
              <w:t>8</w:t>
            </w:r>
            <w:r>
              <w:rPr>
                <w:rFonts w:hint="eastAsia" w:ascii="Times New Roman" w:hAnsi="Times New Roman" w:eastAsia="宋体" w:cs="Times New Roman"/>
                <w:color w:val="auto"/>
                <w:kern w:val="0"/>
                <w:sz w:val="18"/>
                <w:szCs w:val="18"/>
                <w:lang w:val="en-US" w:eastAsia="zh-CN" w:bidi="ar"/>
              </w:rPr>
              <w:t>58</w:t>
            </w:r>
            <w:r>
              <w:rPr>
                <w:rFonts w:ascii="Times New Roman" w:hAnsi="Times New Roman" w:eastAsia="宋体" w:cs="Times New Roman"/>
                <w:color w:val="auto"/>
                <w:kern w:val="0"/>
                <w:sz w:val="18"/>
                <w:szCs w:val="18"/>
                <w:lang w:bidi="ar"/>
              </w:rPr>
              <w:t xml:space="preserve"> </w:t>
            </w:r>
          </w:p>
        </w:tc>
        <w:tc>
          <w:tcPr>
            <w:tcW w:w="49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rPr>
            </w:pPr>
            <w:r>
              <w:rPr>
                <w:rFonts w:ascii="Times New Roman" w:hAnsi="Times New Roman" w:eastAsia="宋体" w:cs="Times New Roman"/>
                <w:color w:val="auto"/>
                <w:kern w:val="0"/>
                <w:sz w:val="18"/>
                <w:szCs w:val="18"/>
                <w:lang w:bidi="ar"/>
              </w:rPr>
              <w:t>0.00</w:t>
            </w:r>
            <w:r>
              <w:rPr>
                <w:rFonts w:hint="eastAsia" w:ascii="Times New Roman" w:hAnsi="Times New Roman" w:eastAsia="宋体" w:cs="Times New Roman"/>
                <w:color w:val="auto"/>
                <w:kern w:val="0"/>
                <w:sz w:val="18"/>
                <w:szCs w:val="18"/>
                <w:lang w:eastAsia="zh-CN" w:bidi="ar"/>
              </w:rPr>
              <w:t>8</w:t>
            </w:r>
            <w:r>
              <w:rPr>
                <w:rFonts w:hint="eastAsia" w:ascii="Times New Roman" w:hAnsi="Times New Roman" w:eastAsia="宋体" w:cs="Times New Roman"/>
                <w:color w:val="auto"/>
                <w:kern w:val="0"/>
                <w:sz w:val="18"/>
                <w:szCs w:val="18"/>
                <w:lang w:val="en-US" w:eastAsia="zh-CN" w:bidi="ar"/>
              </w:rPr>
              <w:t>19</w:t>
            </w:r>
          </w:p>
        </w:tc>
        <w:tc>
          <w:tcPr>
            <w:tcW w:w="48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rPr>
            </w:pPr>
            <w:r>
              <w:rPr>
                <w:rFonts w:ascii="Times New Roman" w:hAnsi="Times New Roman" w:eastAsia="宋体" w:cs="Times New Roman"/>
                <w:color w:val="auto"/>
                <w:kern w:val="0"/>
                <w:sz w:val="18"/>
                <w:szCs w:val="18"/>
                <w:lang w:bidi="ar"/>
              </w:rPr>
              <w:t>0.00</w:t>
            </w:r>
            <w:r>
              <w:rPr>
                <w:rFonts w:hint="eastAsia" w:ascii="Times New Roman" w:hAnsi="Times New Roman" w:eastAsia="宋体" w:cs="Times New Roman"/>
                <w:color w:val="auto"/>
                <w:kern w:val="0"/>
                <w:sz w:val="18"/>
                <w:szCs w:val="18"/>
                <w:lang w:eastAsia="zh-CN" w:bidi="ar"/>
              </w:rPr>
              <w:t>7</w:t>
            </w:r>
            <w:r>
              <w:rPr>
                <w:rFonts w:hint="eastAsia" w:ascii="Times New Roman" w:hAnsi="Times New Roman" w:eastAsia="宋体" w:cs="Times New Roman"/>
                <w:color w:val="auto"/>
                <w:kern w:val="0"/>
                <w:sz w:val="18"/>
                <w:szCs w:val="18"/>
                <w:lang w:val="en-US" w:eastAsia="zh-CN" w:bidi="ar"/>
              </w:rPr>
              <w:t>71</w:t>
            </w:r>
          </w:p>
        </w:tc>
        <w:tc>
          <w:tcPr>
            <w:tcW w:w="54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kern w:val="0"/>
                <w:sz w:val="18"/>
                <w:szCs w:val="18"/>
                <w:lang w:bidi="ar"/>
              </w:rPr>
              <w:t>0.00</w:t>
            </w:r>
            <w:r>
              <w:rPr>
                <w:rFonts w:hint="eastAsia" w:ascii="Times New Roman" w:hAnsi="Times New Roman" w:eastAsia="宋体" w:cs="Times New Roman"/>
                <w:color w:val="auto"/>
                <w:kern w:val="0"/>
                <w:sz w:val="18"/>
                <w:szCs w:val="18"/>
                <w:lang w:eastAsia="zh-CN" w:bidi="ar"/>
              </w:rPr>
              <w:t>7</w:t>
            </w:r>
            <w:r>
              <w:rPr>
                <w:rFonts w:hint="eastAsia" w:ascii="Times New Roman" w:hAnsi="Times New Roman" w:eastAsia="宋体" w:cs="Times New Roman"/>
                <w:color w:val="auto"/>
                <w:kern w:val="0"/>
                <w:sz w:val="18"/>
                <w:szCs w:val="18"/>
                <w:lang w:val="en-US" w:eastAsia="zh-CN" w:bidi="ar"/>
              </w:rPr>
              <w:t>60</w:t>
            </w:r>
            <w:r>
              <w:rPr>
                <w:rFonts w:ascii="Times New Roman" w:hAnsi="Times New Roman" w:eastAsia="宋体" w:cs="Times New Roman"/>
                <w:color w:val="auto"/>
                <w:kern w:val="0"/>
                <w:sz w:val="18"/>
                <w:szCs w:val="18"/>
                <w:lang w:bidi="ar"/>
              </w:rPr>
              <w:t xml:space="preserve"> </w:t>
            </w:r>
          </w:p>
        </w:tc>
        <w:tc>
          <w:tcPr>
            <w:tcW w:w="46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rPr>
            </w:pPr>
            <w:r>
              <w:rPr>
                <w:rFonts w:ascii="Times New Roman" w:hAnsi="Times New Roman" w:eastAsia="宋体" w:cs="Times New Roman"/>
                <w:color w:val="auto"/>
                <w:kern w:val="0"/>
                <w:sz w:val="18"/>
                <w:szCs w:val="18"/>
                <w:lang w:bidi="ar"/>
              </w:rPr>
              <w:t>0.00</w:t>
            </w:r>
            <w:r>
              <w:rPr>
                <w:rFonts w:hint="eastAsia" w:ascii="Times New Roman" w:hAnsi="Times New Roman" w:eastAsia="宋体" w:cs="Times New Roman"/>
                <w:color w:val="auto"/>
                <w:kern w:val="0"/>
                <w:sz w:val="18"/>
                <w:szCs w:val="18"/>
                <w:lang w:eastAsia="zh-CN" w:bidi="ar"/>
              </w:rPr>
              <w:t>7</w:t>
            </w:r>
            <w:r>
              <w:rPr>
                <w:rFonts w:hint="eastAsia" w:ascii="Times New Roman" w:hAnsi="Times New Roman" w:eastAsia="宋体" w:cs="Times New Roman"/>
                <w:color w:val="auto"/>
                <w:kern w:val="0"/>
                <w:sz w:val="18"/>
                <w:szCs w:val="18"/>
                <w:lang w:val="en-US" w:eastAsia="zh-CN" w:bidi="ar"/>
              </w:rPr>
              <w:t>73</w:t>
            </w:r>
          </w:p>
        </w:tc>
        <w:tc>
          <w:tcPr>
            <w:tcW w:w="24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snapToGrid w:val="0"/>
              <w:spacing w:before="56" w:beforeLines="18" w:after="56" w:afterLines="18"/>
              <w:ind w:left="-105" w:right="-105"/>
              <w:jc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w:t>
            </w:r>
          </w:p>
        </w:tc>
        <w:tc>
          <w:tcPr>
            <w:tcW w:w="45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22" w:hRule="atLeast"/>
          <w:tblHeader/>
          <w:jc w:val="center"/>
        </w:trPr>
        <w:tc>
          <w:tcPr>
            <w:tcW w:w="454" w:type="pct"/>
            <w:vMerge w:val="restar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adjustRightInd w:val="0"/>
              <w:snapToGrid w:val="0"/>
              <w:ind w:left="-42" w:leftChars="-20"/>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废水处理站产生废气处理设施排气筒出口G2</w:t>
            </w:r>
            <w:r>
              <w:rPr>
                <w:rFonts w:ascii="Times New Roman" w:hAnsi="Times New Roman" w:eastAsia="宋体" w:cs="Times New Roman"/>
                <w:color w:val="auto"/>
                <w:spacing w:val="-5"/>
                <w:kern w:val="0"/>
                <w:sz w:val="18"/>
                <w:szCs w:val="18"/>
              </w:rPr>
              <w:t>(20m)</w:t>
            </w:r>
          </w:p>
        </w:tc>
        <w:tc>
          <w:tcPr>
            <w:tcW w:w="767" w:type="pct"/>
            <w:gridSpan w:val="2"/>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标干流量</w:t>
            </w:r>
          </w:p>
        </w:tc>
        <w:tc>
          <w:tcPr>
            <w:tcW w:w="52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3054</w:t>
            </w:r>
          </w:p>
        </w:tc>
        <w:tc>
          <w:tcPr>
            <w:tcW w:w="542"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3069</w:t>
            </w:r>
          </w:p>
        </w:tc>
        <w:tc>
          <w:tcPr>
            <w:tcW w:w="49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3029</w:t>
            </w:r>
          </w:p>
        </w:tc>
        <w:tc>
          <w:tcPr>
            <w:tcW w:w="48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3045</w:t>
            </w:r>
          </w:p>
        </w:tc>
        <w:tc>
          <w:tcPr>
            <w:tcW w:w="54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3022</w:t>
            </w:r>
          </w:p>
        </w:tc>
        <w:tc>
          <w:tcPr>
            <w:tcW w:w="46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3030</w:t>
            </w:r>
          </w:p>
        </w:tc>
        <w:tc>
          <w:tcPr>
            <w:tcW w:w="24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snapToGrid w:val="0"/>
              <w:spacing w:before="56" w:beforeLines="18" w:after="56" w:afterLines="18"/>
              <w:ind w:left="-105" w:right="-105"/>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w:t>
            </w:r>
          </w:p>
        </w:tc>
        <w:tc>
          <w:tcPr>
            <w:tcW w:w="45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m</w:t>
            </w:r>
            <w:r>
              <w:rPr>
                <w:rFonts w:ascii="Times New Roman" w:hAnsi="Times New Roman" w:eastAsia="宋体" w:cs="Times New Roman"/>
                <w:color w:val="auto"/>
                <w:sz w:val="18"/>
                <w:szCs w:val="18"/>
                <w:vertAlign w:val="superscript"/>
              </w:rPr>
              <w:t>3</w:t>
            </w:r>
            <w:r>
              <w:rPr>
                <w:rFonts w:ascii="Times New Roman" w:hAnsi="Times New Roman" w:eastAsia="宋体" w:cs="Times New Roman"/>
                <w:color w:val="auto"/>
                <w:sz w:val="18"/>
                <w:szCs w:val="18"/>
              </w:rPr>
              <w:t>/h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54" w:type="pct"/>
            <w:vMerge w:val="continue"/>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p>
        </w:tc>
        <w:tc>
          <w:tcPr>
            <w:tcW w:w="767" w:type="pct"/>
            <w:gridSpan w:val="2"/>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烟温</w:t>
            </w:r>
          </w:p>
        </w:tc>
        <w:tc>
          <w:tcPr>
            <w:tcW w:w="52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24.2</w:t>
            </w:r>
          </w:p>
        </w:tc>
        <w:tc>
          <w:tcPr>
            <w:tcW w:w="542"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24.2</w:t>
            </w:r>
          </w:p>
        </w:tc>
        <w:tc>
          <w:tcPr>
            <w:tcW w:w="49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24.4</w:t>
            </w:r>
          </w:p>
        </w:tc>
        <w:tc>
          <w:tcPr>
            <w:tcW w:w="48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24.4</w:t>
            </w:r>
          </w:p>
        </w:tc>
        <w:tc>
          <w:tcPr>
            <w:tcW w:w="54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24.5</w:t>
            </w:r>
          </w:p>
        </w:tc>
        <w:tc>
          <w:tcPr>
            <w:tcW w:w="46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24.5</w:t>
            </w:r>
          </w:p>
        </w:tc>
        <w:tc>
          <w:tcPr>
            <w:tcW w:w="24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snapToGrid w:val="0"/>
              <w:spacing w:before="56" w:beforeLines="18" w:after="56" w:afterLines="18"/>
              <w:ind w:left="-105" w:right="-105"/>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w:t>
            </w:r>
          </w:p>
        </w:tc>
        <w:tc>
          <w:tcPr>
            <w:tcW w:w="45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snapToGrid w:val="0"/>
              <w:spacing w:before="56" w:beforeLines="18" w:after="56" w:afterLines="18"/>
              <w:ind w:left="-105" w:right="-105"/>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54" w:type="pct"/>
            <w:vMerge w:val="continue"/>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p>
        </w:tc>
        <w:tc>
          <w:tcPr>
            <w:tcW w:w="767" w:type="pct"/>
            <w:gridSpan w:val="2"/>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流速</w:t>
            </w:r>
          </w:p>
        </w:tc>
        <w:tc>
          <w:tcPr>
            <w:tcW w:w="52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2.5</w:t>
            </w:r>
          </w:p>
        </w:tc>
        <w:tc>
          <w:tcPr>
            <w:tcW w:w="542"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2.3</w:t>
            </w:r>
          </w:p>
        </w:tc>
        <w:tc>
          <w:tcPr>
            <w:tcW w:w="49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2.7</w:t>
            </w:r>
          </w:p>
        </w:tc>
        <w:tc>
          <w:tcPr>
            <w:tcW w:w="48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2.3</w:t>
            </w:r>
          </w:p>
        </w:tc>
        <w:tc>
          <w:tcPr>
            <w:tcW w:w="54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2.5</w:t>
            </w:r>
          </w:p>
        </w:tc>
        <w:tc>
          <w:tcPr>
            <w:tcW w:w="46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2.7</w:t>
            </w:r>
          </w:p>
        </w:tc>
        <w:tc>
          <w:tcPr>
            <w:tcW w:w="24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snapToGrid w:val="0"/>
              <w:spacing w:before="56" w:beforeLines="18" w:after="56" w:afterLines="18"/>
              <w:ind w:left="-105" w:right="-105"/>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w:t>
            </w:r>
          </w:p>
        </w:tc>
        <w:tc>
          <w:tcPr>
            <w:tcW w:w="45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snapToGrid w:val="0"/>
              <w:spacing w:before="56" w:beforeLines="18" w:after="56" w:afterLines="18"/>
              <w:ind w:left="-105" w:right="-105"/>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m/s</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54" w:type="pct"/>
            <w:vMerge w:val="continue"/>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p>
        </w:tc>
        <w:tc>
          <w:tcPr>
            <w:tcW w:w="360"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臭气浓度</w:t>
            </w:r>
          </w:p>
        </w:tc>
        <w:tc>
          <w:tcPr>
            <w:tcW w:w="406"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实测浓度</w:t>
            </w:r>
          </w:p>
        </w:tc>
        <w:tc>
          <w:tcPr>
            <w:tcW w:w="52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eastAsia="zh-CN"/>
              </w:rPr>
              <w:t>4</w:t>
            </w:r>
            <w:r>
              <w:rPr>
                <w:rFonts w:hint="eastAsia" w:ascii="Times New Roman" w:hAnsi="Times New Roman" w:eastAsia="宋体" w:cs="Times New Roman"/>
                <w:color w:val="auto"/>
                <w:sz w:val="18"/>
                <w:szCs w:val="18"/>
                <w:lang w:val="en-US" w:eastAsia="zh-CN"/>
              </w:rPr>
              <w:t>34</w:t>
            </w:r>
          </w:p>
        </w:tc>
        <w:tc>
          <w:tcPr>
            <w:tcW w:w="542"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eastAsia="zh-CN"/>
              </w:rPr>
              <w:t>4</w:t>
            </w:r>
            <w:r>
              <w:rPr>
                <w:rFonts w:hint="eastAsia" w:ascii="Times New Roman" w:hAnsi="Times New Roman" w:eastAsia="宋体" w:cs="Times New Roman"/>
                <w:color w:val="auto"/>
                <w:sz w:val="18"/>
                <w:szCs w:val="18"/>
                <w:lang w:val="en-US" w:eastAsia="zh-CN"/>
              </w:rPr>
              <w:t>23</w:t>
            </w:r>
          </w:p>
        </w:tc>
        <w:tc>
          <w:tcPr>
            <w:tcW w:w="49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eastAsia="zh-CN"/>
              </w:rPr>
              <w:t>4</w:t>
            </w:r>
            <w:r>
              <w:rPr>
                <w:rFonts w:hint="eastAsia" w:ascii="Times New Roman" w:hAnsi="Times New Roman" w:eastAsia="宋体" w:cs="Times New Roman"/>
                <w:color w:val="auto"/>
                <w:sz w:val="18"/>
                <w:szCs w:val="18"/>
                <w:lang w:val="en-US" w:eastAsia="zh-CN"/>
              </w:rPr>
              <w:t>32</w:t>
            </w:r>
          </w:p>
        </w:tc>
        <w:tc>
          <w:tcPr>
            <w:tcW w:w="48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eastAsia="zh-CN"/>
              </w:rPr>
              <w:t>4</w:t>
            </w:r>
            <w:r>
              <w:rPr>
                <w:rFonts w:hint="eastAsia" w:ascii="Times New Roman" w:hAnsi="Times New Roman" w:eastAsia="宋体" w:cs="Times New Roman"/>
                <w:color w:val="auto"/>
                <w:sz w:val="18"/>
                <w:szCs w:val="18"/>
                <w:lang w:val="en-US" w:eastAsia="zh-CN"/>
              </w:rPr>
              <w:t>34</w:t>
            </w:r>
          </w:p>
        </w:tc>
        <w:tc>
          <w:tcPr>
            <w:tcW w:w="54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eastAsia="zh-CN"/>
              </w:rPr>
              <w:t>4</w:t>
            </w:r>
            <w:r>
              <w:rPr>
                <w:rFonts w:hint="eastAsia" w:ascii="Times New Roman" w:hAnsi="Times New Roman" w:eastAsia="宋体" w:cs="Times New Roman"/>
                <w:color w:val="auto"/>
                <w:sz w:val="18"/>
                <w:szCs w:val="18"/>
                <w:lang w:val="en-US" w:eastAsia="zh-CN"/>
              </w:rPr>
              <w:t>35</w:t>
            </w:r>
          </w:p>
        </w:tc>
        <w:tc>
          <w:tcPr>
            <w:tcW w:w="46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eastAsia="zh-CN"/>
              </w:rPr>
              <w:t>4</w:t>
            </w:r>
            <w:r>
              <w:rPr>
                <w:rFonts w:hint="eastAsia" w:ascii="Times New Roman" w:hAnsi="Times New Roman" w:eastAsia="宋体" w:cs="Times New Roman"/>
                <w:color w:val="auto"/>
                <w:sz w:val="18"/>
                <w:szCs w:val="18"/>
                <w:lang w:val="en-US" w:eastAsia="zh-CN"/>
              </w:rPr>
              <w:t>32</w:t>
            </w:r>
          </w:p>
        </w:tc>
        <w:tc>
          <w:tcPr>
            <w:tcW w:w="24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snapToGrid w:val="0"/>
              <w:spacing w:before="56" w:beforeLines="18" w:after="56" w:afterLines="18"/>
              <w:ind w:left="-105" w:right="-105"/>
              <w:jc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2000</w:t>
            </w:r>
          </w:p>
        </w:tc>
        <w:tc>
          <w:tcPr>
            <w:tcW w:w="45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无量纲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54" w:type="pct"/>
            <w:vMerge w:val="continue"/>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p>
        </w:tc>
        <w:tc>
          <w:tcPr>
            <w:tcW w:w="360" w:type="pct"/>
            <w:vMerge w:val="restar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氨气</w:t>
            </w:r>
          </w:p>
        </w:tc>
        <w:tc>
          <w:tcPr>
            <w:tcW w:w="406"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实测浓度</w:t>
            </w:r>
          </w:p>
        </w:tc>
        <w:tc>
          <w:tcPr>
            <w:tcW w:w="52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eastAsia="zh-CN"/>
              </w:rPr>
              <w:t>1</w:t>
            </w:r>
            <w:r>
              <w:rPr>
                <w:rFonts w:hint="eastAsia" w:ascii="Times New Roman" w:hAnsi="Times New Roman" w:eastAsia="宋体" w:cs="Times New Roman"/>
                <w:color w:val="auto"/>
                <w:sz w:val="18"/>
                <w:szCs w:val="18"/>
                <w:lang w:val="en-US" w:eastAsia="zh-CN"/>
              </w:rPr>
              <w:t>.05</w:t>
            </w:r>
          </w:p>
        </w:tc>
        <w:tc>
          <w:tcPr>
            <w:tcW w:w="542"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eastAsia="zh-CN"/>
              </w:rPr>
              <w:t>1</w:t>
            </w:r>
            <w:r>
              <w:rPr>
                <w:rFonts w:hint="eastAsia" w:ascii="Times New Roman" w:hAnsi="Times New Roman" w:eastAsia="宋体" w:cs="Times New Roman"/>
                <w:color w:val="auto"/>
                <w:sz w:val="18"/>
                <w:szCs w:val="18"/>
                <w:lang w:val="en-US" w:eastAsia="zh-CN"/>
              </w:rPr>
              <w:t>.14</w:t>
            </w:r>
          </w:p>
        </w:tc>
        <w:tc>
          <w:tcPr>
            <w:tcW w:w="49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eastAsia="zh-CN"/>
              </w:rPr>
              <w:t>1</w:t>
            </w:r>
            <w:r>
              <w:rPr>
                <w:rFonts w:hint="eastAsia" w:ascii="Times New Roman" w:hAnsi="Times New Roman" w:eastAsia="宋体" w:cs="Times New Roman"/>
                <w:color w:val="auto"/>
                <w:sz w:val="18"/>
                <w:szCs w:val="18"/>
                <w:lang w:val="en-US" w:eastAsia="zh-CN"/>
              </w:rPr>
              <w:t>.08</w:t>
            </w:r>
          </w:p>
        </w:tc>
        <w:tc>
          <w:tcPr>
            <w:tcW w:w="48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eastAsia="zh-CN"/>
              </w:rPr>
              <w:t>1</w:t>
            </w:r>
            <w:r>
              <w:rPr>
                <w:rFonts w:hint="eastAsia" w:ascii="Times New Roman" w:hAnsi="Times New Roman" w:eastAsia="宋体" w:cs="Times New Roman"/>
                <w:color w:val="auto"/>
                <w:sz w:val="18"/>
                <w:szCs w:val="18"/>
                <w:lang w:val="en-US" w:eastAsia="zh-CN"/>
              </w:rPr>
              <w:t>.17</w:t>
            </w:r>
          </w:p>
        </w:tc>
        <w:tc>
          <w:tcPr>
            <w:tcW w:w="54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eastAsia="zh-CN"/>
              </w:rPr>
              <w:t>1</w:t>
            </w:r>
            <w:r>
              <w:rPr>
                <w:rFonts w:hint="eastAsia" w:ascii="Times New Roman" w:hAnsi="Times New Roman" w:eastAsia="宋体" w:cs="Times New Roman"/>
                <w:color w:val="auto"/>
                <w:sz w:val="18"/>
                <w:szCs w:val="18"/>
                <w:lang w:val="en-US" w:eastAsia="zh-CN"/>
              </w:rPr>
              <w:t>.23</w:t>
            </w:r>
          </w:p>
        </w:tc>
        <w:tc>
          <w:tcPr>
            <w:tcW w:w="46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eastAsia="zh-CN"/>
              </w:rPr>
              <w:t>1</w:t>
            </w:r>
            <w:r>
              <w:rPr>
                <w:rFonts w:hint="eastAsia" w:ascii="Times New Roman" w:hAnsi="Times New Roman" w:eastAsia="宋体" w:cs="Times New Roman"/>
                <w:color w:val="auto"/>
                <w:sz w:val="18"/>
                <w:szCs w:val="18"/>
                <w:lang w:val="en-US" w:eastAsia="zh-CN"/>
              </w:rPr>
              <w:t>.09</w:t>
            </w:r>
          </w:p>
        </w:tc>
        <w:tc>
          <w:tcPr>
            <w:tcW w:w="24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snapToGrid w:val="0"/>
              <w:spacing w:before="56" w:beforeLines="18" w:after="56" w:afterLines="18"/>
              <w:ind w:left="-105" w:right="-105"/>
              <w:jc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w:t>
            </w:r>
          </w:p>
        </w:tc>
        <w:tc>
          <w:tcPr>
            <w:tcW w:w="45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mg/m</w:t>
            </w:r>
            <w:r>
              <w:rPr>
                <w:rFonts w:ascii="Times New Roman" w:hAnsi="Times New Roman" w:eastAsia="宋体" w:cs="Times New Roman"/>
                <w:color w:val="auto"/>
                <w:sz w:val="18"/>
                <w:szCs w:val="18"/>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54" w:type="pct"/>
            <w:vMerge w:val="continue"/>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p>
        </w:tc>
        <w:tc>
          <w:tcPr>
            <w:tcW w:w="360" w:type="pct"/>
            <w:vMerge w:val="continue"/>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p>
        </w:tc>
        <w:tc>
          <w:tcPr>
            <w:tcW w:w="406"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排放速率</w:t>
            </w:r>
          </w:p>
        </w:tc>
        <w:tc>
          <w:tcPr>
            <w:tcW w:w="52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rPr>
            </w:pPr>
            <w:r>
              <w:rPr>
                <w:rFonts w:ascii="Times New Roman" w:hAnsi="Times New Roman" w:eastAsia="宋体" w:cs="Times New Roman"/>
                <w:color w:val="auto"/>
                <w:kern w:val="0"/>
                <w:sz w:val="18"/>
                <w:szCs w:val="18"/>
                <w:lang w:bidi="ar"/>
              </w:rPr>
              <w:t>0.00</w:t>
            </w:r>
            <w:r>
              <w:rPr>
                <w:rFonts w:hint="eastAsia" w:ascii="Times New Roman" w:hAnsi="Times New Roman" w:eastAsia="宋体" w:cs="Times New Roman"/>
                <w:color w:val="auto"/>
                <w:kern w:val="0"/>
                <w:sz w:val="18"/>
                <w:szCs w:val="18"/>
                <w:lang w:eastAsia="zh-CN" w:bidi="ar"/>
              </w:rPr>
              <w:t>3</w:t>
            </w:r>
            <w:r>
              <w:rPr>
                <w:rFonts w:hint="eastAsia" w:ascii="Times New Roman" w:hAnsi="Times New Roman" w:eastAsia="宋体" w:cs="Times New Roman"/>
                <w:color w:val="auto"/>
                <w:kern w:val="0"/>
                <w:sz w:val="18"/>
                <w:szCs w:val="18"/>
                <w:lang w:val="en-US" w:eastAsia="zh-CN" w:bidi="ar"/>
              </w:rPr>
              <w:t>21</w:t>
            </w:r>
          </w:p>
        </w:tc>
        <w:tc>
          <w:tcPr>
            <w:tcW w:w="542"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rPr>
            </w:pPr>
            <w:r>
              <w:rPr>
                <w:rFonts w:ascii="Times New Roman" w:hAnsi="Times New Roman" w:eastAsia="宋体" w:cs="Times New Roman"/>
                <w:color w:val="auto"/>
                <w:kern w:val="0"/>
                <w:sz w:val="18"/>
                <w:szCs w:val="18"/>
                <w:lang w:bidi="ar"/>
              </w:rPr>
              <w:t>0.</w:t>
            </w:r>
            <w:r>
              <w:rPr>
                <w:rFonts w:hint="eastAsia" w:ascii="Times New Roman" w:hAnsi="Times New Roman" w:eastAsia="宋体" w:cs="Times New Roman"/>
                <w:color w:val="auto"/>
                <w:kern w:val="0"/>
                <w:sz w:val="18"/>
                <w:szCs w:val="18"/>
                <w:lang w:val="en-US" w:eastAsia="zh-CN" w:bidi="ar"/>
              </w:rPr>
              <w:t>00350</w:t>
            </w:r>
          </w:p>
        </w:tc>
        <w:tc>
          <w:tcPr>
            <w:tcW w:w="49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rPr>
            </w:pPr>
            <w:r>
              <w:rPr>
                <w:rFonts w:ascii="Times New Roman" w:hAnsi="Times New Roman" w:eastAsia="宋体" w:cs="Times New Roman"/>
                <w:color w:val="auto"/>
                <w:kern w:val="0"/>
                <w:sz w:val="18"/>
                <w:szCs w:val="18"/>
                <w:lang w:bidi="ar"/>
              </w:rPr>
              <w:t>0.00</w:t>
            </w:r>
            <w:r>
              <w:rPr>
                <w:rFonts w:hint="eastAsia" w:ascii="Times New Roman" w:hAnsi="Times New Roman" w:eastAsia="宋体" w:cs="Times New Roman"/>
                <w:color w:val="auto"/>
                <w:kern w:val="0"/>
                <w:sz w:val="18"/>
                <w:szCs w:val="18"/>
                <w:lang w:eastAsia="zh-CN" w:bidi="ar"/>
              </w:rPr>
              <w:t>3</w:t>
            </w:r>
            <w:r>
              <w:rPr>
                <w:rFonts w:hint="eastAsia" w:ascii="Times New Roman" w:hAnsi="Times New Roman" w:eastAsia="宋体" w:cs="Times New Roman"/>
                <w:color w:val="auto"/>
                <w:kern w:val="0"/>
                <w:sz w:val="18"/>
                <w:szCs w:val="18"/>
                <w:lang w:val="en-US" w:eastAsia="zh-CN" w:bidi="ar"/>
              </w:rPr>
              <w:t>27</w:t>
            </w:r>
          </w:p>
        </w:tc>
        <w:tc>
          <w:tcPr>
            <w:tcW w:w="48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kern w:val="0"/>
                <w:sz w:val="18"/>
                <w:szCs w:val="18"/>
                <w:lang w:bidi="ar"/>
              </w:rPr>
              <w:t>0.00</w:t>
            </w:r>
            <w:r>
              <w:rPr>
                <w:rFonts w:hint="eastAsia" w:ascii="Times New Roman" w:hAnsi="Times New Roman" w:eastAsia="宋体" w:cs="Times New Roman"/>
                <w:color w:val="auto"/>
                <w:kern w:val="0"/>
                <w:sz w:val="18"/>
                <w:szCs w:val="18"/>
                <w:lang w:val="en-US" w:eastAsia="zh-CN" w:bidi="ar"/>
              </w:rPr>
              <w:t>356</w:t>
            </w:r>
          </w:p>
        </w:tc>
        <w:tc>
          <w:tcPr>
            <w:tcW w:w="54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kern w:val="0"/>
                <w:sz w:val="18"/>
                <w:szCs w:val="18"/>
                <w:lang w:bidi="ar"/>
              </w:rPr>
              <w:t>0.00</w:t>
            </w:r>
            <w:r>
              <w:rPr>
                <w:rFonts w:hint="eastAsia" w:ascii="Times New Roman" w:hAnsi="Times New Roman" w:eastAsia="宋体" w:cs="Times New Roman"/>
                <w:color w:val="auto"/>
                <w:kern w:val="0"/>
                <w:sz w:val="18"/>
                <w:szCs w:val="18"/>
                <w:lang w:eastAsia="zh-CN" w:bidi="ar"/>
              </w:rPr>
              <w:t>3</w:t>
            </w:r>
            <w:r>
              <w:rPr>
                <w:rFonts w:hint="eastAsia" w:ascii="Times New Roman" w:hAnsi="Times New Roman" w:eastAsia="宋体" w:cs="Times New Roman"/>
                <w:color w:val="auto"/>
                <w:kern w:val="0"/>
                <w:sz w:val="18"/>
                <w:szCs w:val="18"/>
                <w:lang w:val="en-US" w:eastAsia="zh-CN" w:bidi="ar"/>
              </w:rPr>
              <w:t>72</w:t>
            </w:r>
            <w:r>
              <w:rPr>
                <w:rFonts w:ascii="Times New Roman" w:hAnsi="Times New Roman" w:eastAsia="宋体" w:cs="Times New Roman"/>
                <w:color w:val="auto"/>
                <w:kern w:val="0"/>
                <w:sz w:val="18"/>
                <w:szCs w:val="18"/>
                <w:lang w:bidi="ar"/>
              </w:rPr>
              <w:t xml:space="preserve"> </w:t>
            </w:r>
          </w:p>
        </w:tc>
        <w:tc>
          <w:tcPr>
            <w:tcW w:w="46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kern w:val="0"/>
                <w:sz w:val="18"/>
                <w:szCs w:val="18"/>
                <w:lang w:bidi="ar"/>
              </w:rPr>
              <w:t>0.00</w:t>
            </w:r>
            <w:r>
              <w:rPr>
                <w:rFonts w:hint="eastAsia" w:ascii="Times New Roman" w:hAnsi="Times New Roman" w:eastAsia="宋体" w:cs="Times New Roman"/>
                <w:color w:val="auto"/>
                <w:kern w:val="0"/>
                <w:sz w:val="18"/>
                <w:szCs w:val="18"/>
                <w:lang w:val="en-US" w:eastAsia="zh-CN" w:bidi="ar"/>
              </w:rPr>
              <w:t>330</w:t>
            </w:r>
            <w:r>
              <w:rPr>
                <w:rFonts w:ascii="Times New Roman" w:hAnsi="Times New Roman" w:eastAsia="宋体" w:cs="Times New Roman"/>
                <w:color w:val="auto"/>
                <w:kern w:val="0"/>
                <w:sz w:val="18"/>
                <w:szCs w:val="18"/>
                <w:lang w:bidi="ar"/>
              </w:rPr>
              <w:t xml:space="preserve"> </w:t>
            </w:r>
          </w:p>
        </w:tc>
        <w:tc>
          <w:tcPr>
            <w:tcW w:w="24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snapToGrid w:val="0"/>
              <w:spacing w:before="56" w:beforeLines="18" w:after="56" w:afterLines="18"/>
              <w:ind w:left="-105" w:right="-105"/>
              <w:jc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4.9</w:t>
            </w:r>
          </w:p>
        </w:tc>
        <w:tc>
          <w:tcPr>
            <w:tcW w:w="45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54" w:type="pct"/>
            <w:vMerge w:val="continue"/>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p>
        </w:tc>
        <w:tc>
          <w:tcPr>
            <w:tcW w:w="360" w:type="pct"/>
            <w:vMerge w:val="restar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硫化氢</w:t>
            </w:r>
          </w:p>
        </w:tc>
        <w:tc>
          <w:tcPr>
            <w:tcW w:w="406"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实测浓度</w:t>
            </w:r>
          </w:p>
        </w:tc>
        <w:tc>
          <w:tcPr>
            <w:tcW w:w="52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eastAsia="zh-CN"/>
              </w:rPr>
              <w:t>2</w:t>
            </w:r>
            <w:r>
              <w:rPr>
                <w:rFonts w:hint="eastAsia" w:ascii="Times New Roman" w:hAnsi="Times New Roman" w:eastAsia="宋体" w:cs="Times New Roman"/>
                <w:color w:val="auto"/>
                <w:sz w:val="18"/>
                <w:szCs w:val="18"/>
                <w:lang w:val="en-US" w:eastAsia="zh-CN"/>
              </w:rPr>
              <w:t>.55</w:t>
            </w:r>
          </w:p>
        </w:tc>
        <w:tc>
          <w:tcPr>
            <w:tcW w:w="542"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eastAsia="zh-CN"/>
              </w:rPr>
              <w:t>2</w:t>
            </w:r>
            <w:r>
              <w:rPr>
                <w:rFonts w:hint="eastAsia" w:ascii="Times New Roman" w:hAnsi="Times New Roman" w:eastAsia="宋体" w:cs="Times New Roman"/>
                <w:color w:val="auto"/>
                <w:sz w:val="18"/>
                <w:szCs w:val="18"/>
                <w:lang w:val="en-US" w:eastAsia="zh-CN"/>
              </w:rPr>
              <w:t>.34</w:t>
            </w:r>
          </w:p>
        </w:tc>
        <w:tc>
          <w:tcPr>
            <w:tcW w:w="49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eastAsia="zh-CN"/>
              </w:rPr>
              <w:t>2</w:t>
            </w:r>
            <w:r>
              <w:rPr>
                <w:rFonts w:hint="eastAsia" w:ascii="Times New Roman" w:hAnsi="Times New Roman" w:eastAsia="宋体" w:cs="Times New Roman"/>
                <w:color w:val="auto"/>
                <w:sz w:val="18"/>
                <w:szCs w:val="18"/>
                <w:lang w:val="en-US" w:eastAsia="zh-CN"/>
              </w:rPr>
              <w:t>.43</w:t>
            </w:r>
          </w:p>
        </w:tc>
        <w:tc>
          <w:tcPr>
            <w:tcW w:w="48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eastAsia="zh-CN"/>
              </w:rPr>
              <w:t>2</w:t>
            </w:r>
            <w:r>
              <w:rPr>
                <w:rFonts w:hint="eastAsia" w:ascii="Times New Roman" w:hAnsi="Times New Roman" w:eastAsia="宋体" w:cs="Times New Roman"/>
                <w:color w:val="auto"/>
                <w:sz w:val="18"/>
                <w:szCs w:val="18"/>
                <w:lang w:val="en-US" w:eastAsia="zh-CN"/>
              </w:rPr>
              <w:t>.64</w:t>
            </w:r>
          </w:p>
        </w:tc>
        <w:tc>
          <w:tcPr>
            <w:tcW w:w="54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eastAsia="zh-CN"/>
              </w:rPr>
              <w:t>2</w:t>
            </w:r>
            <w:r>
              <w:rPr>
                <w:rFonts w:hint="eastAsia" w:ascii="Times New Roman" w:hAnsi="Times New Roman" w:eastAsia="宋体" w:cs="Times New Roman"/>
                <w:color w:val="auto"/>
                <w:sz w:val="18"/>
                <w:szCs w:val="18"/>
                <w:lang w:val="en-US" w:eastAsia="zh-CN"/>
              </w:rPr>
              <w:t>.58</w:t>
            </w:r>
          </w:p>
        </w:tc>
        <w:tc>
          <w:tcPr>
            <w:tcW w:w="46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eastAsia="zh-CN"/>
              </w:rPr>
              <w:t>2</w:t>
            </w:r>
            <w:r>
              <w:rPr>
                <w:rFonts w:hint="eastAsia" w:ascii="Times New Roman" w:hAnsi="Times New Roman" w:eastAsia="宋体" w:cs="Times New Roman"/>
                <w:color w:val="auto"/>
                <w:sz w:val="18"/>
                <w:szCs w:val="18"/>
                <w:lang w:val="en-US" w:eastAsia="zh-CN"/>
              </w:rPr>
              <w:t>.61</w:t>
            </w:r>
          </w:p>
        </w:tc>
        <w:tc>
          <w:tcPr>
            <w:tcW w:w="24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snapToGrid w:val="0"/>
              <w:spacing w:before="56" w:beforeLines="18" w:after="56" w:afterLines="18"/>
              <w:ind w:left="-105" w:right="-105"/>
              <w:jc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w:t>
            </w:r>
          </w:p>
        </w:tc>
        <w:tc>
          <w:tcPr>
            <w:tcW w:w="45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mg/m</w:t>
            </w:r>
            <w:r>
              <w:rPr>
                <w:rFonts w:ascii="Times New Roman" w:hAnsi="Times New Roman" w:eastAsia="宋体" w:cs="Times New Roman"/>
                <w:color w:val="auto"/>
                <w:sz w:val="18"/>
                <w:szCs w:val="18"/>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54" w:type="pct"/>
            <w:vMerge w:val="continue"/>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p>
        </w:tc>
        <w:tc>
          <w:tcPr>
            <w:tcW w:w="360" w:type="pct"/>
            <w:vMerge w:val="continue"/>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p>
        </w:tc>
        <w:tc>
          <w:tcPr>
            <w:tcW w:w="406"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排放速率</w:t>
            </w:r>
          </w:p>
        </w:tc>
        <w:tc>
          <w:tcPr>
            <w:tcW w:w="52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kern w:val="0"/>
                <w:sz w:val="18"/>
                <w:szCs w:val="18"/>
                <w:lang w:bidi="ar"/>
              </w:rPr>
              <w:t>0.00</w:t>
            </w:r>
            <w:r>
              <w:rPr>
                <w:rFonts w:hint="eastAsia" w:ascii="Times New Roman" w:hAnsi="Times New Roman" w:eastAsia="宋体" w:cs="Times New Roman"/>
                <w:color w:val="auto"/>
                <w:kern w:val="0"/>
                <w:sz w:val="18"/>
                <w:szCs w:val="18"/>
                <w:lang w:val="en-US" w:eastAsia="zh-CN" w:bidi="ar"/>
              </w:rPr>
              <w:t>779</w:t>
            </w:r>
          </w:p>
        </w:tc>
        <w:tc>
          <w:tcPr>
            <w:tcW w:w="542"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kern w:val="0"/>
                <w:sz w:val="18"/>
                <w:szCs w:val="18"/>
                <w:lang w:bidi="ar"/>
              </w:rPr>
              <w:t>0.00</w:t>
            </w:r>
            <w:r>
              <w:rPr>
                <w:rFonts w:hint="eastAsia" w:ascii="Times New Roman" w:hAnsi="Times New Roman" w:eastAsia="宋体" w:cs="Times New Roman"/>
                <w:color w:val="auto"/>
                <w:kern w:val="0"/>
                <w:sz w:val="18"/>
                <w:szCs w:val="18"/>
                <w:lang w:val="en-US" w:eastAsia="zh-CN" w:bidi="ar"/>
              </w:rPr>
              <w:t>718</w:t>
            </w:r>
          </w:p>
        </w:tc>
        <w:tc>
          <w:tcPr>
            <w:tcW w:w="49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kern w:val="0"/>
                <w:sz w:val="18"/>
                <w:szCs w:val="18"/>
                <w:lang w:bidi="ar"/>
              </w:rPr>
              <w:t>0.00</w:t>
            </w:r>
            <w:r>
              <w:rPr>
                <w:rFonts w:hint="eastAsia" w:ascii="Times New Roman" w:hAnsi="Times New Roman" w:eastAsia="宋体" w:cs="Times New Roman"/>
                <w:color w:val="auto"/>
                <w:kern w:val="0"/>
                <w:sz w:val="18"/>
                <w:szCs w:val="18"/>
                <w:lang w:val="en-US" w:eastAsia="zh-CN" w:bidi="ar"/>
              </w:rPr>
              <w:t>736</w:t>
            </w:r>
          </w:p>
        </w:tc>
        <w:tc>
          <w:tcPr>
            <w:tcW w:w="48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kern w:val="0"/>
                <w:sz w:val="18"/>
                <w:szCs w:val="18"/>
                <w:lang w:bidi="ar"/>
              </w:rPr>
              <w:t>0.00</w:t>
            </w:r>
            <w:r>
              <w:rPr>
                <w:rFonts w:hint="eastAsia" w:ascii="Times New Roman" w:hAnsi="Times New Roman" w:eastAsia="宋体" w:cs="Times New Roman"/>
                <w:color w:val="auto"/>
                <w:kern w:val="0"/>
                <w:sz w:val="18"/>
                <w:szCs w:val="18"/>
                <w:lang w:val="en-US" w:eastAsia="zh-CN" w:bidi="ar"/>
              </w:rPr>
              <w:t>804</w:t>
            </w:r>
          </w:p>
        </w:tc>
        <w:tc>
          <w:tcPr>
            <w:tcW w:w="54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kern w:val="0"/>
                <w:sz w:val="18"/>
                <w:szCs w:val="18"/>
                <w:lang w:bidi="ar"/>
              </w:rPr>
              <w:t>0.00</w:t>
            </w:r>
            <w:r>
              <w:rPr>
                <w:rFonts w:hint="eastAsia" w:ascii="Times New Roman" w:hAnsi="Times New Roman" w:eastAsia="宋体" w:cs="Times New Roman"/>
                <w:color w:val="auto"/>
                <w:kern w:val="0"/>
                <w:sz w:val="18"/>
                <w:szCs w:val="18"/>
                <w:lang w:val="en-US" w:eastAsia="zh-CN" w:bidi="ar"/>
              </w:rPr>
              <w:t>780</w:t>
            </w:r>
          </w:p>
        </w:tc>
        <w:tc>
          <w:tcPr>
            <w:tcW w:w="46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kern w:val="0"/>
                <w:sz w:val="18"/>
                <w:szCs w:val="18"/>
                <w:lang w:bidi="ar"/>
              </w:rPr>
              <w:t>0.00</w:t>
            </w:r>
            <w:r>
              <w:rPr>
                <w:rFonts w:hint="eastAsia" w:ascii="Times New Roman" w:hAnsi="Times New Roman" w:eastAsia="宋体" w:cs="Times New Roman"/>
                <w:color w:val="auto"/>
                <w:kern w:val="0"/>
                <w:sz w:val="18"/>
                <w:szCs w:val="18"/>
                <w:lang w:val="en-US" w:eastAsia="zh-CN" w:bidi="ar"/>
              </w:rPr>
              <w:t>791</w:t>
            </w:r>
          </w:p>
        </w:tc>
        <w:tc>
          <w:tcPr>
            <w:tcW w:w="24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snapToGrid w:val="0"/>
              <w:spacing w:before="56" w:beforeLines="18" w:after="56" w:afterLines="18"/>
              <w:ind w:left="-105" w:right="-105"/>
              <w:jc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0.33</w:t>
            </w:r>
          </w:p>
        </w:tc>
        <w:tc>
          <w:tcPr>
            <w:tcW w:w="45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54" w:type="pct"/>
            <w:vMerge w:val="continue"/>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p>
        </w:tc>
        <w:tc>
          <w:tcPr>
            <w:tcW w:w="360" w:type="pct"/>
            <w:vMerge w:val="restar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TVOC</w:t>
            </w:r>
          </w:p>
        </w:tc>
        <w:tc>
          <w:tcPr>
            <w:tcW w:w="406"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实测浓度</w:t>
            </w:r>
          </w:p>
        </w:tc>
        <w:tc>
          <w:tcPr>
            <w:tcW w:w="52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eastAsia="zh-CN"/>
              </w:rPr>
              <w:t>1</w:t>
            </w:r>
            <w:r>
              <w:rPr>
                <w:rFonts w:hint="eastAsia" w:ascii="Times New Roman" w:hAnsi="Times New Roman" w:eastAsia="宋体" w:cs="Times New Roman"/>
                <w:color w:val="auto"/>
                <w:sz w:val="18"/>
                <w:szCs w:val="18"/>
                <w:lang w:val="en-US" w:eastAsia="zh-CN"/>
              </w:rPr>
              <w:t>.87</w:t>
            </w:r>
          </w:p>
        </w:tc>
        <w:tc>
          <w:tcPr>
            <w:tcW w:w="542"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eastAsia="zh-CN"/>
              </w:rPr>
              <w:t>1</w:t>
            </w:r>
            <w:r>
              <w:rPr>
                <w:rFonts w:hint="eastAsia" w:ascii="Times New Roman" w:hAnsi="Times New Roman" w:eastAsia="宋体" w:cs="Times New Roman"/>
                <w:color w:val="auto"/>
                <w:sz w:val="18"/>
                <w:szCs w:val="18"/>
                <w:lang w:val="en-US" w:eastAsia="zh-CN"/>
              </w:rPr>
              <w:t>.95</w:t>
            </w:r>
          </w:p>
        </w:tc>
        <w:tc>
          <w:tcPr>
            <w:tcW w:w="49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eastAsia="zh-CN"/>
              </w:rPr>
              <w:t>2</w:t>
            </w:r>
            <w:r>
              <w:rPr>
                <w:rFonts w:hint="eastAsia" w:ascii="Times New Roman" w:hAnsi="Times New Roman" w:eastAsia="宋体" w:cs="Times New Roman"/>
                <w:color w:val="auto"/>
                <w:sz w:val="18"/>
                <w:szCs w:val="18"/>
                <w:lang w:val="en-US" w:eastAsia="zh-CN"/>
              </w:rPr>
              <w:t>.47</w:t>
            </w:r>
          </w:p>
        </w:tc>
        <w:tc>
          <w:tcPr>
            <w:tcW w:w="48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eastAsia="zh-CN"/>
              </w:rPr>
              <w:t>2</w:t>
            </w:r>
            <w:r>
              <w:rPr>
                <w:rFonts w:hint="eastAsia" w:ascii="Times New Roman" w:hAnsi="Times New Roman" w:eastAsia="宋体" w:cs="Times New Roman"/>
                <w:color w:val="auto"/>
                <w:sz w:val="18"/>
                <w:szCs w:val="18"/>
                <w:lang w:val="en-US" w:eastAsia="zh-CN"/>
              </w:rPr>
              <w:t>.50</w:t>
            </w:r>
          </w:p>
        </w:tc>
        <w:tc>
          <w:tcPr>
            <w:tcW w:w="54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eastAsia="zh-CN"/>
              </w:rPr>
              <w:t>2</w:t>
            </w:r>
            <w:r>
              <w:rPr>
                <w:rFonts w:hint="eastAsia" w:ascii="Times New Roman" w:hAnsi="Times New Roman" w:eastAsia="宋体" w:cs="Times New Roman"/>
                <w:color w:val="auto"/>
                <w:sz w:val="18"/>
                <w:szCs w:val="18"/>
                <w:lang w:val="en-US" w:eastAsia="zh-CN"/>
              </w:rPr>
              <w:t>.73</w:t>
            </w:r>
          </w:p>
        </w:tc>
        <w:tc>
          <w:tcPr>
            <w:tcW w:w="46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eastAsia="zh-CN"/>
              </w:rPr>
              <w:t>2</w:t>
            </w:r>
            <w:r>
              <w:rPr>
                <w:rFonts w:hint="eastAsia" w:ascii="Times New Roman" w:hAnsi="Times New Roman" w:eastAsia="宋体" w:cs="Times New Roman"/>
                <w:color w:val="auto"/>
                <w:sz w:val="18"/>
                <w:szCs w:val="18"/>
                <w:lang w:val="en-US" w:eastAsia="zh-CN"/>
              </w:rPr>
              <w:t>.26</w:t>
            </w:r>
          </w:p>
        </w:tc>
        <w:tc>
          <w:tcPr>
            <w:tcW w:w="24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snapToGrid w:val="0"/>
              <w:spacing w:before="56" w:beforeLines="18" w:after="56" w:afterLines="18"/>
              <w:ind w:left="-105" w:right="-105"/>
              <w:jc w:val="center"/>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60</w:t>
            </w:r>
          </w:p>
        </w:tc>
        <w:tc>
          <w:tcPr>
            <w:tcW w:w="45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mg/m</w:t>
            </w:r>
            <w:r>
              <w:rPr>
                <w:rFonts w:ascii="Times New Roman" w:hAnsi="Times New Roman" w:eastAsia="宋体" w:cs="Times New Roman"/>
                <w:color w:val="auto"/>
                <w:sz w:val="18"/>
                <w:szCs w:val="18"/>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54" w:type="pct"/>
            <w:vMerge w:val="continue"/>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p>
        </w:tc>
        <w:tc>
          <w:tcPr>
            <w:tcW w:w="360" w:type="pct"/>
            <w:vMerge w:val="continue"/>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p>
        </w:tc>
        <w:tc>
          <w:tcPr>
            <w:tcW w:w="406"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排放速率</w:t>
            </w:r>
          </w:p>
        </w:tc>
        <w:tc>
          <w:tcPr>
            <w:tcW w:w="52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kern w:val="0"/>
                <w:sz w:val="18"/>
                <w:szCs w:val="18"/>
                <w:lang w:bidi="ar"/>
              </w:rPr>
              <w:t>0.00</w:t>
            </w:r>
            <w:r>
              <w:rPr>
                <w:rFonts w:hint="eastAsia" w:ascii="Times New Roman" w:hAnsi="Times New Roman" w:eastAsia="宋体" w:cs="Times New Roman"/>
                <w:color w:val="auto"/>
                <w:kern w:val="0"/>
                <w:sz w:val="18"/>
                <w:szCs w:val="18"/>
                <w:lang w:eastAsia="zh-CN" w:bidi="ar"/>
              </w:rPr>
              <w:t>5</w:t>
            </w:r>
            <w:r>
              <w:rPr>
                <w:rFonts w:hint="eastAsia" w:ascii="Times New Roman" w:hAnsi="Times New Roman" w:eastAsia="宋体" w:cs="Times New Roman"/>
                <w:color w:val="auto"/>
                <w:kern w:val="0"/>
                <w:sz w:val="18"/>
                <w:szCs w:val="18"/>
                <w:lang w:val="en-US" w:eastAsia="zh-CN" w:bidi="ar"/>
              </w:rPr>
              <w:t>71</w:t>
            </w:r>
            <w:r>
              <w:rPr>
                <w:rFonts w:ascii="Times New Roman" w:hAnsi="Times New Roman" w:eastAsia="宋体" w:cs="Times New Roman"/>
                <w:color w:val="auto"/>
                <w:kern w:val="0"/>
                <w:sz w:val="18"/>
                <w:szCs w:val="18"/>
                <w:lang w:bidi="ar"/>
              </w:rPr>
              <w:t xml:space="preserve"> </w:t>
            </w:r>
          </w:p>
        </w:tc>
        <w:tc>
          <w:tcPr>
            <w:tcW w:w="542"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hint="default" w:ascii="Times New Roman" w:hAnsi="Times New Roman" w:eastAsia="宋体" w:cs="Times New Roman"/>
                <w:color w:val="auto"/>
                <w:sz w:val="18"/>
                <w:szCs w:val="18"/>
              </w:rPr>
            </w:pPr>
            <w:r>
              <w:rPr>
                <w:rFonts w:ascii="Times New Roman" w:hAnsi="Times New Roman" w:eastAsia="宋体" w:cs="Times New Roman"/>
                <w:color w:val="auto"/>
                <w:kern w:val="0"/>
                <w:sz w:val="18"/>
                <w:szCs w:val="18"/>
                <w:lang w:bidi="ar"/>
              </w:rPr>
              <w:t>0.00</w:t>
            </w:r>
            <w:r>
              <w:rPr>
                <w:rFonts w:hint="eastAsia" w:ascii="Times New Roman" w:hAnsi="Times New Roman" w:eastAsia="宋体" w:cs="Times New Roman"/>
                <w:color w:val="auto"/>
                <w:kern w:val="0"/>
                <w:sz w:val="18"/>
                <w:szCs w:val="18"/>
                <w:lang w:eastAsia="zh-CN" w:bidi="ar"/>
              </w:rPr>
              <w:t>5</w:t>
            </w:r>
            <w:r>
              <w:rPr>
                <w:rFonts w:hint="eastAsia" w:ascii="Times New Roman" w:hAnsi="Times New Roman" w:eastAsia="宋体" w:cs="Times New Roman"/>
                <w:color w:val="auto"/>
                <w:kern w:val="0"/>
                <w:sz w:val="18"/>
                <w:szCs w:val="18"/>
                <w:lang w:val="en-US" w:eastAsia="zh-CN" w:bidi="ar"/>
              </w:rPr>
              <w:t>98</w:t>
            </w:r>
          </w:p>
        </w:tc>
        <w:tc>
          <w:tcPr>
            <w:tcW w:w="49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kern w:val="0"/>
                <w:sz w:val="18"/>
                <w:szCs w:val="18"/>
                <w:lang w:bidi="ar"/>
              </w:rPr>
              <w:t>0.00</w:t>
            </w:r>
            <w:r>
              <w:rPr>
                <w:rFonts w:hint="eastAsia" w:ascii="Times New Roman" w:hAnsi="Times New Roman" w:eastAsia="宋体" w:cs="Times New Roman"/>
                <w:color w:val="auto"/>
                <w:kern w:val="0"/>
                <w:sz w:val="18"/>
                <w:szCs w:val="18"/>
                <w:lang w:val="en-US" w:eastAsia="zh-CN" w:bidi="ar"/>
              </w:rPr>
              <w:t>748</w:t>
            </w:r>
          </w:p>
        </w:tc>
        <w:tc>
          <w:tcPr>
            <w:tcW w:w="48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kern w:val="0"/>
                <w:sz w:val="18"/>
                <w:szCs w:val="18"/>
                <w:lang w:bidi="ar"/>
              </w:rPr>
              <w:t>0.00</w:t>
            </w:r>
            <w:r>
              <w:rPr>
                <w:rFonts w:hint="eastAsia" w:ascii="Times New Roman" w:hAnsi="Times New Roman" w:eastAsia="宋体" w:cs="Times New Roman"/>
                <w:color w:val="auto"/>
                <w:kern w:val="0"/>
                <w:sz w:val="18"/>
                <w:szCs w:val="18"/>
                <w:lang w:val="en-US" w:eastAsia="zh-CN" w:bidi="ar"/>
              </w:rPr>
              <w:t>761</w:t>
            </w:r>
          </w:p>
        </w:tc>
        <w:tc>
          <w:tcPr>
            <w:tcW w:w="54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kern w:val="0"/>
                <w:sz w:val="18"/>
                <w:szCs w:val="18"/>
                <w:lang w:bidi="ar"/>
              </w:rPr>
              <w:t>0.00</w:t>
            </w:r>
            <w:r>
              <w:rPr>
                <w:rFonts w:hint="eastAsia" w:ascii="Times New Roman" w:hAnsi="Times New Roman" w:eastAsia="宋体" w:cs="Times New Roman"/>
                <w:color w:val="auto"/>
                <w:kern w:val="0"/>
                <w:sz w:val="18"/>
                <w:szCs w:val="18"/>
                <w:lang w:val="en-US" w:eastAsia="zh-CN" w:bidi="ar"/>
              </w:rPr>
              <w:t>825</w:t>
            </w:r>
            <w:r>
              <w:rPr>
                <w:rFonts w:ascii="Times New Roman" w:hAnsi="Times New Roman" w:eastAsia="宋体" w:cs="Times New Roman"/>
                <w:color w:val="auto"/>
                <w:kern w:val="0"/>
                <w:sz w:val="18"/>
                <w:szCs w:val="18"/>
                <w:lang w:bidi="ar"/>
              </w:rPr>
              <w:t xml:space="preserve"> </w:t>
            </w:r>
          </w:p>
        </w:tc>
        <w:tc>
          <w:tcPr>
            <w:tcW w:w="46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widowControl/>
              <w:jc w:val="center"/>
              <w:textAlignment w:val="center"/>
              <w:rPr>
                <w:rFonts w:ascii="Times New Roman" w:hAnsi="Times New Roman" w:eastAsia="宋体" w:cs="Times New Roman"/>
                <w:color w:val="auto"/>
                <w:sz w:val="18"/>
                <w:szCs w:val="18"/>
              </w:rPr>
            </w:pPr>
            <w:r>
              <w:rPr>
                <w:rFonts w:ascii="Times New Roman" w:hAnsi="Times New Roman" w:eastAsia="宋体" w:cs="Times New Roman"/>
                <w:color w:val="auto"/>
                <w:kern w:val="0"/>
                <w:sz w:val="18"/>
                <w:szCs w:val="18"/>
                <w:lang w:bidi="ar"/>
              </w:rPr>
              <w:t>0.00</w:t>
            </w:r>
            <w:r>
              <w:rPr>
                <w:rFonts w:hint="eastAsia" w:ascii="Times New Roman" w:hAnsi="Times New Roman" w:eastAsia="宋体" w:cs="Times New Roman"/>
                <w:color w:val="auto"/>
                <w:kern w:val="0"/>
                <w:sz w:val="18"/>
                <w:szCs w:val="18"/>
                <w:lang w:val="en-US" w:eastAsia="zh-CN" w:bidi="ar"/>
              </w:rPr>
              <w:t>685</w:t>
            </w:r>
          </w:p>
        </w:tc>
        <w:tc>
          <w:tcPr>
            <w:tcW w:w="248"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snapToGrid w:val="0"/>
              <w:spacing w:before="56" w:beforeLines="18" w:after="56" w:afterLines="18"/>
              <w:ind w:left="-105" w:right="-105"/>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val="en-US" w:eastAsia="zh-CN"/>
              </w:rPr>
              <w:t>14.3</w:t>
            </w:r>
          </w:p>
        </w:tc>
        <w:tc>
          <w:tcPr>
            <w:tcW w:w="459"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54"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备注</w:t>
            </w:r>
          </w:p>
        </w:tc>
        <w:tc>
          <w:tcPr>
            <w:tcW w:w="4545" w:type="pct"/>
            <w:gridSpan w:val="10"/>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pPr>
              <w:snapToGrid w:val="0"/>
              <w:spacing w:before="56" w:beforeLines="18" w:after="56" w:afterLines="18"/>
              <w:ind w:left="-105" w:right="-105"/>
              <w:jc w:val="left"/>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1.TVOC执行《工业企业挥发性有机物排放控制标准》（DB/524-20</w:t>
            </w:r>
            <w:r>
              <w:rPr>
                <w:rFonts w:hint="eastAsia" w:ascii="Times New Roman" w:hAnsi="Times New Roman" w:eastAsia="宋体" w:cs="Times New Roman"/>
                <w:color w:val="auto"/>
                <w:sz w:val="18"/>
                <w:szCs w:val="18"/>
                <w:lang w:val="en-US" w:eastAsia="zh-CN"/>
              </w:rPr>
              <w:t>20</w:t>
            </w:r>
            <w:r>
              <w:rPr>
                <w:rFonts w:ascii="Times New Roman" w:hAnsi="Times New Roman" w:eastAsia="宋体" w:cs="Times New Roman"/>
                <w:color w:val="auto"/>
                <w:sz w:val="18"/>
                <w:szCs w:val="18"/>
              </w:rPr>
              <w:t>）标准限值；</w:t>
            </w:r>
          </w:p>
          <w:p>
            <w:pPr>
              <w:snapToGrid w:val="0"/>
              <w:spacing w:before="56" w:beforeLines="18" w:after="56" w:afterLines="18"/>
              <w:ind w:left="-105" w:right="-105"/>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2.其他执行《恶臭污染物排放标准》（GB14554-93）标准限值。</w:t>
            </w:r>
          </w:p>
        </w:tc>
      </w:tr>
    </w:tbl>
    <w:p>
      <w:pPr>
        <w:spacing w:line="360" w:lineRule="auto"/>
        <w:ind w:firstLine="480" w:firstLineChars="200"/>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油烟检测结果见表9.3-3</w:t>
      </w:r>
    </w:p>
    <w:p>
      <w:pPr>
        <w:jc w:val="center"/>
        <w:rPr>
          <w:rFonts w:hint="default"/>
          <w:lang w:val="en-US" w:eastAsia="zh-CN"/>
        </w:rPr>
      </w:pPr>
      <w:r>
        <w:rPr>
          <w:rFonts w:hint="eastAsia" w:ascii="Times New Roman" w:hAnsi="Times New Roman" w:cs="Times New Roman"/>
          <w:color w:val="auto"/>
          <w:sz w:val="24"/>
          <w:szCs w:val="24"/>
          <w:lang w:val="en-US" w:eastAsia="zh-CN"/>
        </w:rPr>
        <w:t xml:space="preserve">        </w:t>
      </w:r>
      <w:r>
        <w:rPr>
          <w:rFonts w:ascii="Times New Roman" w:hAnsi="Times New Roman" w:cs="Times New Roman"/>
          <w:b/>
          <w:bCs/>
          <w:color w:val="auto"/>
          <w:szCs w:val="21"/>
        </w:rPr>
        <w:t>表</w:t>
      </w:r>
      <w:r>
        <w:rPr>
          <w:rFonts w:hint="default" w:ascii="Times New Roman" w:hAnsi="Times New Roman" w:cs="Times New Roman"/>
          <w:b/>
          <w:bCs/>
          <w:color w:val="auto"/>
          <w:szCs w:val="21"/>
        </w:rPr>
        <w:t>9</w:t>
      </w:r>
      <w:r>
        <w:rPr>
          <w:rFonts w:ascii="Times New Roman" w:hAnsi="Times New Roman" w:cs="Times New Roman"/>
          <w:b/>
          <w:bCs/>
          <w:color w:val="auto"/>
          <w:szCs w:val="21"/>
        </w:rPr>
        <w:t>.3-</w:t>
      </w:r>
      <w:r>
        <w:rPr>
          <w:rFonts w:hint="eastAsia" w:ascii="Times New Roman" w:hAnsi="Times New Roman" w:cs="Times New Roman"/>
          <w:b/>
          <w:bCs/>
          <w:color w:val="auto"/>
          <w:szCs w:val="21"/>
          <w:lang w:val="en-US" w:eastAsia="zh-CN"/>
        </w:rPr>
        <w:t>3</w:t>
      </w:r>
      <w:r>
        <w:rPr>
          <w:rFonts w:ascii="Times New Roman" w:hAnsi="Times New Roman" w:cs="Times New Roman"/>
          <w:b/>
          <w:bCs/>
          <w:color w:val="auto"/>
          <w:szCs w:val="21"/>
        </w:rPr>
        <w:t xml:space="preserve"> </w:t>
      </w:r>
      <w:r>
        <w:rPr>
          <w:rFonts w:hint="eastAsia" w:ascii="Times New Roman" w:hAnsi="Times New Roman" w:eastAsia="宋体" w:cs="Times New Roman"/>
          <w:b/>
          <w:color w:val="auto"/>
          <w:spacing w:val="-5"/>
          <w:kern w:val="0"/>
          <w:szCs w:val="21"/>
          <w:lang w:val="en-US" w:eastAsia="zh-CN"/>
        </w:rPr>
        <w:t>油烟</w:t>
      </w:r>
      <w:r>
        <w:rPr>
          <w:rFonts w:hint="default" w:ascii="Times New Roman" w:hAnsi="Times New Roman" w:eastAsia="宋体" w:cs="Times New Roman"/>
          <w:b/>
          <w:color w:val="auto"/>
          <w:spacing w:val="-5"/>
          <w:kern w:val="0"/>
          <w:szCs w:val="21"/>
        </w:rPr>
        <w:t>废气浓度</w:t>
      </w:r>
      <w:r>
        <w:rPr>
          <w:rFonts w:ascii="Times New Roman" w:hAnsi="Times New Roman" w:eastAsia="宋体" w:cs="Times New Roman"/>
          <w:b/>
          <w:color w:val="auto"/>
          <w:spacing w:val="-5"/>
          <w:kern w:val="0"/>
          <w:szCs w:val="21"/>
        </w:rPr>
        <w:t>监测结果</w:t>
      </w:r>
      <w:r>
        <w:rPr>
          <w:rFonts w:hint="eastAsia" w:ascii="Times New Roman" w:hAnsi="Times New Roman" w:cs="Times New Roman"/>
          <w:color w:val="auto"/>
          <w:sz w:val="24"/>
          <w:szCs w:val="24"/>
          <w:lang w:val="en-US" w:eastAsia="zh-CN"/>
        </w:rPr>
        <w:t xml:space="preserve">         </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3"/>
        <w:gridCol w:w="1145"/>
        <w:gridCol w:w="815"/>
        <w:gridCol w:w="10"/>
        <w:gridCol w:w="1425"/>
        <w:gridCol w:w="795"/>
        <w:gridCol w:w="915"/>
        <w:gridCol w:w="900"/>
        <w:gridCol w:w="11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1273" w:type="dxa"/>
            <w:vMerge w:val="restart"/>
          </w:tcPr>
          <w:p>
            <w:pPr>
              <w:spacing w:line="360" w:lineRule="auto"/>
              <w:ind w:firstLine="180" w:firstLineChars="100"/>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监测点位</w:t>
            </w:r>
          </w:p>
        </w:tc>
        <w:tc>
          <w:tcPr>
            <w:tcW w:w="1145" w:type="dxa"/>
            <w:vMerge w:val="restart"/>
          </w:tcPr>
          <w:p>
            <w:pPr>
              <w:spacing w:line="360" w:lineRule="auto"/>
              <w:ind w:firstLine="180" w:firstLineChars="100"/>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时间</w:t>
            </w:r>
          </w:p>
        </w:tc>
        <w:tc>
          <w:tcPr>
            <w:tcW w:w="2250" w:type="dxa"/>
            <w:gridSpan w:val="3"/>
            <w:vMerge w:val="restart"/>
          </w:tcPr>
          <w:p>
            <w:pPr>
              <w:spacing w:line="360" w:lineRule="auto"/>
              <w:ind w:firstLine="540" w:firstLineChars="300"/>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检测项目</w:t>
            </w:r>
          </w:p>
        </w:tc>
        <w:tc>
          <w:tcPr>
            <w:tcW w:w="2610" w:type="dxa"/>
            <w:gridSpan w:val="3"/>
          </w:tcPr>
          <w:p>
            <w:pPr>
              <w:spacing w:line="360" w:lineRule="auto"/>
              <w:ind w:firstLine="540" w:firstLineChars="300"/>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检测结果（mg/m</w:t>
            </w:r>
            <w:r>
              <w:rPr>
                <w:rFonts w:hint="eastAsia" w:ascii="Times New Roman" w:hAnsi="Times New Roman" w:cs="Times New Roman"/>
                <w:color w:val="auto"/>
                <w:sz w:val="18"/>
                <w:szCs w:val="18"/>
                <w:vertAlign w:val="superscript"/>
                <w:lang w:val="en-US" w:eastAsia="zh-CN"/>
              </w:rPr>
              <w:t>3</w:t>
            </w:r>
            <w:r>
              <w:rPr>
                <w:rFonts w:hint="eastAsia" w:ascii="Times New Roman" w:hAnsi="Times New Roman" w:cs="Times New Roman"/>
                <w:color w:val="auto"/>
                <w:sz w:val="18"/>
                <w:szCs w:val="18"/>
                <w:vertAlign w:val="baseline"/>
                <w:lang w:val="en-US" w:eastAsia="zh-CN"/>
              </w:rPr>
              <w:t>)</w:t>
            </w:r>
          </w:p>
        </w:tc>
        <w:tc>
          <w:tcPr>
            <w:tcW w:w="1185" w:type="dxa"/>
            <w:vMerge w:val="restart"/>
          </w:tcPr>
          <w:p>
            <w:pPr>
              <w:spacing w:line="360" w:lineRule="auto"/>
              <w:ind w:firstLine="180" w:firstLineChars="100"/>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 w:hRule="atLeast"/>
        </w:trPr>
        <w:tc>
          <w:tcPr>
            <w:tcW w:w="1273"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1145"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2250" w:type="dxa"/>
            <w:gridSpan w:val="3"/>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79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第1次</w:t>
            </w:r>
          </w:p>
        </w:tc>
        <w:tc>
          <w:tcPr>
            <w:tcW w:w="91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第2次</w:t>
            </w:r>
          </w:p>
        </w:tc>
        <w:tc>
          <w:tcPr>
            <w:tcW w:w="900"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第3次</w:t>
            </w:r>
          </w:p>
        </w:tc>
        <w:tc>
          <w:tcPr>
            <w:tcW w:w="1185" w:type="dxa"/>
            <w:vMerge w:val="continue"/>
          </w:tcPr>
          <w:p>
            <w:pPr>
              <w:spacing w:line="360" w:lineRule="auto"/>
              <w:rPr>
                <w:rFonts w:hint="eastAsia" w:ascii="Times New Roman" w:hAnsi="Times New Roman" w:cs="Times New Roman"/>
                <w:color w:val="auto"/>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3" w:type="dxa"/>
            <w:vMerge w:val="restart"/>
          </w:tcPr>
          <w:p>
            <w:pPr>
              <w:spacing w:line="360" w:lineRule="auto"/>
              <w:rPr>
                <w:rFonts w:hint="eastAsia" w:ascii="Times New Roman" w:hAnsi="Times New Roman" w:cs="Times New Roman"/>
                <w:color w:val="auto"/>
                <w:sz w:val="18"/>
                <w:szCs w:val="18"/>
                <w:vertAlign w:val="baseline"/>
                <w:lang w:val="en-US" w:eastAsia="zh-CN"/>
              </w:rPr>
            </w:pPr>
          </w:p>
          <w:p>
            <w:pPr>
              <w:spacing w:line="360" w:lineRule="auto"/>
              <w:rPr>
                <w:rFonts w:hint="eastAsia" w:ascii="Times New Roman" w:hAnsi="Times New Roman" w:cs="Times New Roman"/>
                <w:color w:val="auto"/>
                <w:sz w:val="18"/>
                <w:szCs w:val="18"/>
                <w:vertAlign w:val="baseline"/>
                <w:lang w:val="en-US" w:eastAsia="zh-CN"/>
              </w:rPr>
            </w:pPr>
          </w:p>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食堂油烟进口</w:t>
            </w:r>
          </w:p>
        </w:tc>
        <w:tc>
          <w:tcPr>
            <w:tcW w:w="1145" w:type="dxa"/>
            <w:vMerge w:val="restart"/>
          </w:tcPr>
          <w:p>
            <w:pPr>
              <w:spacing w:line="360" w:lineRule="auto"/>
              <w:rPr>
                <w:rFonts w:hint="eastAsia" w:ascii="Times New Roman" w:hAnsi="Times New Roman" w:cs="Times New Roman"/>
                <w:color w:val="auto"/>
                <w:sz w:val="18"/>
                <w:szCs w:val="18"/>
                <w:vertAlign w:val="baseline"/>
                <w:lang w:val="en-US" w:eastAsia="zh-CN"/>
              </w:rPr>
            </w:pPr>
          </w:p>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11月9日</w:t>
            </w:r>
          </w:p>
        </w:tc>
        <w:tc>
          <w:tcPr>
            <w:tcW w:w="825" w:type="dxa"/>
            <w:gridSpan w:val="2"/>
            <w:vMerge w:val="restart"/>
          </w:tcPr>
          <w:p>
            <w:pPr>
              <w:spacing w:line="360" w:lineRule="auto"/>
              <w:rPr>
                <w:rFonts w:hint="eastAsia" w:ascii="Times New Roman" w:hAnsi="Times New Roman" w:cs="Times New Roman"/>
                <w:color w:val="auto"/>
                <w:sz w:val="18"/>
                <w:szCs w:val="18"/>
                <w:vertAlign w:val="baseline"/>
                <w:lang w:val="en-US" w:eastAsia="zh-CN"/>
              </w:rPr>
            </w:pPr>
          </w:p>
          <w:p>
            <w:pPr>
              <w:spacing w:line="360" w:lineRule="auto"/>
              <w:rPr>
                <w:rFonts w:hint="eastAsia" w:ascii="Times New Roman" w:hAnsi="Times New Roman" w:cs="Times New Roman"/>
                <w:color w:val="auto"/>
                <w:sz w:val="18"/>
                <w:szCs w:val="18"/>
                <w:vertAlign w:val="baseline"/>
                <w:lang w:val="en-US" w:eastAsia="zh-CN"/>
              </w:rPr>
            </w:pPr>
          </w:p>
          <w:p>
            <w:pPr>
              <w:spacing w:line="360" w:lineRule="auto"/>
              <w:rPr>
                <w:rFonts w:hint="eastAsia" w:ascii="Times New Roman" w:hAnsi="Times New Roman" w:cs="Times New Roman"/>
                <w:color w:val="auto"/>
                <w:sz w:val="18"/>
                <w:szCs w:val="18"/>
                <w:vertAlign w:val="baseline"/>
                <w:lang w:val="en-US" w:eastAsia="zh-CN"/>
              </w:rPr>
            </w:pPr>
          </w:p>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油烟</w:t>
            </w:r>
          </w:p>
        </w:tc>
        <w:tc>
          <w:tcPr>
            <w:tcW w:w="142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实测排风量</w:t>
            </w:r>
          </w:p>
        </w:tc>
        <w:tc>
          <w:tcPr>
            <w:tcW w:w="79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7329</w:t>
            </w:r>
          </w:p>
        </w:tc>
        <w:tc>
          <w:tcPr>
            <w:tcW w:w="91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7291</w:t>
            </w:r>
          </w:p>
        </w:tc>
        <w:tc>
          <w:tcPr>
            <w:tcW w:w="900"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7222</w:t>
            </w:r>
          </w:p>
        </w:tc>
        <w:tc>
          <w:tcPr>
            <w:tcW w:w="1185" w:type="dxa"/>
          </w:tcPr>
          <w:p>
            <w:pPr>
              <w:spacing w:line="360" w:lineRule="auto"/>
              <w:ind w:firstLine="360" w:firstLineChars="200"/>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3"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1145"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825" w:type="dxa"/>
            <w:gridSpan w:val="2"/>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142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实测浓度</w:t>
            </w:r>
          </w:p>
        </w:tc>
        <w:tc>
          <w:tcPr>
            <w:tcW w:w="79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1.24</w:t>
            </w:r>
          </w:p>
        </w:tc>
        <w:tc>
          <w:tcPr>
            <w:tcW w:w="91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1.18</w:t>
            </w:r>
          </w:p>
        </w:tc>
        <w:tc>
          <w:tcPr>
            <w:tcW w:w="900"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1.17</w:t>
            </w:r>
          </w:p>
        </w:tc>
        <w:tc>
          <w:tcPr>
            <w:tcW w:w="1185" w:type="dxa"/>
          </w:tcPr>
          <w:p>
            <w:pPr>
              <w:spacing w:line="360" w:lineRule="auto"/>
              <w:ind w:firstLine="360" w:firstLineChars="200"/>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3"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1145"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825" w:type="dxa"/>
            <w:gridSpan w:val="2"/>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142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折算浓度</w:t>
            </w:r>
          </w:p>
        </w:tc>
        <w:tc>
          <w:tcPr>
            <w:tcW w:w="2610" w:type="dxa"/>
            <w:gridSpan w:val="3"/>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 xml:space="preserve">         1.20</w:t>
            </w:r>
          </w:p>
        </w:tc>
        <w:tc>
          <w:tcPr>
            <w:tcW w:w="1185" w:type="dxa"/>
          </w:tcPr>
          <w:p>
            <w:pPr>
              <w:spacing w:line="360" w:lineRule="auto"/>
              <w:ind w:firstLine="360" w:firstLineChars="200"/>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3"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1145" w:type="dxa"/>
            <w:vMerge w:val="restart"/>
          </w:tcPr>
          <w:p>
            <w:pPr>
              <w:spacing w:line="360" w:lineRule="auto"/>
              <w:rPr>
                <w:rFonts w:hint="eastAsia" w:ascii="Times New Roman" w:hAnsi="Times New Roman" w:cs="Times New Roman"/>
                <w:color w:val="auto"/>
                <w:sz w:val="18"/>
                <w:szCs w:val="18"/>
                <w:vertAlign w:val="baseline"/>
                <w:lang w:val="en-US" w:eastAsia="zh-CN"/>
              </w:rPr>
            </w:pPr>
          </w:p>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11月10日</w:t>
            </w:r>
          </w:p>
        </w:tc>
        <w:tc>
          <w:tcPr>
            <w:tcW w:w="825" w:type="dxa"/>
            <w:gridSpan w:val="2"/>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1425" w:type="dxa"/>
            <w:vAlign w:val="top"/>
          </w:tcPr>
          <w:p>
            <w:pPr>
              <w:spacing w:line="360" w:lineRule="auto"/>
              <w:rPr>
                <w:rFonts w:hint="eastAsia"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实测排风量</w:t>
            </w:r>
          </w:p>
        </w:tc>
        <w:tc>
          <w:tcPr>
            <w:tcW w:w="79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7329</w:t>
            </w:r>
          </w:p>
        </w:tc>
        <w:tc>
          <w:tcPr>
            <w:tcW w:w="91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7284</w:t>
            </w:r>
          </w:p>
        </w:tc>
        <w:tc>
          <w:tcPr>
            <w:tcW w:w="900"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7419</w:t>
            </w:r>
          </w:p>
        </w:tc>
        <w:tc>
          <w:tcPr>
            <w:tcW w:w="1185" w:type="dxa"/>
          </w:tcPr>
          <w:p>
            <w:pPr>
              <w:spacing w:line="360" w:lineRule="auto"/>
              <w:ind w:firstLine="360" w:firstLineChars="200"/>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3"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1145"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825" w:type="dxa"/>
            <w:gridSpan w:val="2"/>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1425" w:type="dxa"/>
            <w:vAlign w:val="top"/>
          </w:tcPr>
          <w:p>
            <w:pPr>
              <w:spacing w:line="360" w:lineRule="auto"/>
              <w:rPr>
                <w:rFonts w:hint="eastAsia"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实测浓度</w:t>
            </w:r>
          </w:p>
        </w:tc>
        <w:tc>
          <w:tcPr>
            <w:tcW w:w="79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1.17</w:t>
            </w:r>
          </w:p>
        </w:tc>
        <w:tc>
          <w:tcPr>
            <w:tcW w:w="91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1.18</w:t>
            </w:r>
          </w:p>
        </w:tc>
        <w:tc>
          <w:tcPr>
            <w:tcW w:w="900"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1.18</w:t>
            </w:r>
          </w:p>
        </w:tc>
        <w:tc>
          <w:tcPr>
            <w:tcW w:w="1185" w:type="dxa"/>
          </w:tcPr>
          <w:p>
            <w:pPr>
              <w:spacing w:line="360" w:lineRule="auto"/>
              <w:ind w:firstLine="360" w:firstLineChars="200"/>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3"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1145"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825" w:type="dxa"/>
            <w:gridSpan w:val="2"/>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1425" w:type="dxa"/>
            <w:vAlign w:val="top"/>
          </w:tcPr>
          <w:p>
            <w:pPr>
              <w:spacing w:line="360" w:lineRule="auto"/>
              <w:rPr>
                <w:rFonts w:hint="eastAsia"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折算浓度</w:t>
            </w:r>
          </w:p>
        </w:tc>
        <w:tc>
          <w:tcPr>
            <w:tcW w:w="2610" w:type="dxa"/>
            <w:gridSpan w:val="3"/>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 xml:space="preserve">        1.18</w:t>
            </w:r>
          </w:p>
        </w:tc>
        <w:tc>
          <w:tcPr>
            <w:tcW w:w="1185" w:type="dxa"/>
          </w:tcPr>
          <w:p>
            <w:pPr>
              <w:spacing w:line="360" w:lineRule="auto"/>
              <w:ind w:firstLine="360" w:firstLineChars="200"/>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3" w:type="dxa"/>
            <w:vMerge w:val="restart"/>
          </w:tcPr>
          <w:p>
            <w:pPr>
              <w:spacing w:line="360" w:lineRule="auto"/>
              <w:rPr>
                <w:rFonts w:hint="eastAsia" w:ascii="Times New Roman" w:hAnsi="Times New Roman" w:cs="Times New Roman"/>
                <w:color w:val="auto"/>
                <w:sz w:val="18"/>
                <w:szCs w:val="18"/>
                <w:vertAlign w:val="baseline"/>
                <w:lang w:val="en-US" w:eastAsia="zh-CN"/>
              </w:rPr>
            </w:pPr>
          </w:p>
          <w:p>
            <w:pPr>
              <w:spacing w:line="360" w:lineRule="auto"/>
              <w:rPr>
                <w:rFonts w:hint="eastAsia" w:ascii="Times New Roman" w:hAnsi="Times New Roman" w:cs="Times New Roman"/>
                <w:color w:val="auto"/>
                <w:sz w:val="18"/>
                <w:szCs w:val="18"/>
                <w:vertAlign w:val="baseline"/>
                <w:lang w:val="en-US" w:eastAsia="zh-CN"/>
              </w:rPr>
            </w:pPr>
          </w:p>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食堂油烟出口处</w:t>
            </w:r>
          </w:p>
        </w:tc>
        <w:tc>
          <w:tcPr>
            <w:tcW w:w="1145" w:type="dxa"/>
            <w:vMerge w:val="restart"/>
          </w:tcPr>
          <w:p>
            <w:pPr>
              <w:spacing w:line="360" w:lineRule="auto"/>
              <w:rPr>
                <w:rFonts w:hint="eastAsia" w:ascii="Times New Roman" w:hAnsi="Times New Roman" w:cs="Times New Roman"/>
                <w:color w:val="auto"/>
                <w:sz w:val="18"/>
                <w:szCs w:val="18"/>
                <w:vertAlign w:val="baseline"/>
                <w:lang w:val="en-US" w:eastAsia="zh-CN"/>
              </w:rPr>
            </w:pPr>
          </w:p>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11月9日</w:t>
            </w:r>
          </w:p>
        </w:tc>
        <w:tc>
          <w:tcPr>
            <w:tcW w:w="815" w:type="dxa"/>
            <w:vMerge w:val="restart"/>
          </w:tcPr>
          <w:p>
            <w:pPr>
              <w:spacing w:line="360" w:lineRule="auto"/>
              <w:rPr>
                <w:rFonts w:hint="eastAsia"/>
                <w:sz w:val="18"/>
                <w:szCs w:val="18"/>
                <w:lang w:val="en-US" w:eastAsia="zh-CN"/>
              </w:rPr>
            </w:pPr>
          </w:p>
          <w:p>
            <w:pPr>
              <w:pStyle w:val="9"/>
              <w:rPr>
                <w:rFonts w:hint="eastAsia"/>
                <w:sz w:val="18"/>
                <w:szCs w:val="18"/>
                <w:lang w:val="en-US" w:eastAsia="zh-CN"/>
              </w:rPr>
            </w:pPr>
          </w:p>
          <w:p>
            <w:pPr>
              <w:pStyle w:val="8"/>
              <w:rPr>
                <w:rFonts w:hint="default"/>
                <w:sz w:val="18"/>
                <w:szCs w:val="18"/>
                <w:lang w:val="en-US" w:eastAsia="zh-CN"/>
              </w:rPr>
            </w:pPr>
            <w:r>
              <w:rPr>
                <w:rFonts w:hint="eastAsia" w:ascii="Times New Roman" w:hAnsi="Times New Roman" w:cs="Times New Roman"/>
                <w:b w:val="0"/>
                <w:bCs w:val="0"/>
                <w:color w:val="auto"/>
                <w:sz w:val="18"/>
                <w:szCs w:val="18"/>
                <w:vertAlign w:val="baseline"/>
                <w:lang w:val="en-US" w:eastAsia="zh-CN"/>
              </w:rPr>
              <w:t>油烟</w:t>
            </w:r>
          </w:p>
        </w:tc>
        <w:tc>
          <w:tcPr>
            <w:tcW w:w="1435" w:type="dxa"/>
            <w:gridSpan w:val="2"/>
            <w:vAlign w:val="top"/>
          </w:tcPr>
          <w:p>
            <w:pPr>
              <w:spacing w:line="360" w:lineRule="auto"/>
              <w:rPr>
                <w:rFonts w:hint="eastAsia" w:ascii="Times New Roman" w:hAnsi="Times New Roman" w:cs="Times New Roman" w:eastAsiaTheme="minorEastAsia"/>
                <w:color w:val="auto"/>
                <w:kern w:val="2"/>
                <w:sz w:val="18"/>
                <w:szCs w:val="18"/>
                <w:vertAlign w:val="baseline"/>
                <w:lang w:val="en-US" w:eastAsia="zh-CN" w:bidi="ar-SA"/>
              </w:rPr>
            </w:pPr>
            <w:r>
              <w:rPr>
                <w:rFonts w:hint="eastAsia" w:ascii="Times New Roman" w:hAnsi="Times New Roman" w:cs="Times New Roman"/>
                <w:color w:val="auto"/>
                <w:sz w:val="18"/>
                <w:szCs w:val="18"/>
                <w:vertAlign w:val="baseline"/>
                <w:lang w:val="en-US" w:eastAsia="zh-CN"/>
              </w:rPr>
              <w:t>实测排风量</w:t>
            </w:r>
          </w:p>
        </w:tc>
        <w:tc>
          <w:tcPr>
            <w:tcW w:w="79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7104</w:t>
            </w:r>
          </w:p>
        </w:tc>
        <w:tc>
          <w:tcPr>
            <w:tcW w:w="91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7106</w:t>
            </w:r>
          </w:p>
        </w:tc>
        <w:tc>
          <w:tcPr>
            <w:tcW w:w="900"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7042</w:t>
            </w:r>
          </w:p>
        </w:tc>
        <w:tc>
          <w:tcPr>
            <w:tcW w:w="1185" w:type="dxa"/>
          </w:tcPr>
          <w:p>
            <w:pPr>
              <w:spacing w:line="360" w:lineRule="auto"/>
              <w:ind w:firstLine="360" w:firstLineChars="200"/>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3"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1145"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815"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1435" w:type="dxa"/>
            <w:gridSpan w:val="2"/>
            <w:vAlign w:val="top"/>
          </w:tcPr>
          <w:p>
            <w:pPr>
              <w:spacing w:line="360" w:lineRule="auto"/>
              <w:rPr>
                <w:rFonts w:hint="eastAsia" w:ascii="Times New Roman" w:hAnsi="Times New Roman" w:cs="Times New Roman" w:eastAsiaTheme="minorEastAsia"/>
                <w:color w:val="auto"/>
                <w:kern w:val="2"/>
                <w:sz w:val="18"/>
                <w:szCs w:val="18"/>
                <w:vertAlign w:val="baseline"/>
                <w:lang w:val="en-US" w:eastAsia="zh-CN" w:bidi="ar-SA"/>
              </w:rPr>
            </w:pPr>
            <w:r>
              <w:rPr>
                <w:rFonts w:hint="eastAsia" w:ascii="Times New Roman" w:hAnsi="Times New Roman" w:cs="Times New Roman"/>
                <w:color w:val="auto"/>
                <w:sz w:val="18"/>
                <w:szCs w:val="18"/>
                <w:vertAlign w:val="baseline"/>
                <w:lang w:val="en-US" w:eastAsia="zh-CN"/>
              </w:rPr>
              <w:t>实测浓度</w:t>
            </w:r>
          </w:p>
        </w:tc>
        <w:tc>
          <w:tcPr>
            <w:tcW w:w="79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0.46</w:t>
            </w:r>
          </w:p>
        </w:tc>
        <w:tc>
          <w:tcPr>
            <w:tcW w:w="91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0.39</w:t>
            </w:r>
          </w:p>
        </w:tc>
        <w:tc>
          <w:tcPr>
            <w:tcW w:w="900"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0.40</w:t>
            </w:r>
          </w:p>
        </w:tc>
        <w:tc>
          <w:tcPr>
            <w:tcW w:w="1185" w:type="dxa"/>
          </w:tcPr>
          <w:p>
            <w:pPr>
              <w:spacing w:line="360" w:lineRule="auto"/>
              <w:ind w:firstLine="360" w:firstLineChars="200"/>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3"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1145"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815"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1435" w:type="dxa"/>
            <w:gridSpan w:val="2"/>
            <w:vAlign w:val="top"/>
          </w:tcPr>
          <w:p>
            <w:pPr>
              <w:spacing w:line="360" w:lineRule="auto"/>
              <w:rPr>
                <w:rFonts w:hint="eastAsia" w:ascii="Times New Roman" w:hAnsi="Times New Roman" w:cs="Times New Roman" w:eastAsiaTheme="minorEastAsia"/>
                <w:color w:val="auto"/>
                <w:kern w:val="2"/>
                <w:sz w:val="18"/>
                <w:szCs w:val="18"/>
                <w:vertAlign w:val="baseline"/>
                <w:lang w:val="en-US" w:eastAsia="zh-CN" w:bidi="ar-SA"/>
              </w:rPr>
            </w:pPr>
            <w:r>
              <w:rPr>
                <w:rFonts w:hint="eastAsia" w:ascii="Times New Roman" w:hAnsi="Times New Roman" w:cs="Times New Roman"/>
                <w:color w:val="auto"/>
                <w:sz w:val="18"/>
                <w:szCs w:val="18"/>
                <w:vertAlign w:val="baseline"/>
                <w:lang w:val="en-US" w:eastAsia="zh-CN"/>
              </w:rPr>
              <w:t>折算浓度</w:t>
            </w:r>
          </w:p>
        </w:tc>
        <w:tc>
          <w:tcPr>
            <w:tcW w:w="2610" w:type="dxa"/>
            <w:gridSpan w:val="3"/>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 xml:space="preserve">        0.42</w:t>
            </w:r>
          </w:p>
        </w:tc>
        <w:tc>
          <w:tcPr>
            <w:tcW w:w="1185" w:type="dxa"/>
          </w:tcPr>
          <w:p>
            <w:pPr>
              <w:spacing w:line="360" w:lineRule="auto"/>
              <w:ind w:firstLine="360" w:firstLineChars="200"/>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3"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1145" w:type="dxa"/>
            <w:vMerge w:val="restart"/>
          </w:tcPr>
          <w:p>
            <w:pPr>
              <w:spacing w:line="360" w:lineRule="auto"/>
              <w:rPr>
                <w:rFonts w:hint="eastAsia" w:ascii="Times New Roman" w:hAnsi="Times New Roman" w:cs="Times New Roman"/>
                <w:color w:val="auto"/>
                <w:sz w:val="18"/>
                <w:szCs w:val="18"/>
                <w:vertAlign w:val="baseline"/>
                <w:lang w:val="en-US" w:eastAsia="zh-CN"/>
              </w:rPr>
            </w:pPr>
          </w:p>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11月10日</w:t>
            </w:r>
          </w:p>
        </w:tc>
        <w:tc>
          <w:tcPr>
            <w:tcW w:w="815"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1435" w:type="dxa"/>
            <w:gridSpan w:val="2"/>
            <w:vAlign w:val="top"/>
          </w:tcPr>
          <w:p>
            <w:pPr>
              <w:spacing w:line="360" w:lineRule="auto"/>
              <w:rPr>
                <w:rFonts w:hint="eastAsia" w:ascii="Times New Roman" w:hAnsi="Times New Roman" w:cs="Times New Roman" w:eastAsiaTheme="minorEastAsia"/>
                <w:color w:val="auto"/>
                <w:kern w:val="2"/>
                <w:sz w:val="18"/>
                <w:szCs w:val="18"/>
                <w:vertAlign w:val="baseline"/>
                <w:lang w:val="en-US" w:eastAsia="zh-CN" w:bidi="ar-SA"/>
              </w:rPr>
            </w:pPr>
            <w:r>
              <w:rPr>
                <w:rFonts w:hint="eastAsia" w:ascii="Times New Roman" w:hAnsi="Times New Roman" w:cs="Times New Roman"/>
                <w:color w:val="auto"/>
                <w:sz w:val="18"/>
                <w:szCs w:val="18"/>
                <w:vertAlign w:val="baseline"/>
                <w:lang w:val="en-US" w:eastAsia="zh-CN"/>
              </w:rPr>
              <w:t>实测排风量</w:t>
            </w:r>
          </w:p>
        </w:tc>
        <w:tc>
          <w:tcPr>
            <w:tcW w:w="79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7038</w:t>
            </w:r>
          </w:p>
        </w:tc>
        <w:tc>
          <w:tcPr>
            <w:tcW w:w="91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7104</w:t>
            </w:r>
          </w:p>
        </w:tc>
        <w:tc>
          <w:tcPr>
            <w:tcW w:w="900"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7047</w:t>
            </w:r>
          </w:p>
        </w:tc>
        <w:tc>
          <w:tcPr>
            <w:tcW w:w="1185" w:type="dxa"/>
          </w:tcPr>
          <w:p>
            <w:pPr>
              <w:spacing w:line="360" w:lineRule="auto"/>
              <w:ind w:firstLine="360" w:firstLineChars="200"/>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3"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1145"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815"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1435" w:type="dxa"/>
            <w:gridSpan w:val="2"/>
            <w:vAlign w:val="top"/>
          </w:tcPr>
          <w:p>
            <w:pPr>
              <w:spacing w:line="360" w:lineRule="auto"/>
              <w:rPr>
                <w:rFonts w:hint="eastAsia" w:ascii="Times New Roman" w:hAnsi="Times New Roman" w:cs="Times New Roman" w:eastAsiaTheme="minorEastAsia"/>
                <w:color w:val="auto"/>
                <w:kern w:val="2"/>
                <w:sz w:val="18"/>
                <w:szCs w:val="18"/>
                <w:vertAlign w:val="baseline"/>
                <w:lang w:val="en-US" w:eastAsia="zh-CN" w:bidi="ar-SA"/>
              </w:rPr>
            </w:pPr>
            <w:r>
              <w:rPr>
                <w:rFonts w:hint="eastAsia" w:ascii="Times New Roman" w:hAnsi="Times New Roman" w:cs="Times New Roman"/>
                <w:color w:val="auto"/>
                <w:sz w:val="18"/>
                <w:szCs w:val="18"/>
                <w:vertAlign w:val="baseline"/>
                <w:lang w:val="en-US" w:eastAsia="zh-CN"/>
              </w:rPr>
              <w:t>实测浓度</w:t>
            </w:r>
          </w:p>
        </w:tc>
        <w:tc>
          <w:tcPr>
            <w:tcW w:w="79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0.38</w:t>
            </w:r>
          </w:p>
        </w:tc>
        <w:tc>
          <w:tcPr>
            <w:tcW w:w="91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0.40</w:t>
            </w:r>
          </w:p>
        </w:tc>
        <w:tc>
          <w:tcPr>
            <w:tcW w:w="900"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0.43</w:t>
            </w:r>
          </w:p>
        </w:tc>
        <w:tc>
          <w:tcPr>
            <w:tcW w:w="1185" w:type="dxa"/>
          </w:tcPr>
          <w:p>
            <w:pPr>
              <w:spacing w:line="360" w:lineRule="auto"/>
              <w:ind w:firstLine="360" w:firstLineChars="200"/>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3"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1145"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815"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1435" w:type="dxa"/>
            <w:gridSpan w:val="2"/>
            <w:vAlign w:val="top"/>
          </w:tcPr>
          <w:p>
            <w:pPr>
              <w:spacing w:line="360" w:lineRule="auto"/>
              <w:rPr>
                <w:rFonts w:hint="eastAsia" w:ascii="Times New Roman" w:hAnsi="Times New Roman" w:cs="Times New Roman" w:eastAsiaTheme="minorEastAsia"/>
                <w:color w:val="auto"/>
                <w:kern w:val="2"/>
                <w:sz w:val="18"/>
                <w:szCs w:val="18"/>
                <w:vertAlign w:val="baseline"/>
                <w:lang w:val="en-US" w:eastAsia="zh-CN" w:bidi="ar-SA"/>
              </w:rPr>
            </w:pPr>
            <w:r>
              <w:rPr>
                <w:rFonts w:hint="eastAsia" w:ascii="Times New Roman" w:hAnsi="Times New Roman" w:cs="Times New Roman"/>
                <w:color w:val="auto"/>
                <w:sz w:val="18"/>
                <w:szCs w:val="18"/>
                <w:vertAlign w:val="baseline"/>
                <w:lang w:val="en-US" w:eastAsia="zh-CN"/>
              </w:rPr>
              <w:t>折算浓度</w:t>
            </w:r>
          </w:p>
        </w:tc>
        <w:tc>
          <w:tcPr>
            <w:tcW w:w="2610" w:type="dxa"/>
            <w:gridSpan w:val="3"/>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 xml:space="preserve">       0.40</w:t>
            </w:r>
          </w:p>
        </w:tc>
        <w:tc>
          <w:tcPr>
            <w:tcW w:w="1185" w:type="dxa"/>
          </w:tcPr>
          <w:p>
            <w:pPr>
              <w:spacing w:line="360" w:lineRule="auto"/>
              <w:ind w:firstLine="360" w:firstLineChars="200"/>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2</w:t>
            </w:r>
          </w:p>
        </w:tc>
      </w:tr>
    </w:tbl>
    <w:p>
      <w:pPr>
        <w:spacing w:line="360" w:lineRule="auto"/>
        <w:ind w:firstLine="480" w:firstLineChars="200"/>
        <w:rPr>
          <w:rFonts w:hint="eastAsia" w:ascii="Times New Roman" w:hAnsi="Times New Roman" w:cs="Times New Roman"/>
          <w:color w:val="auto"/>
          <w:sz w:val="24"/>
          <w:szCs w:val="24"/>
          <w:lang w:val="en-US" w:eastAsia="zh-CN"/>
        </w:rPr>
      </w:pPr>
    </w:p>
    <w:p>
      <w:pPr>
        <w:spacing w:line="360" w:lineRule="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 xml:space="preserve">实验室废气监测结果见表9.3-4 </w:t>
      </w:r>
    </w:p>
    <w:p>
      <w:pPr>
        <w:jc w:val="center"/>
        <w:rPr>
          <w:rFonts w:hint="eastAsia"/>
          <w:lang w:val="en-US" w:eastAsia="zh-CN"/>
        </w:rPr>
      </w:pPr>
      <w:r>
        <w:rPr>
          <w:rFonts w:ascii="Times New Roman" w:hAnsi="Times New Roman" w:cs="Times New Roman"/>
          <w:b/>
          <w:bCs/>
          <w:color w:val="auto"/>
          <w:szCs w:val="21"/>
        </w:rPr>
        <w:t>表</w:t>
      </w:r>
      <w:r>
        <w:rPr>
          <w:rFonts w:hint="default" w:ascii="Times New Roman" w:hAnsi="Times New Roman" w:cs="Times New Roman"/>
          <w:b/>
          <w:bCs/>
          <w:color w:val="auto"/>
          <w:szCs w:val="21"/>
        </w:rPr>
        <w:t>9</w:t>
      </w:r>
      <w:r>
        <w:rPr>
          <w:rFonts w:ascii="Times New Roman" w:hAnsi="Times New Roman" w:cs="Times New Roman"/>
          <w:b/>
          <w:bCs/>
          <w:color w:val="auto"/>
          <w:szCs w:val="21"/>
        </w:rPr>
        <w:t>.3-</w:t>
      </w:r>
      <w:r>
        <w:rPr>
          <w:rFonts w:hint="eastAsia" w:ascii="Times New Roman" w:hAnsi="Times New Roman" w:cs="Times New Roman"/>
          <w:b/>
          <w:bCs/>
          <w:color w:val="auto"/>
          <w:szCs w:val="21"/>
          <w:lang w:val="en-US" w:eastAsia="zh-CN"/>
        </w:rPr>
        <w:t>4</w:t>
      </w:r>
      <w:r>
        <w:rPr>
          <w:rFonts w:ascii="Times New Roman" w:hAnsi="Times New Roman" w:cs="Times New Roman"/>
          <w:b/>
          <w:bCs/>
          <w:color w:val="auto"/>
          <w:szCs w:val="21"/>
        </w:rPr>
        <w:t xml:space="preserve">  </w:t>
      </w:r>
      <w:r>
        <w:rPr>
          <w:rFonts w:hint="eastAsia" w:ascii="Times New Roman" w:hAnsi="Times New Roman" w:cs="Times New Roman"/>
          <w:b/>
          <w:bCs/>
          <w:color w:val="auto"/>
          <w:szCs w:val="21"/>
          <w:lang w:val="en-US" w:eastAsia="zh-CN"/>
        </w:rPr>
        <w:t>实验室</w:t>
      </w:r>
      <w:r>
        <w:rPr>
          <w:rFonts w:ascii="Times New Roman" w:hAnsi="Times New Roman" w:cs="Times New Roman"/>
          <w:b/>
          <w:bCs/>
          <w:color w:val="auto"/>
          <w:szCs w:val="21"/>
        </w:rPr>
        <w:t>废气检测结果</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3"/>
        <w:gridCol w:w="1080"/>
        <w:gridCol w:w="810"/>
        <w:gridCol w:w="1145"/>
        <w:gridCol w:w="695"/>
        <w:gridCol w:w="915"/>
        <w:gridCol w:w="995"/>
        <w:gridCol w:w="913"/>
        <w:gridCol w:w="8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1053" w:type="dxa"/>
            <w:vMerge w:val="restart"/>
          </w:tcPr>
          <w:p>
            <w:pPr>
              <w:spacing w:line="360" w:lineRule="auto"/>
              <w:ind w:firstLine="180" w:firstLineChars="100"/>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监测点位</w:t>
            </w:r>
          </w:p>
        </w:tc>
        <w:tc>
          <w:tcPr>
            <w:tcW w:w="1080" w:type="dxa"/>
            <w:vMerge w:val="restart"/>
          </w:tcPr>
          <w:p>
            <w:pPr>
              <w:spacing w:line="360" w:lineRule="auto"/>
              <w:ind w:firstLine="180" w:firstLineChars="100"/>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时间</w:t>
            </w:r>
          </w:p>
        </w:tc>
        <w:tc>
          <w:tcPr>
            <w:tcW w:w="1955" w:type="dxa"/>
            <w:gridSpan w:val="2"/>
            <w:vMerge w:val="restart"/>
          </w:tcPr>
          <w:p>
            <w:pPr>
              <w:spacing w:line="360" w:lineRule="auto"/>
              <w:ind w:firstLine="540" w:firstLineChars="300"/>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检测项目</w:t>
            </w:r>
          </w:p>
        </w:tc>
        <w:tc>
          <w:tcPr>
            <w:tcW w:w="695" w:type="dxa"/>
            <w:vMerge w:val="restart"/>
          </w:tcPr>
          <w:p>
            <w:pPr>
              <w:spacing w:line="360" w:lineRule="auto"/>
              <w:ind w:firstLine="630" w:firstLineChars="300"/>
              <w:rPr>
                <w:rFonts w:hint="eastAsia"/>
                <w:lang w:val="en-US" w:eastAsia="zh-CN"/>
              </w:rPr>
            </w:pPr>
          </w:p>
          <w:p>
            <w:pPr>
              <w:bidi w:val="0"/>
              <w:jc w:val="center"/>
              <w:rPr>
                <w:rFonts w:hint="default" w:asciiTheme="minorHAnsi" w:hAnsiTheme="minorHAnsi" w:eastAsiaTheme="minorEastAsia" w:cstheme="minorBidi"/>
                <w:kern w:val="2"/>
                <w:sz w:val="21"/>
                <w:szCs w:val="22"/>
                <w:lang w:val="en-US" w:eastAsia="zh-CN" w:bidi="ar-SA"/>
              </w:rPr>
            </w:pPr>
            <w:r>
              <w:rPr>
                <w:rFonts w:hint="eastAsia" w:cstheme="minorBidi"/>
                <w:kern w:val="2"/>
                <w:sz w:val="21"/>
                <w:szCs w:val="22"/>
                <w:lang w:val="en-US" w:eastAsia="zh-CN" w:bidi="ar-SA"/>
              </w:rPr>
              <w:t>单位</w:t>
            </w:r>
          </w:p>
        </w:tc>
        <w:tc>
          <w:tcPr>
            <w:tcW w:w="2823" w:type="dxa"/>
            <w:gridSpan w:val="3"/>
          </w:tcPr>
          <w:p>
            <w:pPr>
              <w:spacing w:line="360" w:lineRule="auto"/>
              <w:ind w:firstLine="540" w:firstLineChars="300"/>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检测结果</w:t>
            </w:r>
          </w:p>
        </w:tc>
        <w:tc>
          <w:tcPr>
            <w:tcW w:w="895" w:type="dxa"/>
            <w:vMerge w:val="restart"/>
          </w:tcPr>
          <w:p>
            <w:pPr>
              <w:spacing w:line="360" w:lineRule="auto"/>
              <w:ind w:firstLine="180" w:firstLineChars="100"/>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 w:hRule="atLeast"/>
        </w:trPr>
        <w:tc>
          <w:tcPr>
            <w:tcW w:w="1053"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1080"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1955" w:type="dxa"/>
            <w:gridSpan w:val="2"/>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695"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91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第1次</w:t>
            </w:r>
          </w:p>
        </w:tc>
        <w:tc>
          <w:tcPr>
            <w:tcW w:w="99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第2次</w:t>
            </w:r>
          </w:p>
        </w:tc>
        <w:tc>
          <w:tcPr>
            <w:tcW w:w="913"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第3次</w:t>
            </w:r>
          </w:p>
        </w:tc>
        <w:tc>
          <w:tcPr>
            <w:tcW w:w="895" w:type="dxa"/>
            <w:vMerge w:val="continue"/>
          </w:tcPr>
          <w:p>
            <w:pPr>
              <w:spacing w:line="360" w:lineRule="auto"/>
              <w:rPr>
                <w:rFonts w:hint="eastAsia" w:ascii="Times New Roman" w:hAnsi="Times New Roman" w:cs="Times New Roman"/>
                <w:color w:val="auto"/>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3" w:type="dxa"/>
            <w:vMerge w:val="restart"/>
          </w:tcPr>
          <w:p>
            <w:pPr>
              <w:spacing w:line="360" w:lineRule="auto"/>
              <w:rPr>
                <w:rFonts w:hint="eastAsia" w:ascii="Times New Roman" w:hAnsi="Times New Roman" w:cs="Times New Roman"/>
                <w:color w:val="auto"/>
                <w:sz w:val="18"/>
                <w:szCs w:val="18"/>
                <w:vertAlign w:val="baseline"/>
                <w:lang w:val="en-US" w:eastAsia="zh-CN"/>
              </w:rPr>
            </w:pPr>
          </w:p>
          <w:p>
            <w:pPr>
              <w:spacing w:line="360" w:lineRule="auto"/>
              <w:rPr>
                <w:rFonts w:hint="eastAsia" w:ascii="Times New Roman" w:hAnsi="Times New Roman" w:cs="Times New Roman"/>
                <w:color w:val="auto"/>
                <w:sz w:val="18"/>
                <w:szCs w:val="18"/>
                <w:vertAlign w:val="baseline"/>
                <w:lang w:val="en-US" w:eastAsia="zh-CN"/>
              </w:rPr>
            </w:pPr>
          </w:p>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实验室废气排放口</w:t>
            </w:r>
          </w:p>
        </w:tc>
        <w:tc>
          <w:tcPr>
            <w:tcW w:w="1080" w:type="dxa"/>
            <w:vMerge w:val="restart"/>
          </w:tcPr>
          <w:p>
            <w:pPr>
              <w:spacing w:line="360" w:lineRule="auto"/>
              <w:rPr>
                <w:rFonts w:hint="eastAsia" w:ascii="Times New Roman" w:hAnsi="Times New Roman" w:cs="Times New Roman"/>
                <w:color w:val="auto"/>
                <w:sz w:val="18"/>
                <w:szCs w:val="18"/>
                <w:vertAlign w:val="baseline"/>
                <w:lang w:val="en-US" w:eastAsia="zh-CN"/>
              </w:rPr>
            </w:pPr>
          </w:p>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11月9日</w:t>
            </w:r>
          </w:p>
        </w:tc>
        <w:tc>
          <w:tcPr>
            <w:tcW w:w="810" w:type="dxa"/>
            <w:vMerge w:val="restart"/>
          </w:tcPr>
          <w:p>
            <w:pPr>
              <w:spacing w:line="360" w:lineRule="auto"/>
              <w:rPr>
                <w:rFonts w:hint="eastAsia" w:ascii="Times New Roman" w:hAnsi="Times New Roman" w:cs="Times New Roman"/>
                <w:color w:val="auto"/>
                <w:sz w:val="18"/>
                <w:szCs w:val="18"/>
                <w:vertAlign w:val="baseline"/>
                <w:lang w:val="en-US" w:eastAsia="zh-CN"/>
              </w:rPr>
            </w:pPr>
          </w:p>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氯化氢</w:t>
            </w:r>
          </w:p>
          <w:p>
            <w:pPr>
              <w:spacing w:line="360" w:lineRule="auto"/>
              <w:rPr>
                <w:rFonts w:hint="default" w:ascii="Times New Roman" w:hAnsi="Times New Roman" w:cs="Times New Roman"/>
                <w:color w:val="auto"/>
                <w:sz w:val="18"/>
                <w:szCs w:val="18"/>
                <w:vertAlign w:val="baseline"/>
                <w:lang w:val="en-US" w:eastAsia="zh-CN"/>
              </w:rPr>
            </w:pPr>
          </w:p>
        </w:tc>
        <w:tc>
          <w:tcPr>
            <w:tcW w:w="114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标干流量</w:t>
            </w:r>
          </w:p>
        </w:tc>
        <w:tc>
          <w:tcPr>
            <w:tcW w:w="69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m</w:t>
            </w:r>
            <w:r>
              <w:rPr>
                <w:rFonts w:hint="eastAsia" w:ascii="Times New Roman" w:hAnsi="Times New Roman" w:cs="Times New Roman"/>
                <w:color w:val="auto"/>
                <w:sz w:val="18"/>
                <w:szCs w:val="18"/>
                <w:vertAlign w:val="superscript"/>
                <w:lang w:val="en-US" w:eastAsia="zh-CN"/>
              </w:rPr>
              <w:t>3</w:t>
            </w:r>
            <w:r>
              <w:rPr>
                <w:rFonts w:hint="eastAsia" w:ascii="Times New Roman" w:hAnsi="Times New Roman" w:cs="Times New Roman"/>
                <w:color w:val="auto"/>
                <w:sz w:val="18"/>
                <w:szCs w:val="18"/>
                <w:vertAlign w:val="baseline"/>
                <w:lang w:val="en-US" w:eastAsia="zh-CN"/>
              </w:rPr>
              <w:t>/h</w:t>
            </w:r>
          </w:p>
        </w:tc>
        <w:tc>
          <w:tcPr>
            <w:tcW w:w="91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1431</w:t>
            </w:r>
          </w:p>
        </w:tc>
        <w:tc>
          <w:tcPr>
            <w:tcW w:w="99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1441</w:t>
            </w:r>
          </w:p>
        </w:tc>
        <w:tc>
          <w:tcPr>
            <w:tcW w:w="913"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1430</w:t>
            </w:r>
          </w:p>
        </w:tc>
        <w:tc>
          <w:tcPr>
            <w:tcW w:w="89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3"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1080"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810"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114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实测浓度</w:t>
            </w:r>
          </w:p>
        </w:tc>
        <w:tc>
          <w:tcPr>
            <w:tcW w:w="695" w:type="dxa"/>
          </w:tcPr>
          <w:p>
            <w:pPr>
              <w:spacing w:line="360" w:lineRule="auto"/>
              <w:rPr>
                <w:rFonts w:hint="eastAsia"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mg/m</w:t>
            </w:r>
            <w:r>
              <w:rPr>
                <w:rFonts w:hint="eastAsia" w:ascii="Times New Roman" w:hAnsi="Times New Roman" w:cs="Times New Roman"/>
                <w:color w:val="auto"/>
                <w:sz w:val="18"/>
                <w:szCs w:val="18"/>
                <w:vertAlign w:val="superscript"/>
                <w:lang w:val="en-US" w:eastAsia="zh-CN"/>
              </w:rPr>
              <w:t>3</w:t>
            </w:r>
          </w:p>
        </w:tc>
        <w:tc>
          <w:tcPr>
            <w:tcW w:w="91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1.89</w:t>
            </w:r>
          </w:p>
        </w:tc>
        <w:tc>
          <w:tcPr>
            <w:tcW w:w="99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1.88</w:t>
            </w:r>
          </w:p>
        </w:tc>
        <w:tc>
          <w:tcPr>
            <w:tcW w:w="913"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1.84</w:t>
            </w:r>
          </w:p>
        </w:tc>
        <w:tc>
          <w:tcPr>
            <w:tcW w:w="895" w:type="dxa"/>
            <w:vAlign w:val="top"/>
          </w:tcPr>
          <w:p>
            <w:pPr>
              <w:spacing w:line="360" w:lineRule="auto"/>
              <w:rPr>
                <w:rFonts w:hint="eastAsia" w:ascii="Times New Roman" w:hAnsi="Times New Roman" w:cs="Times New Roman" w:eastAsiaTheme="minorEastAsia"/>
                <w:color w:val="auto"/>
                <w:kern w:val="2"/>
                <w:sz w:val="18"/>
                <w:szCs w:val="18"/>
                <w:vertAlign w:val="baseline"/>
                <w:lang w:val="en-US" w:eastAsia="zh-CN" w:bidi="ar-SA"/>
              </w:rPr>
            </w:pPr>
            <w:r>
              <w:rPr>
                <w:rFonts w:hint="eastAsia" w:ascii="Times New Roman" w:hAnsi="Times New Roman" w:cs="Times New Roman"/>
                <w:color w:val="auto"/>
                <w:sz w:val="18"/>
                <w:szCs w:val="18"/>
                <w:vertAlign w:val="baseli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53"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1080"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810"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114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排放速率</w:t>
            </w:r>
          </w:p>
        </w:tc>
        <w:tc>
          <w:tcPr>
            <w:tcW w:w="69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Kg/h</w:t>
            </w:r>
          </w:p>
        </w:tc>
        <w:tc>
          <w:tcPr>
            <w:tcW w:w="915" w:type="dxa"/>
          </w:tcPr>
          <w:p>
            <w:pPr>
              <w:spacing w:line="360" w:lineRule="auto"/>
              <w:rPr>
                <w:rFonts w:hint="default" w:ascii="Times New Roman" w:hAnsi="Times New Roman" w:cs="Times New Roman"/>
                <w:color w:val="auto"/>
                <w:sz w:val="18"/>
                <w:szCs w:val="18"/>
                <w:vertAlign w:val="superscript"/>
                <w:lang w:val="en-US" w:eastAsia="zh-CN"/>
              </w:rPr>
            </w:pPr>
            <w:r>
              <w:rPr>
                <w:rFonts w:hint="eastAsia" w:ascii="Times New Roman" w:hAnsi="Times New Roman" w:cs="Times New Roman"/>
                <w:color w:val="auto"/>
                <w:sz w:val="18"/>
                <w:szCs w:val="18"/>
                <w:vertAlign w:val="baseline"/>
                <w:lang w:val="en-US" w:eastAsia="zh-CN"/>
              </w:rPr>
              <w:t>2.70</w:t>
            </w:r>
            <w:r>
              <w:rPr>
                <w:rFonts w:hint="default" w:ascii="Arial" w:hAnsi="Arial" w:cs="Arial"/>
                <w:color w:val="auto"/>
                <w:sz w:val="18"/>
                <w:szCs w:val="18"/>
                <w:vertAlign w:val="baseline"/>
                <w:lang w:val="en-US" w:eastAsia="zh-CN"/>
              </w:rPr>
              <w:t>×</w:t>
            </w:r>
            <w:r>
              <w:rPr>
                <w:rFonts w:hint="eastAsia" w:ascii="Times New Roman" w:hAnsi="Times New Roman" w:cs="Times New Roman"/>
                <w:color w:val="auto"/>
                <w:sz w:val="18"/>
                <w:szCs w:val="18"/>
                <w:vertAlign w:val="baseline"/>
                <w:lang w:val="en-US" w:eastAsia="zh-CN"/>
              </w:rPr>
              <w:t>10</w:t>
            </w:r>
            <w:r>
              <w:rPr>
                <w:rFonts w:hint="eastAsia" w:ascii="Times New Roman" w:hAnsi="Times New Roman" w:cs="Times New Roman"/>
                <w:color w:val="auto"/>
                <w:sz w:val="18"/>
                <w:szCs w:val="18"/>
                <w:vertAlign w:val="superscript"/>
                <w:lang w:val="en-US" w:eastAsia="zh-CN"/>
              </w:rPr>
              <w:t>-3</w:t>
            </w:r>
          </w:p>
        </w:tc>
        <w:tc>
          <w:tcPr>
            <w:tcW w:w="995" w:type="dxa"/>
          </w:tcPr>
          <w:p>
            <w:pPr>
              <w:spacing w:line="360" w:lineRule="auto"/>
              <w:rPr>
                <w:rFonts w:hint="eastAsia"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2.71</w:t>
            </w:r>
            <w:r>
              <w:rPr>
                <w:rFonts w:hint="default" w:ascii="Arial" w:hAnsi="Arial" w:cs="Arial"/>
                <w:color w:val="auto"/>
                <w:sz w:val="18"/>
                <w:szCs w:val="18"/>
                <w:vertAlign w:val="baseline"/>
                <w:lang w:val="en-US" w:eastAsia="zh-CN"/>
              </w:rPr>
              <w:t>×</w:t>
            </w:r>
            <w:r>
              <w:rPr>
                <w:rFonts w:hint="eastAsia" w:ascii="Times New Roman" w:hAnsi="Times New Roman" w:cs="Times New Roman"/>
                <w:color w:val="auto"/>
                <w:sz w:val="18"/>
                <w:szCs w:val="18"/>
                <w:vertAlign w:val="baseline"/>
                <w:lang w:val="en-US" w:eastAsia="zh-CN"/>
              </w:rPr>
              <w:t>10</w:t>
            </w:r>
            <w:r>
              <w:rPr>
                <w:rFonts w:hint="eastAsia" w:ascii="Times New Roman" w:hAnsi="Times New Roman" w:cs="Times New Roman"/>
                <w:color w:val="auto"/>
                <w:sz w:val="18"/>
                <w:szCs w:val="18"/>
                <w:vertAlign w:val="superscript"/>
                <w:lang w:val="en-US" w:eastAsia="zh-CN"/>
              </w:rPr>
              <w:t>-3</w:t>
            </w:r>
          </w:p>
        </w:tc>
        <w:tc>
          <w:tcPr>
            <w:tcW w:w="913" w:type="dxa"/>
          </w:tcPr>
          <w:p>
            <w:pPr>
              <w:spacing w:line="360" w:lineRule="auto"/>
              <w:rPr>
                <w:rFonts w:hint="eastAsia"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2.63</w:t>
            </w:r>
            <w:r>
              <w:rPr>
                <w:rFonts w:hint="default" w:ascii="Arial" w:hAnsi="Arial" w:cs="Arial"/>
                <w:color w:val="auto"/>
                <w:sz w:val="18"/>
                <w:szCs w:val="18"/>
                <w:vertAlign w:val="baseline"/>
                <w:lang w:val="en-US" w:eastAsia="zh-CN"/>
              </w:rPr>
              <w:t>×</w:t>
            </w:r>
            <w:r>
              <w:rPr>
                <w:rFonts w:hint="eastAsia" w:ascii="Times New Roman" w:hAnsi="Times New Roman" w:cs="Times New Roman"/>
                <w:color w:val="auto"/>
                <w:sz w:val="18"/>
                <w:szCs w:val="18"/>
                <w:vertAlign w:val="baseline"/>
                <w:lang w:val="en-US" w:eastAsia="zh-CN"/>
              </w:rPr>
              <w:t>10</w:t>
            </w:r>
            <w:r>
              <w:rPr>
                <w:rFonts w:hint="eastAsia" w:ascii="Times New Roman" w:hAnsi="Times New Roman" w:cs="Times New Roman"/>
                <w:color w:val="auto"/>
                <w:sz w:val="18"/>
                <w:szCs w:val="18"/>
                <w:vertAlign w:val="superscript"/>
                <w:lang w:val="en-US" w:eastAsia="zh-CN"/>
              </w:rPr>
              <w:t>-3</w:t>
            </w:r>
          </w:p>
        </w:tc>
        <w:tc>
          <w:tcPr>
            <w:tcW w:w="895" w:type="dxa"/>
            <w:vAlign w:val="top"/>
          </w:tcPr>
          <w:p>
            <w:pPr>
              <w:spacing w:line="360" w:lineRule="auto"/>
              <w:rPr>
                <w:rFonts w:hint="eastAsia" w:ascii="Times New Roman" w:hAnsi="Times New Roman" w:cs="Times New Roman" w:eastAsiaTheme="minorEastAsia"/>
                <w:color w:val="auto"/>
                <w:kern w:val="2"/>
                <w:sz w:val="18"/>
                <w:szCs w:val="18"/>
                <w:vertAlign w:val="baseline"/>
                <w:lang w:val="en-US" w:eastAsia="zh-CN" w:bidi="ar-SA"/>
              </w:rPr>
            </w:pPr>
            <w:r>
              <w:rPr>
                <w:rFonts w:hint="eastAsia" w:ascii="Times New Roman" w:hAnsi="Times New Roman" w:cs="Times New Roman"/>
                <w:color w:val="auto"/>
                <w:sz w:val="18"/>
                <w:szCs w:val="18"/>
                <w:vertAlign w:val="baseline"/>
                <w:lang w:val="en-US" w:eastAsia="zh-CN"/>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3"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1080"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810" w:type="dxa"/>
            <w:vMerge w:val="restart"/>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VOCs</w:t>
            </w:r>
          </w:p>
        </w:tc>
        <w:tc>
          <w:tcPr>
            <w:tcW w:w="1145" w:type="dxa"/>
            <w:vAlign w:val="top"/>
          </w:tcPr>
          <w:p>
            <w:pPr>
              <w:spacing w:line="360" w:lineRule="auto"/>
              <w:rPr>
                <w:rFonts w:hint="eastAsia"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实测浓度</w:t>
            </w:r>
          </w:p>
        </w:tc>
        <w:tc>
          <w:tcPr>
            <w:tcW w:w="695" w:type="dxa"/>
            <w:vAlign w:val="top"/>
          </w:tcPr>
          <w:p>
            <w:pPr>
              <w:spacing w:line="360" w:lineRule="auto"/>
              <w:rPr>
                <w:rFonts w:hint="eastAsia"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mg/m</w:t>
            </w:r>
            <w:r>
              <w:rPr>
                <w:rFonts w:hint="eastAsia" w:ascii="Times New Roman" w:hAnsi="Times New Roman" w:cs="Times New Roman"/>
                <w:color w:val="auto"/>
                <w:sz w:val="18"/>
                <w:szCs w:val="18"/>
                <w:vertAlign w:val="superscript"/>
                <w:lang w:val="en-US" w:eastAsia="zh-CN"/>
              </w:rPr>
              <w:t>3</w:t>
            </w:r>
          </w:p>
        </w:tc>
        <w:tc>
          <w:tcPr>
            <w:tcW w:w="91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2.36</w:t>
            </w:r>
          </w:p>
        </w:tc>
        <w:tc>
          <w:tcPr>
            <w:tcW w:w="99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1.85</w:t>
            </w:r>
          </w:p>
        </w:tc>
        <w:tc>
          <w:tcPr>
            <w:tcW w:w="913"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1.96</w:t>
            </w:r>
          </w:p>
        </w:tc>
        <w:tc>
          <w:tcPr>
            <w:tcW w:w="895" w:type="dxa"/>
            <w:vAlign w:val="top"/>
          </w:tcPr>
          <w:p>
            <w:pPr>
              <w:spacing w:line="360" w:lineRule="auto"/>
              <w:rPr>
                <w:rFonts w:hint="default" w:ascii="Times New Roman" w:hAnsi="Times New Roman" w:cs="Times New Roman" w:eastAsiaTheme="minorEastAsia"/>
                <w:color w:val="auto"/>
                <w:kern w:val="2"/>
                <w:sz w:val="18"/>
                <w:szCs w:val="18"/>
                <w:vertAlign w:val="baseline"/>
                <w:lang w:val="en-US" w:eastAsia="zh-CN" w:bidi="ar-SA"/>
              </w:rPr>
            </w:pPr>
            <w:r>
              <w:rPr>
                <w:rFonts w:hint="eastAsia" w:ascii="Times New Roman" w:hAnsi="Times New Roman" w:cs="Times New Roman"/>
                <w:color w:val="auto"/>
                <w:sz w:val="18"/>
                <w:szCs w:val="18"/>
                <w:vertAlign w:val="baseline"/>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3"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1080"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810"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1145" w:type="dxa"/>
            <w:vAlign w:val="top"/>
          </w:tcPr>
          <w:p>
            <w:pPr>
              <w:spacing w:line="360" w:lineRule="auto"/>
              <w:rPr>
                <w:rFonts w:hint="eastAsia"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排放速率</w:t>
            </w:r>
          </w:p>
        </w:tc>
        <w:tc>
          <w:tcPr>
            <w:tcW w:w="695" w:type="dxa"/>
            <w:vAlign w:val="top"/>
          </w:tcPr>
          <w:p>
            <w:pPr>
              <w:spacing w:line="360" w:lineRule="auto"/>
              <w:rPr>
                <w:rFonts w:hint="eastAsia"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Kg/h</w:t>
            </w:r>
          </w:p>
        </w:tc>
        <w:tc>
          <w:tcPr>
            <w:tcW w:w="915" w:type="dxa"/>
            <w:vAlign w:val="top"/>
          </w:tcPr>
          <w:p>
            <w:pPr>
              <w:spacing w:line="360" w:lineRule="auto"/>
              <w:rPr>
                <w:rFonts w:hint="eastAsia" w:ascii="Times New Roman" w:hAnsi="Times New Roman" w:cs="Times New Roman" w:eastAsiaTheme="minorEastAsia"/>
                <w:color w:val="auto"/>
                <w:kern w:val="2"/>
                <w:sz w:val="18"/>
                <w:szCs w:val="18"/>
                <w:vertAlign w:val="superscript"/>
                <w:lang w:val="en-US" w:eastAsia="zh-CN" w:bidi="ar-SA"/>
              </w:rPr>
            </w:pPr>
            <w:r>
              <w:rPr>
                <w:rFonts w:hint="eastAsia" w:ascii="Times New Roman" w:hAnsi="Times New Roman" w:cs="Times New Roman"/>
                <w:color w:val="auto"/>
                <w:sz w:val="18"/>
                <w:szCs w:val="18"/>
                <w:vertAlign w:val="baseline"/>
                <w:lang w:val="en-US" w:eastAsia="zh-CN"/>
              </w:rPr>
              <w:t>3.38</w:t>
            </w:r>
            <w:r>
              <w:rPr>
                <w:rFonts w:hint="default" w:ascii="Arial" w:hAnsi="Arial" w:cs="Arial"/>
                <w:color w:val="auto"/>
                <w:sz w:val="18"/>
                <w:szCs w:val="18"/>
                <w:vertAlign w:val="baseline"/>
                <w:lang w:val="en-US" w:eastAsia="zh-CN"/>
              </w:rPr>
              <w:t>×</w:t>
            </w:r>
            <w:r>
              <w:rPr>
                <w:rFonts w:hint="eastAsia" w:ascii="Times New Roman" w:hAnsi="Times New Roman" w:cs="Times New Roman"/>
                <w:color w:val="auto"/>
                <w:sz w:val="18"/>
                <w:szCs w:val="18"/>
                <w:vertAlign w:val="baseline"/>
                <w:lang w:val="en-US" w:eastAsia="zh-CN"/>
              </w:rPr>
              <w:t>10</w:t>
            </w:r>
            <w:r>
              <w:rPr>
                <w:rFonts w:hint="eastAsia" w:ascii="Times New Roman" w:hAnsi="Times New Roman" w:cs="Times New Roman"/>
                <w:color w:val="auto"/>
                <w:sz w:val="18"/>
                <w:szCs w:val="18"/>
                <w:vertAlign w:val="superscript"/>
                <w:lang w:val="en-US" w:eastAsia="zh-CN"/>
              </w:rPr>
              <w:t>-3</w:t>
            </w:r>
          </w:p>
        </w:tc>
        <w:tc>
          <w:tcPr>
            <w:tcW w:w="995" w:type="dxa"/>
            <w:vAlign w:val="top"/>
          </w:tcPr>
          <w:p>
            <w:pPr>
              <w:spacing w:line="360" w:lineRule="auto"/>
              <w:rPr>
                <w:rFonts w:hint="eastAsia" w:ascii="Times New Roman" w:hAnsi="Times New Roman" w:cs="Times New Roman" w:eastAsiaTheme="minorEastAsia"/>
                <w:color w:val="auto"/>
                <w:kern w:val="2"/>
                <w:sz w:val="18"/>
                <w:szCs w:val="18"/>
                <w:vertAlign w:val="baseline"/>
                <w:lang w:val="en-US" w:eastAsia="zh-CN" w:bidi="ar-SA"/>
              </w:rPr>
            </w:pPr>
            <w:r>
              <w:rPr>
                <w:rFonts w:hint="eastAsia" w:ascii="Times New Roman" w:hAnsi="Times New Roman" w:cs="Times New Roman"/>
                <w:color w:val="auto"/>
                <w:sz w:val="18"/>
                <w:szCs w:val="18"/>
                <w:vertAlign w:val="baseline"/>
                <w:lang w:val="en-US" w:eastAsia="zh-CN"/>
              </w:rPr>
              <w:t>2.67</w:t>
            </w:r>
            <w:r>
              <w:rPr>
                <w:rFonts w:hint="default" w:ascii="Arial" w:hAnsi="Arial" w:cs="Arial"/>
                <w:color w:val="auto"/>
                <w:sz w:val="18"/>
                <w:szCs w:val="18"/>
                <w:vertAlign w:val="baseline"/>
                <w:lang w:val="en-US" w:eastAsia="zh-CN"/>
              </w:rPr>
              <w:t>×</w:t>
            </w:r>
            <w:r>
              <w:rPr>
                <w:rFonts w:hint="eastAsia" w:ascii="Times New Roman" w:hAnsi="Times New Roman" w:cs="Times New Roman"/>
                <w:color w:val="auto"/>
                <w:sz w:val="18"/>
                <w:szCs w:val="18"/>
                <w:vertAlign w:val="baseline"/>
                <w:lang w:val="en-US" w:eastAsia="zh-CN"/>
              </w:rPr>
              <w:t>10</w:t>
            </w:r>
            <w:r>
              <w:rPr>
                <w:rFonts w:hint="eastAsia" w:ascii="Times New Roman" w:hAnsi="Times New Roman" w:cs="Times New Roman"/>
                <w:color w:val="auto"/>
                <w:sz w:val="18"/>
                <w:szCs w:val="18"/>
                <w:vertAlign w:val="superscript"/>
                <w:lang w:val="en-US" w:eastAsia="zh-CN"/>
              </w:rPr>
              <w:t>-3</w:t>
            </w:r>
          </w:p>
        </w:tc>
        <w:tc>
          <w:tcPr>
            <w:tcW w:w="913" w:type="dxa"/>
            <w:vAlign w:val="top"/>
          </w:tcPr>
          <w:p>
            <w:pPr>
              <w:spacing w:line="360" w:lineRule="auto"/>
              <w:rPr>
                <w:rFonts w:hint="eastAsia" w:ascii="Times New Roman" w:hAnsi="Times New Roman" w:cs="Times New Roman" w:eastAsiaTheme="minorEastAsia"/>
                <w:color w:val="auto"/>
                <w:kern w:val="2"/>
                <w:sz w:val="18"/>
                <w:szCs w:val="18"/>
                <w:vertAlign w:val="baseline"/>
                <w:lang w:val="en-US" w:eastAsia="zh-CN" w:bidi="ar-SA"/>
              </w:rPr>
            </w:pPr>
            <w:r>
              <w:rPr>
                <w:rFonts w:hint="eastAsia" w:ascii="Times New Roman" w:hAnsi="Times New Roman" w:cs="Times New Roman"/>
                <w:color w:val="auto"/>
                <w:sz w:val="18"/>
                <w:szCs w:val="18"/>
                <w:vertAlign w:val="baseline"/>
                <w:lang w:val="en-US" w:eastAsia="zh-CN"/>
              </w:rPr>
              <w:t>2.80</w:t>
            </w:r>
            <w:r>
              <w:rPr>
                <w:rFonts w:hint="default" w:ascii="Arial" w:hAnsi="Arial" w:cs="Arial"/>
                <w:color w:val="auto"/>
                <w:sz w:val="18"/>
                <w:szCs w:val="18"/>
                <w:vertAlign w:val="baseline"/>
                <w:lang w:val="en-US" w:eastAsia="zh-CN"/>
              </w:rPr>
              <w:t>×</w:t>
            </w:r>
            <w:r>
              <w:rPr>
                <w:rFonts w:hint="eastAsia" w:ascii="Times New Roman" w:hAnsi="Times New Roman" w:cs="Times New Roman"/>
                <w:color w:val="auto"/>
                <w:sz w:val="18"/>
                <w:szCs w:val="18"/>
                <w:vertAlign w:val="baseline"/>
                <w:lang w:val="en-US" w:eastAsia="zh-CN"/>
              </w:rPr>
              <w:t>10</w:t>
            </w:r>
            <w:r>
              <w:rPr>
                <w:rFonts w:hint="eastAsia" w:ascii="Times New Roman" w:hAnsi="Times New Roman" w:cs="Times New Roman"/>
                <w:color w:val="auto"/>
                <w:sz w:val="18"/>
                <w:szCs w:val="18"/>
                <w:vertAlign w:val="superscript"/>
                <w:lang w:val="en-US" w:eastAsia="zh-CN"/>
              </w:rPr>
              <w:t>-3</w:t>
            </w:r>
          </w:p>
        </w:tc>
        <w:tc>
          <w:tcPr>
            <w:tcW w:w="895" w:type="dxa"/>
            <w:vAlign w:val="top"/>
          </w:tcPr>
          <w:p>
            <w:pPr>
              <w:spacing w:line="360" w:lineRule="auto"/>
              <w:rPr>
                <w:rFonts w:hint="default" w:ascii="Times New Roman" w:hAnsi="Times New Roman" w:cs="Times New Roman" w:eastAsiaTheme="minorEastAsia"/>
                <w:color w:val="auto"/>
                <w:kern w:val="2"/>
                <w:sz w:val="18"/>
                <w:szCs w:val="18"/>
                <w:vertAlign w:val="baseline"/>
                <w:lang w:val="en-US" w:eastAsia="zh-CN" w:bidi="ar-SA"/>
              </w:rPr>
            </w:pPr>
            <w:r>
              <w:rPr>
                <w:rFonts w:hint="eastAsia" w:ascii="Times New Roman" w:hAnsi="Times New Roman" w:cs="Times New Roman"/>
                <w:color w:val="auto"/>
                <w:sz w:val="18"/>
                <w:szCs w:val="18"/>
                <w:vertAlign w:val="baseline"/>
                <w:lang w:val="en-US" w:eastAsia="zh-CN"/>
              </w:rPr>
              <w:t>14.3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3"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1080" w:type="dxa"/>
            <w:vMerge w:val="restart"/>
          </w:tcPr>
          <w:p>
            <w:pPr>
              <w:spacing w:line="360" w:lineRule="auto"/>
              <w:rPr>
                <w:rFonts w:hint="eastAsia" w:ascii="Times New Roman" w:hAnsi="Times New Roman" w:cs="Times New Roman"/>
                <w:color w:val="auto"/>
                <w:sz w:val="18"/>
                <w:szCs w:val="18"/>
                <w:vertAlign w:val="baseline"/>
                <w:lang w:val="en-US" w:eastAsia="zh-CN"/>
              </w:rPr>
            </w:pPr>
          </w:p>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11月10日</w:t>
            </w:r>
          </w:p>
        </w:tc>
        <w:tc>
          <w:tcPr>
            <w:tcW w:w="810" w:type="dxa"/>
            <w:vMerge w:val="restart"/>
          </w:tcPr>
          <w:p>
            <w:pPr>
              <w:spacing w:line="360" w:lineRule="auto"/>
              <w:rPr>
                <w:rFonts w:hint="eastAsia" w:ascii="Times New Roman" w:hAnsi="Times New Roman" w:cs="Times New Roman"/>
                <w:color w:val="auto"/>
                <w:sz w:val="18"/>
                <w:szCs w:val="18"/>
                <w:vertAlign w:val="baseline"/>
                <w:lang w:val="en-US" w:eastAsia="zh-CN"/>
              </w:rPr>
            </w:pPr>
          </w:p>
          <w:p>
            <w:pPr>
              <w:spacing w:line="360" w:lineRule="auto"/>
              <w:rPr>
                <w:rFonts w:hint="eastAsia"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氯化氢</w:t>
            </w:r>
          </w:p>
        </w:tc>
        <w:tc>
          <w:tcPr>
            <w:tcW w:w="1145" w:type="dxa"/>
            <w:vAlign w:val="top"/>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标干流量</w:t>
            </w:r>
          </w:p>
        </w:tc>
        <w:tc>
          <w:tcPr>
            <w:tcW w:w="695" w:type="dxa"/>
            <w:vAlign w:val="top"/>
          </w:tcPr>
          <w:p>
            <w:pPr>
              <w:spacing w:line="360" w:lineRule="auto"/>
              <w:rPr>
                <w:rFonts w:hint="eastAsia" w:ascii="Times New Roman" w:hAnsi="Times New Roman" w:cs="Times New Roman" w:eastAsiaTheme="minorEastAsia"/>
                <w:color w:val="auto"/>
                <w:kern w:val="2"/>
                <w:sz w:val="18"/>
                <w:szCs w:val="18"/>
                <w:vertAlign w:val="baseline"/>
                <w:lang w:val="en-US" w:eastAsia="zh-CN" w:bidi="ar-SA"/>
              </w:rPr>
            </w:pPr>
            <w:r>
              <w:rPr>
                <w:rFonts w:hint="eastAsia" w:ascii="Times New Roman" w:hAnsi="Times New Roman" w:cs="Times New Roman"/>
                <w:color w:val="auto"/>
                <w:sz w:val="18"/>
                <w:szCs w:val="18"/>
                <w:vertAlign w:val="baseline"/>
                <w:lang w:val="en-US" w:eastAsia="zh-CN"/>
              </w:rPr>
              <w:t>m</w:t>
            </w:r>
            <w:r>
              <w:rPr>
                <w:rFonts w:hint="eastAsia" w:ascii="Times New Roman" w:hAnsi="Times New Roman" w:cs="Times New Roman"/>
                <w:color w:val="auto"/>
                <w:sz w:val="18"/>
                <w:szCs w:val="18"/>
                <w:vertAlign w:val="superscript"/>
                <w:lang w:val="en-US" w:eastAsia="zh-CN"/>
              </w:rPr>
              <w:t>3</w:t>
            </w:r>
            <w:r>
              <w:rPr>
                <w:rFonts w:hint="eastAsia" w:ascii="Times New Roman" w:hAnsi="Times New Roman" w:cs="Times New Roman"/>
                <w:color w:val="auto"/>
                <w:sz w:val="18"/>
                <w:szCs w:val="18"/>
                <w:vertAlign w:val="baseline"/>
                <w:lang w:val="en-US" w:eastAsia="zh-CN"/>
              </w:rPr>
              <w:t>/h</w:t>
            </w:r>
          </w:p>
        </w:tc>
        <w:tc>
          <w:tcPr>
            <w:tcW w:w="91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1412</w:t>
            </w:r>
          </w:p>
        </w:tc>
        <w:tc>
          <w:tcPr>
            <w:tcW w:w="99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1433</w:t>
            </w:r>
          </w:p>
        </w:tc>
        <w:tc>
          <w:tcPr>
            <w:tcW w:w="913"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1426</w:t>
            </w:r>
          </w:p>
        </w:tc>
        <w:tc>
          <w:tcPr>
            <w:tcW w:w="89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3"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1080"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810"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1145" w:type="dxa"/>
            <w:vAlign w:val="top"/>
          </w:tcPr>
          <w:p>
            <w:pPr>
              <w:spacing w:line="360" w:lineRule="auto"/>
              <w:rPr>
                <w:rFonts w:hint="eastAsia"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实测浓度</w:t>
            </w:r>
          </w:p>
        </w:tc>
        <w:tc>
          <w:tcPr>
            <w:tcW w:w="695" w:type="dxa"/>
            <w:vAlign w:val="top"/>
          </w:tcPr>
          <w:p>
            <w:pPr>
              <w:spacing w:line="360" w:lineRule="auto"/>
              <w:rPr>
                <w:rFonts w:hint="eastAsia" w:ascii="Times New Roman" w:hAnsi="Times New Roman" w:cs="Times New Roman" w:eastAsiaTheme="minorEastAsia"/>
                <w:color w:val="auto"/>
                <w:kern w:val="2"/>
                <w:sz w:val="18"/>
                <w:szCs w:val="18"/>
                <w:vertAlign w:val="baseline"/>
                <w:lang w:val="en-US" w:eastAsia="zh-CN" w:bidi="ar-SA"/>
              </w:rPr>
            </w:pPr>
            <w:r>
              <w:rPr>
                <w:rFonts w:hint="eastAsia" w:ascii="Times New Roman" w:hAnsi="Times New Roman" w:cs="Times New Roman"/>
                <w:color w:val="auto"/>
                <w:sz w:val="18"/>
                <w:szCs w:val="18"/>
                <w:vertAlign w:val="baseline"/>
                <w:lang w:val="en-US" w:eastAsia="zh-CN"/>
              </w:rPr>
              <w:t>mg/m</w:t>
            </w:r>
            <w:r>
              <w:rPr>
                <w:rFonts w:hint="eastAsia" w:ascii="Times New Roman" w:hAnsi="Times New Roman" w:cs="Times New Roman"/>
                <w:color w:val="auto"/>
                <w:sz w:val="18"/>
                <w:szCs w:val="18"/>
                <w:vertAlign w:val="superscript"/>
                <w:lang w:val="en-US" w:eastAsia="zh-CN"/>
              </w:rPr>
              <w:t>3</w:t>
            </w:r>
          </w:p>
        </w:tc>
        <w:tc>
          <w:tcPr>
            <w:tcW w:w="91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1.88</w:t>
            </w:r>
          </w:p>
        </w:tc>
        <w:tc>
          <w:tcPr>
            <w:tcW w:w="99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1.93</w:t>
            </w:r>
          </w:p>
        </w:tc>
        <w:tc>
          <w:tcPr>
            <w:tcW w:w="913"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1.85</w:t>
            </w:r>
          </w:p>
        </w:tc>
        <w:tc>
          <w:tcPr>
            <w:tcW w:w="89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3"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1080"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810"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1145" w:type="dxa"/>
            <w:vAlign w:val="top"/>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排放速率</w:t>
            </w:r>
          </w:p>
        </w:tc>
        <w:tc>
          <w:tcPr>
            <w:tcW w:w="695" w:type="dxa"/>
            <w:vAlign w:val="top"/>
          </w:tcPr>
          <w:p>
            <w:pPr>
              <w:spacing w:line="360" w:lineRule="auto"/>
              <w:rPr>
                <w:rFonts w:hint="eastAsia" w:ascii="Times New Roman" w:hAnsi="Times New Roman" w:cs="Times New Roman" w:eastAsiaTheme="minorEastAsia"/>
                <w:color w:val="auto"/>
                <w:kern w:val="2"/>
                <w:sz w:val="18"/>
                <w:szCs w:val="18"/>
                <w:vertAlign w:val="baseline"/>
                <w:lang w:val="en-US" w:eastAsia="zh-CN" w:bidi="ar-SA"/>
              </w:rPr>
            </w:pPr>
            <w:r>
              <w:rPr>
                <w:rFonts w:hint="eastAsia" w:ascii="Times New Roman" w:hAnsi="Times New Roman" w:cs="Times New Roman"/>
                <w:color w:val="auto"/>
                <w:sz w:val="18"/>
                <w:szCs w:val="18"/>
                <w:vertAlign w:val="baseline"/>
                <w:lang w:val="en-US" w:eastAsia="zh-CN"/>
              </w:rPr>
              <w:t>Kg/h</w:t>
            </w:r>
          </w:p>
        </w:tc>
        <w:tc>
          <w:tcPr>
            <w:tcW w:w="915" w:type="dxa"/>
            <w:vAlign w:val="top"/>
          </w:tcPr>
          <w:p>
            <w:pPr>
              <w:spacing w:line="360" w:lineRule="auto"/>
              <w:rPr>
                <w:rFonts w:hint="default" w:ascii="Times New Roman" w:hAnsi="Times New Roman" w:cs="Times New Roman" w:eastAsiaTheme="minorEastAsia"/>
                <w:color w:val="auto"/>
                <w:kern w:val="2"/>
                <w:sz w:val="18"/>
                <w:szCs w:val="18"/>
                <w:vertAlign w:val="superscript"/>
                <w:lang w:val="en-US" w:eastAsia="zh-CN" w:bidi="ar-SA"/>
              </w:rPr>
            </w:pPr>
            <w:r>
              <w:rPr>
                <w:rFonts w:hint="eastAsia" w:ascii="Times New Roman" w:hAnsi="Times New Roman" w:cs="Times New Roman"/>
                <w:color w:val="auto"/>
                <w:sz w:val="18"/>
                <w:szCs w:val="18"/>
                <w:vertAlign w:val="baseline"/>
                <w:lang w:val="en-US" w:eastAsia="zh-CN"/>
              </w:rPr>
              <w:t>2.65</w:t>
            </w:r>
            <w:r>
              <w:rPr>
                <w:rFonts w:hint="default" w:ascii="Arial" w:hAnsi="Arial" w:cs="Arial"/>
                <w:color w:val="auto"/>
                <w:sz w:val="18"/>
                <w:szCs w:val="18"/>
                <w:vertAlign w:val="baseline"/>
                <w:lang w:val="en-US" w:eastAsia="zh-CN"/>
              </w:rPr>
              <w:t>×</w:t>
            </w:r>
            <w:r>
              <w:rPr>
                <w:rFonts w:hint="eastAsia" w:ascii="Times New Roman" w:hAnsi="Times New Roman" w:cs="Times New Roman"/>
                <w:color w:val="auto"/>
                <w:sz w:val="18"/>
                <w:szCs w:val="18"/>
                <w:vertAlign w:val="baseline"/>
                <w:lang w:val="en-US" w:eastAsia="zh-CN"/>
              </w:rPr>
              <w:t>10</w:t>
            </w:r>
            <w:r>
              <w:rPr>
                <w:rFonts w:hint="eastAsia" w:ascii="Times New Roman" w:hAnsi="Times New Roman" w:cs="Times New Roman"/>
                <w:color w:val="auto"/>
                <w:sz w:val="18"/>
                <w:szCs w:val="18"/>
                <w:vertAlign w:val="superscript"/>
                <w:lang w:val="en-US" w:eastAsia="zh-CN"/>
              </w:rPr>
              <w:t>-3</w:t>
            </w:r>
          </w:p>
        </w:tc>
        <w:tc>
          <w:tcPr>
            <w:tcW w:w="995" w:type="dxa"/>
            <w:vAlign w:val="top"/>
          </w:tcPr>
          <w:p>
            <w:pPr>
              <w:spacing w:line="360" w:lineRule="auto"/>
              <w:rPr>
                <w:rFonts w:hint="eastAsia" w:ascii="Times New Roman" w:hAnsi="Times New Roman" w:cs="Times New Roman" w:eastAsiaTheme="minorEastAsia"/>
                <w:color w:val="auto"/>
                <w:kern w:val="2"/>
                <w:sz w:val="18"/>
                <w:szCs w:val="18"/>
                <w:vertAlign w:val="baseline"/>
                <w:lang w:val="en-US" w:eastAsia="zh-CN" w:bidi="ar-SA"/>
              </w:rPr>
            </w:pPr>
            <w:r>
              <w:rPr>
                <w:rFonts w:hint="eastAsia" w:ascii="Times New Roman" w:hAnsi="Times New Roman" w:cs="Times New Roman"/>
                <w:color w:val="auto"/>
                <w:sz w:val="18"/>
                <w:szCs w:val="18"/>
                <w:vertAlign w:val="baseline"/>
                <w:lang w:val="en-US" w:eastAsia="zh-CN"/>
              </w:rPr>
              <w:t>2.77</w:t>
            </w:r>
            <w:r>
              <w:rPr>
                <w:rFonts w:hint="default" w:ascii="Arial" w:hAnsi="Arial" w:cs="Arial"/>
                <w:color w:val="auto"/>
                <w:sz w:val="18"/>
                <w:szCs w:val="18"/>
                <w:vertAlign w:val="baseline"/>
                <w:lang w:val="en-US" w:eastAsia="zh-CN"/>
              </w:rPr>
              <w:t>×</w:t>
            </w:r>
            <w:r>
              <w:rPr>
                <w:rFonts w:hint="eastAsia" w:ascii="Times New Roman" w:hAnsi="Times New Roman" w:cs="Times New Roman"/>
                <w:color w:val="auto"/>
                <w:sz w:val="18"/>
                <w:szCs w:val="18"/>
                <w:vertAlign w:val="baseline"/>
                <w:lang w:val="en-US" w:eastAsia="zh-CN"/>
              </w:rPr>
              <w:t>10</w:t>
            </w:r>
            <w:r>
              <w:rPr>
                <w:rFonts w:hint="eastAsia" w:ascii="Times New Roman" w:hAnsi="Times New Roman" w:cs="Times New Roman"/>
                <w:color w:val="auto"/>
                <w:sz w:val="18"/>
                <w:szCs w:val="18"/>
                <w:vertAlign w:val="superscript"/>
                <w:lang w:val="en-US" w:eastAsia="zh-CN"/>
              </w:rPr>
              <w:t>-3</w:t>
            </w:r>
          </w:p>
        </w:tc>
        <w:tc>
          <w:tcPr>
            <w:tcW w:w="913" w:type="dxa"/>
            <w:vAlign w:val="top"/>
          </w:tcPr>
          <w:p>
            <w:pPr>
              <w:spacing w:line="360" w:lineRule="auto"/>
              <w:rPr>
                <w:rFonts w:hint="eastAsia" w:ascii="Times New Roman" w:hAnsi="Times New Roman" w:cs="Times New Roman" w:eastAsiaTheme="minorEastAsia"/>
                <w:color w:val="auto"/>
                <w:kern w:val="2"/>
                <w:sz w:val="18"/>
                <w:szCs w:val="18"/>
                <w:vertAlign w:val="baseline"/>
                <w:lang w:val="en-US" w:eastAsia="zh-CN" w:bidi="ar-SA"/>
              </w:rPr>
            </w:pPr>
            <w:r>
              <w:rPr>
                <w:rFonts w:hint="eastAsia" w:ascii="Times New Roman" w:hAnsi="Times New Roman" w:cs="Times New Roman"/>
                <w:color w:val="auto"/>
                <w:sz w:val="18"/>
                <w:szCs w:val="18"/>
                <w:vertAlign w:val="baseline"/>
                <w:lang w:val="en-US" w:eastAsia="zh-CN"/>
              </w:rPr>
              <w:t>2.64</w:t>
            </w:r>
            <w:r>
              <w:rPr>
                <w:rFonts w:hint="default" w:ascii="Arial" w:hAnsi="Arial" w:cs="Arial"/>
                <w:color w:val="auto"/>
                <w:sz w:val="18"/>
                <w:szCs w:val="18"/>
                <w:vertAlign w:val="baseline"/>
                <w:lang w:val="en-US" w:eastAsia="zh-CN"/>
              </w:rPr>
              <w:t>×</w:t>
            </w:r>
            <w:r>
              <w:rPr>
                <w:rFonts w:hint="eastAsia" w:ascii="Times New Roman" w:hAnsi="Times New Roman" w:cs="Times New Roman"/>
                <w:color w:val="auto"/>
                <w:sz w:val="18"/>
                <w:szCs w:val="18"/>
                <w:vertAlign w:val="baseline"/>
                <w:lang w:val="en-US" w:eastAsia="zh-CN"/>
              </w:rPr>
              <w:t>10</w:t>
            </w:r>
            <w:r>
              <w:rPr>
                <w:rFonts w:hint="eastAsia" w:ascii="Times New Roman" w:hAnsi="Times New Roman" w:cs="Times New Roman"/>
                <w:color w:val="auto"/>
                <w:sz w:val="18"/>
                <w:szCs w:val="18"/>
                <w:vertAlign w:val="superscript"/>
                <w:lang w:val="en-US" w:eastAsia="zh-CN"/>
              </w:rPr>
              <w:t>-3</w:t>
            </w:r>
          </w:p>
        </w:tc>
        <w:tc>
          <w:tcPr>
            <w:tcW w:w="89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3"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1080"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810" w:type="dxa"/>
            <w:vMerge w:val="restart"/>
          </w:tcPr>
          <w:p>
            <w:pPr>
              <w:spacing w:line="360" w:lineRule="auto"/>
              <w:rPr>
                <w:rFonts w:hint="eastAsia"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VOCs</w:t>
            </w:r>
          </w:p>
        </w:tc>
        <w:tc>
          <w:tcPr>
            <w:tcW w:w="1145" w:type="dxa"/>
            <w:vAlign w:val="top"/>
          </w:tcPr>
          <w:p>
            <w:pPr>
              <w:spacing w:line="360" w:lineRule="auto"/>
              <w:rPr>
                <w:rFonts w:hint="eastAsia"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实测浓度</w:t>
            </w:r>
          </w:p>
        </w:tc>
        <w:tc>
          <w:tcPr>
            <w:tcW w:w="695" w:type="dxa"/>
            <w:vAlign w:val="top"/>
          </w:tcPr>
          <w:p>
            <w:pPr>
              <w:spacing w:line="360" w:lineRule="auto"/>
              <w:rPr>
                <w:rFonts w:hint="eastAsia" w:ascii="Times New Roman" w:hAnsi="Times New Roman" w:cs="Times New Roman" w:eastAsiaTheme="minorEastAsia"/>
                <w:color w:val="auto"/>
                <w:kern w:val="2"/>
                <w:sz w:val="18"/>
                <w:szCs w:val="18"/>
                <w:vertAlign w:val="baseline"/>
                <w:lang w:val="en-US" w:eastAsia="zh-CN" w:bidi="ar-SA"/>
              </w:rPr>
            </w:pPr>
            <w:r>
              <w:rPr>
                <w:rFonts w:hint="eastAsia" w:ascii="Times New Roman" w:hAnsi="Times New Roman" w:cs="Times New Roman"/>
                <w:color w:val="auto"/>
                <w:sz w:val="18"/>
                <w:szCs w:val="18"/>
                <w:vertAlign w:val="baseline"/>
                <w:lang w:val="en-US" w:eastAsia="zh-CN"/>
              </w:rPr>
              <w:t>mg/m</w:t>
            </w:r>
            <w:r>
              <w:rPr>
                <w:rFonts w:hint="eastAsia" w:ascii="Times New Roman" w:hAnsi="Times New Roman" w:cs="Times New Roman"/>
                <w:color w:val="auto"/>
                <w:sz w:val="18"/>
                <w:szCs w:val="18"/>
                <w:vertAlign w:val="superscript"/>
                <w:lang w:val="en-US" w:eastAsia="zh-CN"/>
              </w:rPr>
              <w:t>3</w:t>
            </w:r>
          </w:p>
        </w:tc>
        <w:tc>
          <w:tcPr>
            <w:tcW w:w="91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2.22</w:t>
            </w:r>
          </w:p>
        </w:tc>
        <w:tc>
          <w:tcPr>
            <w:tcW w:w="99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1.80</w:t>
            </w:r>
          </w:p>
        </w:tc>
        <w:tc>
          <w:tcPr>
            <w:tcW w:w="913"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2.22</w:t>
            </w:r>
          </w:p>
        </w:tc>
        <w:tc>
          <w:tcPr>
            <w:tcW w:w="89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3"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1080"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810" w:type="dxa"/>
            <w:vMerge w:val="continue"/>
          </w:tcPr>
          <w:p>
            <w:pPr>
              <w:spacing w:line="360" w:lineRule="auto"/>
              <w:rPr>
                <w:rFonts w:hint="eastAsia" w:ascii="Times New Roman" w:hAnsi="Times New Roman" w:cs="Times New Roman"/>
                <w:color w:val="auto"/>
                <w:sz w:val="18"/>
                <w:szCs w:val="18"/>
                <w:vertAlign w:val="baseline"/>
                <w:lang w:val="en-US" w:eastAsia="zh-CN"/>
              </w:rPr>
            </w:pPr>
          </w:p>
        </w:tc>
        <w:tc>
          <w:tcPr>
            <w:tcW w:w="1145" w:type="dxa"/>
            <w:vAlign w:val="top"/>
          </w:tcPr>
          <w:p>
            <w:pPr>
              <w:spacing w:line="360" w:lineRule="auto"/>
              <w:rPr>
                <w:rFonts w:hint="eastAsia"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排放速率</w:t>
            </w:r>
          </w:p>
        </w:tc>
        <w:tc>
          <w:tcPr>
            <w:tcW w:w="695" w:type="dxa"/>
            <w:vAlign w:val="top"/>
          </w:tcPr>
          <w:p>
            <w:pPr>
              <w:spacing w:line="360" w:lineRule="auto"/>
              <w:rPr>
                <w:rFonts w:hint="eastAsia" w:ascii="Times New Roman" w:hAnsi="Times New Roman" w:cs="Times New Roman" w:eastAsiaTheme="minorEastAsia"/>
                <w:color w:val="auto"/>
                <w:kern w:val="2"/>
                <w:sz w:val="18"/>
                <w:szCs w:val="18"/>
                <w:vertAlign w:val="baseline"/>
                <w:lang w:val="en-US" w:eastAsia="zh-CN" w:bidi="ar-SA"/>
              </w:rPr>
            </w:pPr>
            <w:r>
              <w:rPr>
                <w:rFonts w:hint="eastAsia" w:ascii="Times New Roman" w:hAnsi="Times New Roman" w:cs="Times New Roman"/>
                <w:color w:val="auto"/>
                <w:sz w:val="18"/>
                <w:szCs w:val="18"/>
                <w:vertAlign w:val="baseline"/>
                <w:lang w:val="en-US" w:eastAsia="zh-CN"/>
              </w:rPr>
              <w:t>Kg/h</w:t>
            </w:r>
          </w:p>
        </w:tc>
        <w:tc>
          <w:tcPr>
            <w:tcW w:w="915" w:type="dxa"/>
            <w:vAlign w:val="top"/>
          </w:tcPr>
          <w:p>
            <w:pPr>
              <w:spacing w:line="360" w:lineRule="auto"/>
              <w:rPr>
                <w:rFonts w:hint="eastAsia" w:ascii="Times New Roman" w:hAnsi="Times New Roman" w:cs="Times New Roman" w:eastAsiaTheme="minorEastAsia"/>
                <w:color w:val="auto"/>
                <w:kern w:val="2"/>
                <w:sz w:val="18"/>
                <w:szCs w:val="18"/>
                <w:vertAlign w:val="superscript"/>
                <w:lang w:val="en-US" w:eastAsia="zh-CN" w:bidi="ar-SA"/>
              </w:rPr>
            </w:pPr>
            <w:r>
              <w:rPr>
                <w:rFonts w:hint="eastAsia" w:ascii="Times New Roman" w:hAnsi="Times New Roman" w:cs="Times New Roman"/>
                <w:color w:val="auto"/>
                <w:sz w:val="18"/>
                <w:szCs w:val="18"/>
                <w:vertAlign w:val="baseline"/>
                <w:lang w:val="en-US" w:eastAsia="zh-CN"/>
              </w:rPr>
              <w:t>3.13</w:t>
            </w:r>
            <w:r>
              <w:rPr>
                <w:rFonts w:hint="default" w:ascii="Arial" w:hAnsi="Arial" w:cs="Arial"/>
                <w:color w:val="auto"/>
                <w:sz w:val="18"/>
                <w:szCs w:val="18"/>
                <w:vertAlign w:val="baseline"/>
                <w:lang w:val="en-US" w:eastAsia="zh-CN"/>
              </w:rPr>
              <w:t>×</w:t>
            </w:r>
            <w:r>
              <w:rPr>
                <w:rFonts w:hint="eastAsia" w:ascii="Times New Roman" w:hAnsi="Times New Roman" w:cs="Times New Roman"/>
                <w:color w:val="auto"/>
                <w:sz w:val="18"/>
                <w:szCs w:val="18"/>
                <w:vertAlign w:val="baseline"/>
                <w:lang w:val="en-US" w:eastAsia="zh-CN"/>
              </w:rPr>
              <w:t>10</w:t>
            </w:r>
            <w:r>
              <w:rPr>
                <w:rFonts w:hint="eastAsia" w:ascii="Times New Roman" w:hAnsi="Times New Roman" w:cs="Times New Roman"/>
                <w:color w:val="auto"/>
                <w:sz w:val="18"/>
                <w:szCs w:val="18"/>
                <w:vertAlign w:val="superscript"/>
                <w:lang w:val="en-US" w:eastAsia="zh-CN"/>
              </w:rPr>
              <w:t>-3</w:t>
            </w:r>
          </w:p>
        </w:tc>
        <w:tc>
          <w:tcPr>
            <w:tcW w:w="995" w:type="dxa"/>
            <w:vAlign w:val="top"/>
          </w:tcPr>
          <w:p>
            <w:pPr>
              <w:spacing w:line="360" w:lineRule="auto"/>
              <w:rPr>
                <w:rFonts w:hint="eastAsia" w:ascii="Times New Roman" w:hAnsi="Times New Roman" w:cs="Times New Roman" w:eastAsiaTheme="minorEastAsia"/>
                <w:color w:val="auto"/>
                <w:kern w:val="2"/>
                <w:sz w:val="18"/>
                <w:szCs w:val="18"/>
                <w:vertAlign w:val="baseline"/>
                <w:lang w:val="en-US" w:eastAsia="zh-CN" w:bidi="ar-SA"/>
              </w:rPr>
            </w:pPr>
            <w:r>
              <w:rPr>
                <w:rFonts w:hint="eastAsia" w:ascii="Times New Roman" w:hAnsi="Times New Roman" w:cs="Times New Roman"/>
                <w:color w:val="auto"/>
                <w:sz w:val="18"/>
                <w:szCs w:val="18"/>
                <w:vertAlign w:val="baseline"/>
                <w:lang w:val="en-US" w:eastAsia="zh-CN"/>
              </w:rPr>
              <w:t>2.58</w:t>
            </w:r>
            <w:r>
              <w:rPr>
                <w:rFonts w:hint="default" w:ascii="Arial" w:hAnsi="Arial" w:cs="Arial"/>
                <w:color w:val="auto"/>
                <w:sz w:val="18"/>
                <w:szCs w:val="18"/>
                <w:vertAlign w:val="baseline"/>
                <w:lang w:val="en-US" w:eastAsia="zh-CN"/>
              </w:rPr>
              <w:t>×</w:t>
            </w:r>
            <w:r>
              <w:rPr>
                <w:rFonts w:hint="eastAsia" w:ascii="Times New Roman" w:hAnsi="Times New Roman" w:cs="Times New Roman"/>
                <w:color w:val="auto"/>
                <w:sz w:val="18"/>
                <w:szCs w:val="18"/>
                <w:vertAlign w:val="baseline"/>
                <w:lang w:val="en-US" w:eastAsia="zh-CN"/>
              </w:rPr>
              <w:t>10</w:t>
            </w:r>
            <w:r>
              <w:rPr>
                <w:rFonts w:hint="eastAsia" w:ascii="Times New Roman" w:hAnsi="Times New Roman" w:cs="Times New Roman"/>
                <w:color w:val="auto"/>
                <w:sz w:val="18"/>
                <w:szCs w:val="18"/>
                <w:vertAlign w:val="superscript"/>
                <w:lang w:val="en-US" w:eastAsia="zh-CN"/>
              </w:rPr>
              <w:t>-3</w:t>
            </w:r>
          </w:p>
        </w:tc>
        <w:tc>
          <w:tcPr>
            <w:tcW w:w="913" w:type="dxa"/>
            <w:vAlign w:val="top"/>
          </w:tcPr>
          <w:p>
            <w:pPr>
              <w:spacing w:line="360" w:lineRule="auto"/>
              <w:rPr>
                <w:rFonts w:hint="eastAsia" w:ascii="Times New Roman" w:hAnsi="Times New Roman" w:cs="Times New Roman" w:eastAsiaTheme="minorEastAsia"/>
                <w:color w:val="auto"/>
                <w:kern w:val="2"/>
                <w:sz w:val="18"/>
                <w:szCs w:val="18"/>
                <w:vertAlign w:val="baseline"/>
                <w:lang w:val="en-US" w:eastAsia="zh-CN" w:bidi="ar-SA"/>
              </w:rPr>
            </w:pPr>
            <w:r>
              <w:rPr>
                <w:rFonts w:hint="eastAsia" w:ascii="Times New Roman" w:hAnsi="Times New Roman" w:cs="Times New Roman"/>
                <w:color w:val="auto"/>
                <w:sz w:val="18"/>
                <w:szCs w:val="18"/>
                <w:vertAlign w:val="baseline"/>
                <w:lang w:val="en-US" w:eastAsia="zh-CN"/>
              </w:rPr>
              <w:t>3.17</w:t>
            </w:r>
            <w:r>
              <w:rPr>
                <w:rFonts w:hint="default" w:ascii="Arial" w:hAnsi="Arial" w:cs="Arial"/>
                <w:color w:val="auto"/>
                <w:sz w:val="18"/>
                <w:szCs w:val="18"/>
                <w:vertAlign w:val="baseline"/>
                <w:lang w:val="en-US" w:eastAsia="zh-CN"/>
              </w:rPr>
              <w:t>×</w:t>
            </w:r>
            <w:r>
              <w:rPr>
                <w:rFonts w:hint="eastAsia" w:ascii="Times New Roman" w:hAnsi="Times New Roman" w:cs="Times New Roman"/>
                <w:color w:val="auto"/>
                <w:sz w:val="18"/>
                <w:szCs w:val="18"/>
                <w:vertAlign w:val="baseline"/>
                <w:lang w:val="en-US" w:eastAsia="zh-CN"/>
              </w:rPr>
              <w:t>10</w:t>
            </w:r>
            <w:r>
              <w:rPr>
                <w:rFonts w:hint="eastAsia" w:ascii="Times New Roman" w:hAnsi="Times New Roman" w:cs="Times New Roman"/>
                <w:color w:val="auto"/>
                <w:sz w:val="18"/>
                <w:szCs w:val="18"/>
                <w:vertAlign w:val="superscript"/>
                <w:lang w:val="en-US" w:eastAsia="zh-CN"/>
              </w:rPr>
              <w:t>-3</w:t>
            </w:r>
          </w:p>
        </w:tc>
        <w:tc>
          <w:tcPr>
            <w:tcW w:w="895" w:type="dxa"/>
          </w:tcPr>
          <w:p>
            <w:pPr>
              <w:spacing w:line="360" w:lineRule="auto"/>
              <w:rPr>
                <w:rFonts w:hint="default" w:ascii="Times New Roman" w:hAnsi="Times New Roman" w:cs="Times New Roman"/>
                <w:color w:val="auto"/>
                <w:sz w:val="18"/>
                <w:szCs w:val="18"/>
                <w:vertAlign w:val="baseline"/>
                <w:lang w:val="en-US" w:eastAsia="zh-CN"/>
              </w:rPr>
            </w:pPr>
            <w:r>
              <w:rPr>
                <w:rFonts w:hint="eastAsia" w:ascii="Times New Roman" w:hAnsi="Times New Roman" w:cs="Times New Roman"/>
                <w:color w:val="auto"/>
                <w:sz w:val="18"/>
                <w:szCs w:val="18"/>
                <w:vertAlign w:val="baseline"/>
                <w:lang w:val="en-US" w:eastAsia="zh-CN"/>
              </w:rPr>
              <w:t>14.3</w:t>
            </w:r>
          </w:p>
        </w:tc>
      </w:tr>
    </w:tbl>
    <w:p>
      <w:pPr>
        <w:spacing w:line="360" w:lineRule="auto"/>
        <w:ind w:firstLine="480" w:firstLineChars="200"/>
        <w:rPr>
          <w:rFonts w:ascii="Times New Roman" w:hAnsi="Times New Roman" w:cs="Times New Roman"/>
          <w:color w:val="auto"/>
          <w:sz w:val="24"/>
          <w:szCs w:val="24"/>
        </w:rPr>
      </w:pPr>
      <w:r>
        <w:rPr>
          <w:rFonts w:hint="default" w:ascii="Times New Roman" w:hAnsi="Times New Roman" w:cs="Times New Roman"/>
          <w:color w:val="auto"/>
          <w:sz w:val="24"/>
          <w:szCs w:val="24"/>
        </w:rPr>
        <w:t>厂界无组织废气监测结果见表9.3-</w:t>
      </w:r>
      <w:r>
        <w:rPr>
          <w:rFonts w:hint="eastAsia" w:ascii="Times New Roman" w:hAnsi="Times New Roman" w:cs="Times New Roman"/>
          <w:color w:val="auto"/>
          <w:sz w:val="24"/>
          <w:szCs w:val="24"/>
          <w:lang w:val="en-US" w:eastAsia="zh-CN"/>
        </w:rPr>
        <w:t>5</w:t>
      </w:r>
      <w:r>
        <w:rPr>
          <w:rFonts w:hint="default" w:ascii="Times New Roman" w:hAnsi="Times New Roman" w:cs="Times New Roman"/>
          <w:color w:val="auto"/>
          <w:sz w:val="24"/>
          <w:szCs w:val="24"/>
        </w:rPr>
        <w:t>。</w:t>
      </w:r>
    </w:p>
    <w:p>
      <w:pPr>
        <w:jc w:val="center"/>
        <w:rPr>
          <w:rFonts w:ascii="Times New Roman" w:hAnsi="Times New Roman" w:cs="Times New Roman"/>
          <w:b/>
          <w:bCs/>
          <w:color w:val="auto"/>
          <w:szCs w:val="21"/>
        </w:rPr>
      </w:pPr>
      <w:r>
        <w:rPr>
          <w:rFonts w:ascii="Times New Roman" w:hAnsi="Times New Roman" w:cs="Times New Roman"/>
          <w:b/>
          <w:bCs/>
          <w:color w:val="auto"/>
          <w:szCs w:val="21"/>
        </w:rPr>
        <w:t>表</w:t>
      </w:r>
      <w:r>
        <w:rPr>
          <w:rFonts w:hint="default" w:ascii="Times New Roman" w:hAnsi="Times New Roman" w:cs="Times New Roman"/>
          <w:b/>
          <w:bCs/>
          <w:color w:val="auto"/>
          <w:szCs w:val="21"/>
        </w:rPr>
        <w:t>9</w:t>
      </w:r>
      <w:r>
        <w:rPr>
          <w:rFonts w:ascii="Times New Roman" w:hAnsi="Times New Roman" w:cs="Times New Roman"/>
          <w:b/>
          <w:bCs/>
          <w:color w:val="auto"/>
          <w:szCs w:val="21"/>
        </w:rPr>
        <w:t>.3-</w:t>
      </w:r>
      <w:r>
        <w:rPr>
          <w:rFonts w:hint="eastAsia" w:ascii="Times New Roman" w:hAnsi="Times New Roman" w:cs="Times New Roman"/>
          <w:b/>
          <w:bCs/>
          <w:color w:val="auto"/>
          <w:szCs w:val="21"/>
          <w:lang w:val="en-US" w:eastAsia="zh-CN"/>
        </w:rPr>
        <w:t>5</w:t>
      </w:r>
      <w:r>
        <w:rPr>
          <w:rFonts w:ascii="Times New Roman" w:hAnsi="Times New Roman" w:cs="Times New Roman"/>
          <w:b/>
          <w:bCs/>
          <w:color w:val="auto"/>
          <w:szCs w:val="21"/>
        </w:rPr>
        <w:t xml:space="preserve">  无组织废气检测结果</w:t>
      </w:r>
    </w:p>
    <w:tbl>
      <w:tblPr>
        <w:tblStyle w:val="28"/>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89"/>
        <w:gridCol w:w="1607"/>
        <w:gridCol w:w="792"/>
        <w:gridCol w:w="792"/>
        <w:gridCol w:w="794"/>
        <w:gridCol w:w="792"/>
        <w:gridCol w:w="792"/>
        <w:gridCol w:w="797"/>
        <w:gridCol w:w="561"/>
        <w:gridCol w:w="80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63" w:type="pct"/>
            <w:vMerge w:val="restart"/>
            <w:tcBorders>
              <w:tl2br w:val="nil"/>
              <w:tr2bl w:val="nil"/>
            </w:tcBorders>
            <w:vAlign w:val="center"/>
          </w:tcPr>
          <w:p>
            <w:pPr>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监测点位</w:t>
            </w:r>
          </w:p>
        </w:tc>
        <w:tc>
          <w:tcPr>
            <w:tcW w:w="943" w:type="pct"/>
            <w:vMerge w:val="restart"/>
            <w:tcBorders>
              <w:tl2br w:val="nil"/>
              <w:tr2bl w:val="nil"/>
            </w:tcBorders>
            <w:vAlign w:val="center"/>
          </w:tcPr>
          <w:p>
            <w:pPr>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检测项目</w:t>
            </w:r>
          </w:p>
        </w:tc>
        <w:tc>
          <w:tcPr>
            <w:tcW w:w="2794" w:type="pct"/>
            <w:gridSpan w:val="6"/>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b/>
                <w:bCs/>
                <w:color w:val="auto"/>
                <w:sz w:val="18"/>
                <w:szCs w:val="18"/>
              </w:rPr>
              <w:t>监测日期，</w:t>
            </w:r>
            <w:r>
              <w:rPr>
                <w:rFonts w:ascii="Times New Roman" w:hAnsi="Times New Roman" w:cs="Times New Roman"/>
                <w:b/>
                <w:bCs/>
                <w:color w:val="auto"/>
                <w:sz w:val="18"/>
                <w:szCs w:val="18"/>
              </w:rPr>
              <w:t>监测频次及检测结果</w:t>
            </w:r>
          </w:p>
        </w:tc>
        <w:tc>
          <w:tcPr>
            <w:tcW w:w="329" w:type="pct"/>
            <w:vMerge w:val="restart"/>
            <w:tcBorders>
              <w:tl2br w:val="nil"/>
              <w:tr2bl w:val="nil"/>
            </w:tcBorders>
            <w:vAlign w:val="center"/>
          </w:tcPr>
          <w:p>
            <w:pPr>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标准限值</w:t>
            </w:r>
          </w:p>
        </w:tc>
        <w:tc>
          <w:tcPr>
            <w:tcW w:w="469" w:type="pct"/>
            <w:vMerge w:val="restart"/>
            <w:tcBorders>
              <w:tl2br w:val="nil"/>
              <w:tr2bl w:val="nil"/>
            </w:tcBorders>
            <w:vAlign w:val="center"/>
          </w:tcPr>
          <w:p>
            <w:pPr>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单位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63" w:type="pct"/>
            <w:vMerge w:val="continue"/>
            <w:tcBorders>
              <w:tl2br w:val="nil"/>
              <w:tr2bl w:val="nil"/>
            </w:tcBorders>
            <w:vAlign w:val="center"/>
          </w:tcPr>
          <w:p>
            <w:pPr>
              <w:jc w:val="center"/>
              <w:rPr>
                <w:rFonts w:ascii="Times New Roman" w:hAnsi="Times New Roman" w:cs="Times New Roman"/>
                <w:b/>
                <w:bCs/>
                <w:color w:val="auto"/>
                <w:sz w:val="18"/>
                <w:szCs w:val="18"/>
              </w:rPr>
            </w:pPr>
          </w:p>
        </w:tc>
        <w:tc>
          <w:tcPr>
            <w:tcW w:w="943" w:type="pct"/>
            <w:vMerge w:val="continue"/>
            <w:tcBorders>
              <w:tl2br w:val="nil"/>
              <w:tr2bl w:val="nil"/>
            </w:tcBorders>
            <w:vAlign w:val="center"/>
          </w:tcPr>
          <w:p>
            <w:pPr>
              <w:jc w:val="center"/>
              <w:rPr>
                <w:rFonts w:ascii="Times New Roman" w:hAnsi="Times New Roman" w:cs="Times New Roman"/>
                <w:b/>
                <w:bCs/>
                <w:color w:val="auto"/>
                <w:sz w:val="18"/>
                <w:szCs w:val="18"/>
              </w:rPr>
            </w:pPr>
          </w:p>
        </w:tc>
        <w:tc>
          <w:tcPr>
            <w:tcW w:w="1396" w:type="pct"/>
            <w:gridSpan w:val="3"/>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2022.5.28</w:t>
            </w:r>
          </w:p>
        </w:tc>
        <w:tc>
          <w:tcPr>
            <w:tcW w:w="1397" w:type="pct"/>
            <w:gridSpan w:val="3"/>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2022.5.29</w:t>
            </w:r>
          </w:p>
        </w:tc>
        <w:tc>
          <w:tcPr>
            <w:tcW w:w="329" w:type="pct"/>
            <w:vMerge w:val="continue"/>
            <w:tcBorders>
              <w:tl2br w:val="nil"/>
              <w:tr2bl w:val="nil"/>
            </w:tcBorders>
            <w:vAlign w:val="center"/>
          </w:tcPr>
          <w:p>
            <w:pPr>
              <w:jc w:val="center"/>
              <w:rPr>
                <w:rFonts w:ascii="Times New Roman" w:hAnsi="Times New Roman" w:cs="Times New Roman"/>
                <w:b/>
                <w:bCs/>
                <w:color w:val="auto"/>
                <w:sz w:val="18"/>
                <w:szCs w:val="18"/>
              </w:rPr>
            </w:pPr>
          </w:p>
        </w:tc>
        <w:tc>
          <w:tcPr>
            <w:tcW w:w="469" w:type="pct"/>
            <w:vMerge w:val="continue"/>
            <w:tcBorders>
              <w:tl2br w:val="nil"/>
              <w:tr2bl w:val="nil"/>
            </w:tcBorders>
            <w:vAlign w:val="center"/>
          </w:tcPr>
          <w:p>
            <w:pPr>
              <w:jc w:val="center"/>
              <w:rPr>
                <w:rFonts w:ascii="Times New Roman" w:hAnsi="Times New Roman" w:cs="Times New Roman"/>
                <w:b/>
                <w:bCs/>
                <w:color w:val="auto"/>
                <w:sz w:val="18"/>
                <w:szCs w:val="18"/>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63" w:type="pct"/>
            <w:vMerge w:val="continue"/>
            <w:tcBorders>
              <w:tl2br w:val="nil"/>
              <w:tr2bl w:val="nil"/>
            </w:tcBorders>
            <w:vAlign w:val="center"/>
          </w:tcPr>
          <w:p>
            <w:pPr>
              <w:jc w:val="center"/>
              <w:rPr>
                <w:rFonts w:ascii="Times New Roman" w:hAnsi="Times New Roman" w:cs="Times New Roman"/>
                <w:color w:val="auto"/>
                <w:sz w:val="18"/>
                <w:szCs w:val="18"/>
              </w:rPr>
            </w:pPr>
          </w:p>
        </w:tc>
        <w:tc>
          <w:tcPr>
            <w:tcW w:w="943" w:type="pct"/>
            <w:vMerge w:val="continue"/>
            <w:tcBorders>
              <w:tl2br w:val="nil"/>
              <w:tr2bl w:val="nil"/>
            </w:tcBorders>
            <w:vAlign w:val="center"/>
          </w:tcPr>
          <w:p>
            <w:pPr>
              <w:jc w:val="center"/>
              <w:rPr>
                <w:rFonts w:ascii="Times New Roman" w:hAnsi="Times New Roman" w:cs="Times New Roman"/>
                <w:color w:val="auto"/>
                <w:sz w:val="18"/>
                <w:szCs w:val="18"/>
              </w:rPr>
            </w:pPr>
          </w:p>
        </w:tc>
        <w:tc>
          <w:tcPr>
            <w:tcW w:w="465"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第一次</w:t>
            </w:r>
          </w:p>
        </w:tc>
        <w:tc>
          <w:tcPr>
            <w:tcW w:w="465"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第二次</w:t>
            </w:r>
          </w:p>
        </w:tc>
        <w:tc>
          <w:tcPr>
            <w:tcW w:w="465"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第三次</w:t>
            </w:r>
          </w:p>
        </w:tc>
        <w:tc>
          <w:tcPr>
            <w:tcW w:w="465"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第一次</w:t>
            </w:r>
          </w:p>
        </w:tc>
        <w:tc>
          <w:tcPr>
            <w:tcW w:w="465"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第二次</w:t>
            </w:r>
          </w:p>
        </w:tc>
        <w:tc>
          <w:tcPr>
            <w:tcW w:w="467"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第三次</w:t>
            </w:r>
          </w:p>
        </w:tc>
        <w:tc>
          <w:tcPr>
            <w:tcW w:w="329" w:type="pct"/>
            <w:vMerge w:val="continue"/>
            <w:tcBorders>
              <w:tl2br w:val="nil"/>
              <w:tr2bl w:val="nil"/>
            </w:tcBorders>
            <w:vAlign w:val="center"/>
          </w:tcPr>
          <w:p>
            <w:pPr>
              <w:jc w:val="center"/>
              <w:rPr>
                <w:rFonts w:ascii="Times New Roman" w:hAnsi="Times New Roman" w:cs="Times New Roman"/>
                <w:color w:val="auto"/>
                <w:sz w:val="18"/>
                <w:szCs w:val="18"/>
              </w:rPr>
            </w:pPr>
          </w:p>
        </w:tc>
        <w:tc>
          <w:tcPr>
            <w:tcW w:w="469" w:type="pct"/>
            <w:vMerge w:val="continue"/>
            <w:tcBorders>
              <w:tl2br w:val="nil"/>
              <w:tr2bl w:val="nil"/>
            </w:tcBorders>
            <w:vAlign w:val="center"/>
          </w:tcPr>
          <w:p>
            <w:pPr>
              <w:jc w:val="center"/>
              <w:rPr>
                <w:rFonts w:ascii="Times New Roman" w:hAnsi="Times New Roman" w:cs="Times New Roman"/>
                <w:color w:val="auto"/>
                <w:sz w:val="18"/>
                <w:szCs w:val="18"/>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63" w:type="pct"/>
            <w:vMerge w:val="restart"/>
            <w:tcBorders>
              <w:tl2br w:val="nil"/>
              <w:tr2bl w:val="nil"/>
            </w:tcBorders>
            <w:vAlign w:val="center"/>
          </w:tcPr>
          <w:p>
            <w:pPr>
              <w:snapToGrid w:val="0"/>
              <w:ind w:left="-42" w:leftChars="-20"/>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项目</w:t>
            </w:r>
            <w:r>
              <w:rPr>
                <w:rFonts w:ascii="Times New Roman" w:hAnsi="Times New Roman" w:cs="Times New Roman"/>
                <w:color w:val="auto"/>
                <w:sz w:val="18"/>
                <w:szCs w:val="18"/>
              </w:rPr>
              <w:t>上风向Q1</w:t>
            </w:r>
          </w:p>
        </w:tc>
        <w:tc>
          <w:tcPr>
            <w:tcW w:w="943"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臭气浓度</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&lt;10</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&lt;10</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&lt;10</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&lt;10</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&lt;10</w:t>
            </w:r>
          </w:p>
        </w:tc>
        <w:tc>
          <w:tcPr>
            <w:tcW w:w="467"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&lt;10</w:t>
            </w:r>
          </w:p>
        </w:tc>
        <w:tc>
          <w:tcPr>
            <w:tcW w:w="329"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20</w:t>
            </w:r>
          </w:p>
        </w:tc>
        <w:tc>
          <w:tcPr>
            <w:tcW w:w="469"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无量纲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63" w:type="pct"/>
            <w:vMerge w:val="continue"/>
            <w:tcBorders>
              <w:tl2br w:val="nil"/>
              <w:tr2bl w:val="nil"/>
            </w:tcBorders>
            <w:vAlign w:val="center"/>
          </w:tcPr>
          <w:p>
            <w:pPr>
              <w:adjustRightInd w:val="0"/>
              <w:snapToGrid w:val="0"/>
              <w:ind w:left="-42" w:leftChars="-20"/>
              <w:jc w:val="center"/>
              <w:rPr>
                <w:rFonts w:ascii="Times New Roman" w:hAnsi="Times New Roman" w:cs="Times New Roman"/>
                <w:color w:val="auto"/>
                <w:sz w:val="18"/>
                <w:szCs w:val="18"/>
              </w:rPr>
            </w:pPr>
          </w:p>
        </w:tc>
        <w:tc>
          <w:tcPr>
            <w:tcW w:w="943"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氨气</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0.01</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0.01</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0.02</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0.01</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0.02</w:t>
            </w:r>
          </w:p>
        </w:tc>
        <w:tc>
          <w:tcPr>
            <w:tcW w:w="467"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0.01</w:t>
            </w:r>
          </w:p>
        </w:tc>
        <w:tc>
          <w:tcPr>
            <w:tcW w:w="329"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1.5</w:t>
            </w:r>
          </w:p>
        </w:tc>
        <w:tc>
          <w:tcPr>
            <w:tcW w:w="469"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mg/m</w:t>
            </w:r>
            <w:r>
              <w:rPr>
                <w:rFonts w:ascii="Times New Roman" w:hAnsi="Times New Roman" w:cs="Times New Roman"/>
                <w:color w:val="auto"/>
                <w:sz w:val="18"/>
                <w:szCs w:val="18"/>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63" w:type="pct"/>
            <w:vMerge w:val="continue"/>
            <w:tcBorders>
              <w:tl2br w:val="nil"/>
              <w:tr2bl w:val="nil"/>
            </w:tcBorders>
            <w:vAlign w:val="center"/>
          </w:tcPr>
          <w:p>
            <w:pPr>
              <w:adjustRightInd w:val="0"/>
              <w:snapToGrid w:val="0"/>
              <w:ind w:left="-42" w:leftChars="-20"/>
              <w:jc w:val="center"/>
              <w:rPr>
                <w:rFonts w:ascii="Times New Roman" w:hAnsi="Times New Roman" w:cs="Times New Roman"/>
                <w:color w:val="auto"/>
                <w:sz w:val="18"/>
                <w:szCs w:val="18"/>
              </w:rPr>
            </w:pPr>
          </w:p>
        </w:tc>
        <w:tc>
          <w:tcPr>
            <w:tcW w:w="943"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硫化氢</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0.001</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0.001</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0.002</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0.001</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0.002</w:t>
            </w:r>
          </w:p>
        </w:tc>
        <w:tc>
          <w:tcPr>
            <w:tcW w:w="467"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0.001</w:t>
            </w:r>
          </w:p>
        </w:tc>
        <w:tc>
          <w:tcPr>
            <w:tcW w:w="329"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0.06</w:t>
            </w:r>
          </w:p>
        </w:tc>
        <w:tc>
          <w:tcPr>
            <w:tcW w:w="469"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mg/m</w:t>
            </w:r>
            <w:r>
              <w:rPr>
                <w:rFonts w:ascii="Times New Roman" w:hAnsi="Times New Roman" w:cs="Times New Roman"/>
                <w:color w:val="auto"/>
                <w:sz w:val="18"/>
                <w:szCs w:val="18"/>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63" w:type="pct"/>
            <w:vMerge w:val="continue"/>
            <w:tcBorders>
              <w:tl2br w:val="nil"/>
              <w:tr2bl w:val="nil"/>
            </w:tcBorders>
            <w:vAlign w:val="center"/>
          </w:tcPr>
          <w:p>
            <w:pPr>
              <w:adjustRightInd w:val="0"/>
              <w:snapToGrid w:val="0"/>
              <w:ind w:left="-42" w:leftChars="-20"/>
              <w:jc w:val="center"/>
              <w:rPr>
                <w:rFonts w:ascii="Times New Roman" w:hAnsi="Times New Roman" w:cs="Times New Roman"/>
                <w:color w:val="auto"/>
                <w:sz w:val="18"/>
                <w:szCs w:val="18"/>
              </w:rPr>
            </w:pPr>
          </w:p>
        </w:tc>
        <w:tc>
          <w:tcPr>
            <w:tcW w:w="943"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非甲烷总烃</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0.98</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1.06</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1.14</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1.25</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1.09</w:t>
            </w:r>
          </w:p>
        </w:tc>
        <w:tc>
          <w:tcPr>
            <w:tcW w:w="467"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1.16</w:t>
            </w:r>
          </w:p>
        </w:tc>
        <w:tc>
          <w:tcPr>
            <w:tcW w:w="329" w:type="pct"/>
            <w:tcBorders>
              <w:tl2br w:val="nil"/>
              <w:tr2bl w:val="nil"/>
            </w:tcBorders>
            <w:vAlign w:val="center"/>
          </w:tcPr>
          <w:p>
            <w:pPr>
              <w:jc w:val="center"/>
              <w:rPr>
                <w:rFonts w:hint="eastAsia" w:ascii="Times New Roman" w:hAnsi="Times New Roman" w:eastAsia="宋体" w:cs="Times New Roman"/>
                <w:color w:val="auto"/>
                <w:sz w:val="18"/>
                <w:szCs w:val="18"/>
                <w:lang w:eastAsia="zh-CN"/>
              </w:rPr>
            </w:pPr>
            <w:r>
              <w:rPr>
                <w:rFonts w:hint="eastAsia" w:ascii="Times New Roman" w:hAnsi="Times New Roman" w:eastAsia="宋体" w:cs="Times New Roman"/>
                <w:color w:val="auto"/>
                <w:sz w:val="18"/>
                <w:szCs w:val="18"/>
                <w:lang w:val="en-US" w:eastAsia="zh-CN"/>
              </w:rPr>
              <w:t>4</w:t>
            </w:r>
          </w:p>
        </w:tc>
        <w:tc>
          <w:tcPr>
            <w:tcW w:w="469"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mg/m</w:t>
            </w:r>
            <w:r>
              <w:rPr>
                <w:rFonts w:ascii="Times New Roman" w:hAnsi="Times New Roman" w:cs="Times New Roman"/>
                <w:color w:val="auto"/>
                <w:sz w:val="18"/>
                <w:szCs w:val="18"/>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63" w:type="pct"/>
            <w:vMerge w:val="continue"/>
            <w:tcBorders>
              <w:tl2br w:val="nil"/>
              <w:tr2bl w:val="nil"/>
            </w:tcBorders>
            <w:vAlign w:val="center"/>
          </w:tcPr>
          <w:p>
            <w:pPr>
              <w:adjustRightInd w:val="0"/>
              <w:snapToGrid w:val="0"/>
              <w:ind w:left="-42" w:leftChars="-20"/>
              <w:jc w:val="center"/>
              <w:rPr>
                <w:rFonts w:ascii="Times New Roman" w:hAnsi="Times New Roman" w:cs="Times New Roman"/>
                <w:color w:val="auto"/>
                <w:sz w:val="18"/>
                <w:szCs w:val="18"/>
              </w:rPr>
            </w:pPr>
          </w:p>
        </w:tc>
        <w:tc>
          <w:tcPr>
            <w:tcW w:w="943"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苯酚</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ND</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ND</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ND</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ND</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ND</w:t>
            </w:r>
          </w:p>
        </w:tc>
        <w:tc>
          <w:tcPr>
            <w:tcW w:w="467"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ND</w:t>
            </w:r>
          </w:p>
        </w:tc>
        <w:tc>
          <w:tcPr>
            <w:tcW w:w="329"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10</w:t>
            </w:r>
          </w:p>
        </w:tc>
        <w:tc>
          <w:tcPr>
            <w:tcW w:w="469"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mg/m</w:t>
            </w:r>
            <w:r>
              <w:rPr>
                <w:rFonts w:ascii="Times New Roman" w:hAnsi="Times New Roman" w:cs="Times New Roman"/>
                <w:color w:val="auto"/>
                <w:sz w:val="18"/>
                <w:szCs w:val="18"/>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63" w:type="pct"/>
            <w:vMerge w:val="continue"/>
            <w:tcBorders>
              <w:tl2br w:val="nil"/>
              <w:tr2bl w:val="nil"/>
            </w:tcBorders>
            <w:vAlign w:val="center"/>
          </w:tcPr>
          <w:p>
            <w:pPr>
              <w:adjustRightInd w:val="0"/>
              <w:snapToGrid w:val="0"/>
              <w:ind w:left="-42" w:leftChars="-20"/>
              <w:jc w:val="center"/>
              <w:rPr>
                <w:rFonts w:ascii="Times New Roman" w:hAnsi="Times New Roman" w:cs="Times New Roman"/>
                <w:color w:val="auto"/>
                <w:sz w:val="18"/>
                <w:szCs w:val="18"/>
              </w:rPr>
            </w:pPr>
          </w:p>
        </w:tc>
        <w:tc>
          <w:tcPr>
            <w:tcW w:w="943"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*甲醇</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ND</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ND</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ND</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ND</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ND</w:t>
            </w:r>
          </w:p>
        </w:tc>
        <w:tc>
          <w:tcPr>
            <w:tcW w:w="467"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ND</w:t>
            </w:r>
          </w:p>
        </w:tc>
        <w:tc>
          <w:tcPr>
            <w:tcW w:w="329"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10</w:t>
            </w:r>
          </w:p>
        </w:tc>
        <w:tc>
          <w:tcPr>
            <w:tcW w:w="469"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mg/m</w:t>
            </w:r>
            <w:r>
              <w:rPr>
                <w:rFonts w:ascii="Times New Roman" w:hAnsi="Times New Roman" w:cs="Times New Roman"/>
                <w:color w:val="auto"/>
                <w:sz w:val="18"/>
                <w:szCs w:val="18"/>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63" w:type="pct"/>
            <w:vMerge w:val="continue"/>
            <w:tcBorders>
              <w:tl2br w:val="nil"/>
              <w:tr2bl w:val="nil"/>
            </w:tcBorders>
            <w:vAlign w:val="center"/>
          </w:tcPr>
          <w:p>
            <w:pPr>
              <w:adjustRightInd w:val="0"/>
              <w:snapToGrid w:val="0"/>
              <w:ind w:left="-42" w:leftChars="-20"/>
              <w:jc w:val="center"/>
              <w:rPr>
                <w:rFonts w:ascii="Times New Roman" w:hAnsi="Times New Roman" w:cs="Times New Roman"/>
                <w:color w:val="auto"/>
                <w:sz w:val="18"/>
                <w:szCs w:val="18"/>
              </w:rPr>
            </w:pPr>
          </w:p>
        </w:tc>
        <w:tc>
          <w:tcPr>
            <w:tcW w:w="943" w:type="pct"/>
            <w:tcBorders>
              <w:tl2br w:val="nil"/>
              <w:tr2bl w:val="nil"/>
            </w:tcBorders>
            <w:vAlign w:val="center"/>
          </w:tcPr>
          <w:p>
            <w:pPr>
              <w:jc w:val="center"/>
              <w:rPr>
                <w:rFonts w:ascii="Times New Roman" w:hAnsi="Times New Roman" w:eastAsia="宋体" w:cs="Times New Roman"/>
                <w:color w:val="auto"/>
                <w:sz w:val="18"/>
                <w:szCs w:val="18"/>
              </w:rPr>
            </w:pPr>
            <w:r>
              <w:rPr>
                <w:rFonts w:ascii="Times New Roman" w:hAnsi="Times New Roman" w:cs="Times New Roman"/>
                <w:color w:val="auto"/>
                <w:sz w:val="18"/>
                <w:szCs w:val="18"/>
              </w:rPr>
              <w:t>甲</w:t>
            </w:r>
            <w:r>
              <w:rPr>
                <w:rFonts w:hint="default" w:ascii="Times New Roman" w:hAnsi="Times New Roman" w:cs="Times New Roman"/>
                <w:color w:val="auto"/>
                <w:sz w:val="18"/>
                <w:szCs w:val="18"/>
              </w:rPr>
              <w:t>醛</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ND</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ND</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ND</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ND</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ND</w:t>
            </w:r>
          </w:p>
        </w:tc>
        <w:tc>
          <w:tcPr>
            <w:tcW w:w="467"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ND</w:t>
            </w:r>
          </w:p>
        </w:tc>
        <w:tc>
          <w:tcPr>
            <w:tcW w:w="329"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10</w:t>
            </w:r>
          </w:p>
        </w:tc>
        <w:tc>
          <w:tcPr>
            <w:tcW w:w="469"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mg/m</w:t>
            </w:r>
            <w:r>
              <w:rPr>
                <w:rFonts w:ascii="Times New Roman" w:hAnsi="Times New Roman" w:cs="Times New Roman"/>
                <w:color w:val="auto"/>
                <w:sz w:val="18"/>
                <w:szCs w:val="18"/>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63" w:type="pct"/>
            <w:vMerge w:val="restart"/>
            <w:tcBorders>
              <w:tl2br w:val="nil"/>
              <w:tr2bl w:val="nil"/>
            </w:tcBorders>
            <w:vAlign w:val="center"/>
          </w:tcPr>
          <w:p>
            <w:pPr>
              <w:snapToGrid w:val="0"/>
              <w:ind w:left="-42" w:leftChars="-20"/>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项目</w:t>
            </w:r>
            <w:r>
              <w:rPr>
                <w:rFonts w:ascii="Times New Roman" w:hAnsi="Times New Roman" w:cs="Times New Roman"/>
                <w:color w:val="auto"/>
                <w:sz w:val="18"/>
                <w:szCs w:val="18"/>
              </w:rPr>
              <w:t>下风向Q2</w:t>
            </w:r>
          </w:p>
        </w:tc>
        <w:tc>
          <w:tcPr>
            <w:tcW w:w="943"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臭气浓度</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&lt;10</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&lt;10</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&lt;10</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&lt;10</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&lt;10</w:t>
            </w:r>
          </w:p>
        </w:tc>
        <w:tc>
          <w:tcPr>
            <w:tcW w:w="467"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&lt;10</w:t>
            </w:r>
          </w:p>
        </w:tc>
        <w:tc>
          <w:tcPr>
            <w:tcW w:w="329"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20</w:t>
            </w:r>
          </w:p>
        </w:tc>
        <w:tc>
          <w:tcPr>
            <w:tcW w:w="469"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无量纲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63" w:type="pct"/>
            <w:vMerge w:val="continue"/>
            <w:tcBorders>
              <w:tl2br w:val="nil"/>
              <w:tr2bl w:val="nil"/>
            </w:tcBorders>
            <w:vAlign w:val="center"/>
          </w:tcPr>
          <w:p>
            <w:pPr>
              <w:adjustRightInd w:val="0"/>
              <w:snapToGrid w:val="0"/>
              <w:ind w:left="-42" w:leftChars="-20"/>
              <w:jc w:val="center"/>
              <w:rPr>
                <w:rFonts w:ascii="Times New Roman" w:hAnsi="Times New Roman" w:cs="Times New Roman"/>
                <w:color w:val="auto"/>
                <w:sz w:val="18"/>
                <w:szCs w:val="18"/>
              </w:rPr>
            </w:pPr>
          </w:p>
        </w:tc>
        <w:tc>
          <w:tcPr>
            <w:tcW w:w="943"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氨气</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0.04</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0.05</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0.04</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0.05</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0.04</w:t>
            </w:r>
          </w:p>
        </w:tc>
        <w:tc>
          <w:tcPr>
            <w:tcW w:w="467"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0.04</w:t>
            </w:r>
          </w:p>
        </w:tc>
        <w:tc>
          <w:tcPr>
            <w:tcW w:w="329"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1.5</w:t>
            </w:r>
          </w:p>
        </w:tc>
        <w:tc>
          <w:tcPr>
            <w:tcW w:w="469"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mg/m</w:t>
            </w:r>
            <w:r>
              <w:rPr>
                <w:rFonts w:ascii="Times New Roman" w:hAnsi="Times New Roman" w:cs="Times New Roman"/>
                <w:color w:val="auto"/>
                <w:sz w:val="18"/>
                <w:szCs w:val="18"/>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63" w:type="pct"/>
            <w:vMerge w:val="continue"/>
            <w:tcBorders>
              <w:tl2br w:val="nil"/>
              <w:tr2bl w:val="nil"/>
            </w:tcBorders>
            <w:vAlign w:val="center"/>
          </w:tcPr>
          <w:p>
            <w:pPr>
              <w:adjustRightInd w:val="0"/>
              <w:snapToGrid w:val="0"/>
              <w:ind w:left="-42" w:leftChars="-20"/>
              <w:jc w:val="center"/>
              <w:rPr>
                <w:rFonts w:ascii="Times New Roman" w:hAnsi="Times New Roman" w:cs="Times New Roman"/>
                <w:color w:val="auto"/>
                <w:sz w:val="18"/>
                <w:szCs w:val="18"/>
              </w:rPr>
            </w:pPr>
          </w:p>
        </w:tc>
        <w:tc>
          <w:tcPr>
            <w:tcW w:w="943"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硫化氢</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0.005</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0.004</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0.004</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0.004</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0.006</w:t>
            </w:r>
          </w:p>
        </w:tc>
        <w:tc>
          <w:tcPr>
            <w:tcW w:w="467"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0.005</w:t>
            </w:r>
          </w:p>
        </w:tc>
        <w:tc>
          <w:tcPr>
            <w:tcW w:w="329"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0.06</w:t>
            </w:r>
          </w:p>
        </w:tc>
        <w:tc>
          <w:tcPr>
            <w:tcW w:w="469"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mg/m</w:t>
            </w:r>
            <w:r>
              <w:rPr>
                <w:rFonts w:ascii="Times New Roman" w:hAnsi="Times New Roman" w:cs="Times New Roman"/>
                <w:color w:val="auto"/>
                <w:sz w:val="18"/>
                <w:szCs w:val="18"/>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63" w:type="pct"/>
            <w:vMerge w:val="continue"/>
            <w:tcBorders>
              <w:tl2br w:val="nil"/>
              <w:tr2bl w:val="nil"/>
            </w:tcBorders>
            <w:vAlign w:val="center"/>
          </w:tcPr>
          <w:p>
            <w:pPr>
              <w:adjustRightInd w:val="0"/>
              <w:snapToGrid w:val="0"/>
              <w:ind w:left="-42" w:leftChars="-20"/>
              <w:jc w:val="center"/>
              <w:rPr>
                <w:rFonts w:ascii="Times New Roman" w:hAnsi="Times New Roman" w:cs="Times New Roman"/>
                <w:color w:val="auto"/>
                <w:sz w:val="18"/>
                <w:szCs w:val="18"/>
              </w:rPr>
            </w:pPr>
          </w:p>
        </w:tc>
        <w:tc>
          <w:tcPr>
            <w:tcW w:w="943"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非甲烷总烃</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2.65</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2.43</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2.58</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2.74</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2.38</w:t>
            </w:r>
          </w:p>
        </w:tc>
        <w:tc>
          <w:tcPr>
            <w:tcW w:w="467"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2.56</w:t>
            </w:r>
          </w:p>
        </w:tc>
        <w:tc>
          <w:tcPr>
            <w:tcW w:w="329" w:type="pct"/>
            <w:tcBorders>
              <w:tl2br w:val="nil"/>
              <w:tr2bl w:val="nil"/>
            </w:tcBorders>
            <w:vAlign w:val="center"/>
          </w:tcPr>
          <w:p>
            <w:pPr>
              <w:jc w:val="center"/>
              <w:rPr>
                <w:rFonts w:hint="eastAsia" w:ascii="Times New Roman" w:hAnsi="Times New Roman" w:eastAsia="宋体" w:cs="Times New Roman"/>
                <w:color w:val="auto"/>
                <w:sz w:val="18"/>
                <w:szCs w:val="18"/>
                <w:lang w:eastAsia="zh-CN"/>
              </w:rPr>
            </w:pPr>
            <w:r>
              <w:rPr>
                <w:rFonts w:hint="eastAsia" w:ascii="Times New Roman" w:hAnsi="Times New Roman" w:eastAsia="宋体" w:cs="Times New Roman"/>
                <w:color w:val="auto"/>
                <w:sz w:val="18"/>
                <w:szCs w:val="18"/>
                <w:lang w:val="en-US" w:eastAsia="zh-CN"/>
              </w:rPr>
              <w:t>4</w:t>
            </w:r>
          </w:p>
        </w:tc>
        <w:tc>
          <w:tcPr>
            <w:tcW w:w="469"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mg/m</w:t>
            </w:r>
            <w:r>
              <w:rPr>
                <w:rFonts w:ascii="Times New Roman" w:hAnsi="Times New Roman" w:cs="Times New Roman"/>
                <w:color w:val="auto"/>
                <w:sz w:val="18"/>
                <w:szCs w:val="18"/>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63" w:type="pct"/>
            <w:vMerge w:val="continue"/>
            <w:tcBorders>
              <w:tl2br w:val="nil"/>
              <w:tr2bl w:val="nil"/>
            </w:tcBorders>
            <w:vAlign w:val="center"/>
          </w:tcPr>
          <w:p>
            <w:pPr>
              <w:adjustRightInd w:val="0"/>
              <w:snapToGrid w:val="0"/>
              <w:ind w:left="-42" w:leftChars="-20"/>
              <w:jc w:val="center"/>
              <w:rPr>
                <w:rFonts w:ascii="Times New Roman" w:hAnsi="Times New Roman" w:cs="Times New Roman"/>
                <w:color w:val="auto"/>
                <w:sz w:val="18"/>
                <w:szCs w:val="18"/>
              </w:rPr>
            </w:pPr>
          </w:p>
        </w:tc>
        <w:tc>
          <w:tcPr>
            <w:tcW w:w="943"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苯酚</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ND</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ND</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ND</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ND</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ND</w:t>
            </w:r>
          </w:p>
        </w:tc>
        <w:tc>
          <w:tcPr>
            <w:tcW w:w="467"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ND</w:t>
            </w:r>
          </w:p>
        </w:tc>
        <w:tc>
          <w:tcPr>
            <w:tcW w:w="329"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10</w:t>
            </w:r>
          </w:p>
        </w:tc>
        <w:tc>
          <w:tcPr>
            <w:tcW w:w="469"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mg/m</w:t>
            </w:r>
            <w:r>
              <w:rPr>
                <w:rFonts w:ascii="Times New Roman" w:hAnsi="Times New Roman" w:cs="Times New Roman"/>
                <w:color w:val="auto"/>
                <w:sz w:val="18"/>
                <w:szCs w:val="18"/>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63" w:type="pct"/>
            <w:vMerge w:val="continue"/>
            <w:tcBorders>
              <w:tl2br w:val="nil"/>
              <w:tr2bl w:val="nil"/>
            </w:tcBorders>
            <w:vAlign w:val="center"/>
          </w:tcPr>
          <w:p>
            <w:pPr>
              <w:adjustRightInd w:val="0"/>
              <w:snapToGrid w:val="0"/>
              <w:ind w:left="-42" w:leftChars="-20"/>
              <w:jc w:val="center"/>
              <w:rPr>
                <w:rFonts w:ascii="Times New Roman" w:hAnsi="Times New Roman" w:cs="Times New Roman"/>
                <w:color w:val="auto"/>
                <w:sz w:val="18"/>
                <w:szCs w:val="18"/>
              </w:rPr>
            </w:pPr>
          </w:p>
        </w:tc>
        <w:tc>
          <w:tcPr>
            <w:tcW w:w="943"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*甲醇</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ND</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ND</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ND</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ND</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ND</w:t>
            </w:r>
          </w:p>
        </w:tc>
        <w:tc>
          <w:tcPr>
            <w:tcW w:w="467"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ND</w:t>
            </w:r>
          </w:p>
        </w:tc>
        <w:tc>
          <w:tcPr>
            <w:tcW w:w="329"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10</w:t>
            </w:r>
          </w:p>
        </w:tc>
        <w:tc>
          <w:tcPr>
            <w:tcW w:w="469"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mg/m</w:t>
            </w:r>
            <w:r>
              <w:rPr>
                <w:rFonts w:ascii="Times New Roman" w:hAnsi="Times New Roman" w:cs="Times New Roman"/>
                <w:color w:val="auto"/>
                <w:sz w:val="18"/>
                <w:szCs w:val="18"/>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63" w:type="pct"/>
            <w:vMerge w:val="continue"/>
            <w:tcBorders>
              <w:tl2br w:val="nil"/>
              <w:tr2bl w:val="nil"/>
            </w:tcBorders>
            <w:vAlign w:val="center"/>
          </w:tcPr>
          <w:p>
            <w:pPr>
              <w:adjustRightInd w:val="0"/>
              <w:snapToGrid w:val="0"/>
              <w:ind w:left="-42" w:leftChars="-20"/>
              <w:jc w:val="center"/>
              <w:rPr>
                <w:rFonts w:ascii="Times New Roman" w:hAnsi="Times New Roman" w:cs="Times New Roman"/>
                <w:color w:val="auto"/>
                <w:sz w:val="18"/>
                <w:szCs w:val="18"/>
              </w:rPr>
            </w:pPr>
          </w:p>
        </w:tc>
        <w:tc>
          <w:tcPr>
            <w:tcW w:w="943" w:type="pct"/>
            <w:tcBorders>
              <w:tl2br w:val="nil"/>
              <w:tr2bl w:val="nil"/>
            </w:tcBorders>
            <w:vAlign w:val="center"/>
          </w:tcPr>
          <w:p>
            <w:pPr>
              <w:jc w:val="center"/>
              <w:rPr>
                <w:rFonts w:ascii="Times New Roman" w:hAnsi="Times New Roman" w:eastAsia="宋体" w:cs="Times New Roman"/>
                <w:color w:val="auto"/>
                <w:sz w:val="18"/>
                <w:szCs w:val="18"/>
              </w:rPr>
            </w:pPr>
            <w:r>
              <w:rPr>
                <w:rFonts w:ascii="Times New Roman" w:hAnsi="Times New Roman" w:cs="Times New Roman"/>
                <w:color w:val="auto"/>
                <w:sz w:val="18"/>
                <w:szCs w:val="18"/>
              </w:rPr>
              <w:t>甲</w:t>
            </w:r>
            <w:r>
              <w:rPr>
                <w:rFonts w:hint="default" w:ascii="Times New Roman" w:hAnsi="Times New Roman" w:cs="Times New Roman"/>
                <w:color w:val="auto"/>
                <w:sz w:val="18"/>
                <w:szCs w:val="18"/>
              </w:rPr>
              <w:t>醛</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ND</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ND</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ND</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ND</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ND</w:t>
            </w:r>
          </w:p>
        </w:tc>
        <w:tc>
          <w:tcPr>
            <w:tcW w:w="467"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ND</w:t>
            </w:r>
          </w:p>
        </w:tc>
        <w:tc>
          <w:tcPr>
            <w:tcW w:w="329"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10</w:t>
            </w:r>
          </w:p>
        </w:tc>
        <w:tc>
          <w:tcPr>
            <w:tcW w:w="469"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mg/m</w:t>
            </w:r>
            <w:r>
              <w:rPr>
                <w:rFonts w:ascii="Times New Roman" w:hAnsi="Times New Roman" w:cs="Times New Roman"/>
                <w:color w:val="auto"/>
                <w:sz w:val="18"/>
                <w:szCs w:val="18"/>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63" w:type="pct"/>
            <w:vMerge w:val="restart"/>
            <w:tcBorders>
              <w:tl2br w:val="nil"/>
              <w:tr2bl w:val="nil"/>
            </w:tcBorders>
            <w:vAlign w:val="center"/>
          </w:tcPr>
          <w:p>
            <w:pPr>
              <w:snapToGrid w:val="0"/>
              <w:ind w:left="-42" w:leftChars="-20"/>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项目</w:t>
            </w:r>
            <w:r>
              <w:rPr>
                <w:rFonts w:ascii="Times New Roman" w:hAnsi="Times New Roman" w:cs="Times New Roman"/>
                <w:color w:val="auto"/>
                <w:sz w:val="18"/>
                <w:szCs w:val="18"/>
              </w:rPr>
              <w:t>下风向Q3</w:t>
            </w:r>
          </w:p>
        </w:tc>
        <w:tc>
          <w:tcPr>
            <w:tcW w:w="943"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臭气浓度</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&lt;10</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&lt;10</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&lt;10</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&lt;10</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&lt;10</w:t>
            </w:r>
          </w:p>
        </w:tc>
        <w:tc>
          <w:tcPr>
            <w:tcW w:w="467"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&lt;10</w:t>
            </w:r>
          </w:p>
        </w:tc>
        <w:tc>
          <w:tcPr>
            <w:tcW w:w="329"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20</w:t>
            </w:r>
          </w:p>
        </w:tc>
        <w:tc>
          <w:tcPr>
            <w:tcW w:w="469"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无量纲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63" w:type="pct"/>
            <w:vMerge w:val="continue"/>
            <w:tcBorders>
              <w:tl2br w:val="nil"/>
              <w:tr2bl w:val="nil"/>
            </w:tcBorders>
            <w:vAlign w:val="center"/>
          </w:tcPr>
          <w:p>
            <w:pPr>
              <w:adjustRightInd w:val="0"/>
              <w:snapToGrid w:val="0"/>
              <w:ind w:left="-42" w:leftChars="-20"/>
              <w:jc w:val="center"/>
              <w:rPr>
                <w:rFonts w:ascii="Times New Roman" w:hAnsi="Times New Roman" w:cs="Times New Roman"/>
                <w:color w:val="auto"/>
                <w:sz w:val="18"/>
                <w:szCs w:val="18"/>
              </w:rPr>
            </w:pPr>
          </w:p>
        </w:tc>
        <w:tc>
          <w:tcPr>
            <w:tcW w:w="943"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氨气</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0.05</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0.06</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0.04</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0.06</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0.04</w:t>
            </w:r>
          </w:p>
        </w:tc>
        <w:tc>
          <w:tcPr>
            <w:tcW w:w="467"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0.05</w:t>
            </w:r>
          </w:p>
        </w:tc>
        <w:tc>
          <w:tcPr>
            <w:tcW w:w="329"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1.5</w:t>
            </w:r>
          </w:p>
        </w:tc>
        <w:tc>
          <w:tcPr>
            <w:tcW w:w="469"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mg/m</w:t>
            </w:r>
            <w:r>
              <w:rPr>
                <w:rFonts w:ascii="Times New Roman" w:hAnsi="Times New Roman" w:cs="Times New Roman"/>
                <w:color w:val="auto"/>
                <w:sz w:val="18"/>
                <w:szCs w:val="18"/>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63" w:type="pct"/>
            <w:vMerge w:val="continue"/>
            <w:tcBorders>
              <w:tl2br w:val="nil"/>
              <w:tr2bl w:val="nil"/>
            </w:tcBorders>
            <w:vAlign w:val="center"/>
          </w:tcPr>
          <w:p>
            <w:pPr>
              <w:adjustRightInd w:val="0"/>
              <w:snapToGrid w:val="0"/>
              <w:ind w:left="-42" w:leftChars="-20"/>
              <w:jc w:val="center"/>
              <w:rPr>
                <w:rFonts w:ascii="Times New Roman" w:hAnsi="Times New Roman" w:cs="Times New Roman"/>
                <w:color w:val="auto"/>
                <w:sz w:val="18"/>
                <w:szCs w:val="18"/>
              </w:rPr>
            </w:pPr>
          </w:p>
        </w:tc>
        <w:tc>
          <w:tcPr>
            <w:tcW w:w="943"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硫化氢</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0.005</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0.006</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0.005</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0.005</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0.004</w:t>
            </w:r>
          </w:p>
        </w:tc>
        <w:tc>
          <w:tcPr>
            <w:tcW w:w="467"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0.006</w:t>
            </w:r>
          </w:p>
        </w:tc>
        <w:tc>
          <w:tcPr>
            <w:tcW w:w="329"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0.06</w:t>
            </w:r>
          </w:p>
        </w:tc>
        <w:tc>
          <w:tcPr>
            <w:tcW w:w="469"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mg/m</w:t>
            </w:r>
            <w:r>
              <w:rPr>
                <w:rFonts w:ascii="Times New Roman" w:hAnsi="Times New Roman" w:cs="Times New Roman"/>
                <w:color w:val="auto"/>
                <w:sz w:val="18"/>
                <w:szCs w:val="18"/>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63" w:type="pct"/>
            <w:vMerge w:val="continue"/>
            <w:tcBorders>
              <w:tl2br w:val="nil"/>
              <w:tr2bl w:val="nil"/>
            </w:tcBorders>
            <w:vAlign w:val="center"/>
          </w:tcPr>
          <w:p>
            <w:pPr>
              <w:adjustRightInd w:val="0"/>
              <w:snapToGrid w:val="0"/>
              <w:ind w:left="-42" w:leftChars="-20"/>
              <w:jc w:val="center"/>
              <w:rPr>
                <w:rFonts w:ascii="Times New Roman" w:hAnsi="Times New Roman" w:cs="Times New Roman"/>
                <w:color w:val="auto"/>
                <w:sz w:val="18"/>
                <w:szCs w:val="18"/>
              </w:rPr>
            </w:pPr>
          </w:p>
        </w:tc>
        <w:tc>
          <w:tcPr>
            <w:tcW w:w="943"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非甲烷总烃</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2.43</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2.39</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2.48</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2.53</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2.27</w:t>
            </w:r>
          </w:p>
        </w:tc>
        <w:tc>
          <w:tcPr>
            <w:tcW w:w="467"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2.63</w:t>
            </w:r>
          </w:p>
        </w:tc>
        <w:tc>
          <w:tcPr>
            <w:tcW w:w="329" w:type="pct"/>
            <w:tcBorders>
              <w:tl2br w:val="nil"/>
              <w:tr2bl w:val="nil"/>
            </w:tcBorders>
            <w:vAlign w:val="center"/>
          </w:tcPr>
          <w:p>
            <w:pPr>
              <w:jc w:val="center"/>
              <w:rPr>
                <w:rFonts w:hint="eastAsia" w:ascii="Times New Roman" w:hAnsi="Times New Roman" w:eastAsia="宋体" w:cs="Times New Roman"/>
                <w:color w:val="auto"/>
                <w:sz w:val="18"/>
                <w:szCs w:val="18"/>
                <w:lang w:eastAsia="zh-CN"/>
              </w:rPr>
            </w:pPr>
            <w:r>
              <w:rPr>
                <w:rFonts w:hint="eastAsia" w:ascii="Times New Roman" w:hAnsi="Times New Roman" w:eastAsia="宋体" w:cs="Times New Roman"/>
                <w:color w:val="auto"/>
                <w:sz w:val="18"/>
                <w:szCs w:val="18"/>
                <w:lang w:val="en-US" w:eastAsia="zh-CN"/>
              </w:rPr>
              <w:t>4</w:t>
            </w:r>
          </w:p>
        </w:tc>
        <w:tc>
          <w:tcPr>
            <w:tcW w:w="469"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mg/m</w:t>
            </w:r>
            <w:r>
              <w:rPr>
                <w:rFonts w:ascii="Times New Roman" w:hAnsi="Times New Roman" w:cs="Times New Roman"/>
                <w:color w:val="auto"/>
                <w:sz w:val="18"/>
                <w:szCs w:val="18"/>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63" w:type="pct"/>
            <w:vMerge w:val="continue"/>
            <w:tcBorders>
              <w:tl2br w:val="nil"/>
              <w:tr2bl w:val="nil"/>
            </w:tcBorders>
            <w:vAlign w:val="center"/>
          </w:tcPr>
          <w:p>
            <w:pPr>
              <w:adjustRightInd w:val="0"/>
              <w:snapToGrid w:val="0"/>
              <w:ind w:left="-42" w:leftChars="-20"/>
              <w:jc w:val="center"/>
              <w:rPr>
                <w:rFonts w:ascii="Times New Roman" w:hAnsi="Times New Roman" w:cs="Times New Roman"/>
                <w:color w:val="auto"/>
                <w:sz w:val="18"/>
                <w:szCs w:val="18"/>
              </w:rPr>
            </w:pPr>
          </w:p>
        </w:tc>
        <w:tc>
          <w:tcPr>
            <w:tcW w:w="943"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苯酚</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ND</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ND</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ND</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ND</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ND</w:t>
            </w:r>
          </w:p>
        </w:tc>
        <w:tc>
          <w:tcPr>
            <w:tcW w:w="467"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ND</w:t>
            </w:r>
          </w:p>
        </w:tc>
        <w:tc>
          <w:tcPr>
            <w:tcW w:w="329"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10</w:t>
            </w:r>
          </w:p>
        </w:tc>
        <w:tc>
          <w:tcPr>
            <w:tcW w:w="469"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mg/m</w:t>
            </w:r>
            <w:r>
              <w:rPr>
                <w:rFonts w:ascii="Times New Roman" w:hAnsi="Times New Roman" w:cs="Times New Roman"/>
                <w:color w:val="auto"/>
                <w:sz w:val="18"/>
                <w:szCs w:val="18"/>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63" w:type="pct"/>
            <w:vMerge w:val="continue"/>
            <w:tcBorders>
              <w:tl2br w:val="nil"/>
              <w:tr2bl w:val="nil"/>
            </w:tcBorders>
            <w:vAlign w:val="center"/>
          </w:tcPr>
          <w:p>
            <w:pPr>
              <w:adjustRightInd w:val="0"/>
              <w:snapToGrid w:val="0"/>
              <w:ind w:left="-42" w:leftChars="-20"/>
              <w:jc w:val="center"/>
              <w:rPr>
                <w:rFonts w:ascii="Times New Roman" w:hAnsi="Times New Roman" w:cs="Times New Roman"/>
                <w:color w:val="auto"/>
                <w:sz w:val="18"/>
                <w:szCs w:val="18"/>
              </w:rPr>
            </w:pPr>
          </w:p>
        </w:tc>
        <w:tc>
          <w:tcPr>
            <w:tcW w:w="943"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*甲醇</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ND</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ND</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ND</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ND</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ND</w:t>
            </w:r>
          </w:p>
        </w:tc>
        <w:tc>
          <w:tcPr>
            <w:tcW w:w="467"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ND</w:t>
            </w:r>
          </w:p>
        </w:tc>
        <w:tc>
          <w:tcPr>
            <w:tcW w:w="329"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10</w:t>
            </w:r>
          </w:p>
        </w:tc>
        <w:tc>
          <w:tcPr>
            <w:tcW w:w="469"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mg/m</w:t>
            </w:r>
            <w:r>
              <w:rPr>
                <w:rFonts w:ascii="Times New Roman" w:hAnsi="Times New Roman" w:cs="Times New Roman"/>
                <w:color w:val="auto"/>
                <w:sz w:val="18"/>
                <w:szCs w:val="18"/>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63" w:type="pct"/>
            <w:vMerge w:val="continue"/>
            <w:tcBorders>
              <w:tl2br w:val="nil"/>
              <w:tr2bl w:val="nil"/>
            </w:tcBorders>
            <w:vAlign w:val="center"/>
          </w:tcPr>
          <w:p>
            <w:pPr>
              <w:adjustRightInd w:val="0"/>
              <w:snapToGrid w:val="0"/>
              <w:ind w:left="-42" w:leftChars="-20"/>
              <w:jc w:val="center"/>
              <w:rPr>
                <w:rFonts w:ascii="Times New Roman" w:hAnsi="Times New Roman" w:cs="Times New Roman"/>
                <w:color w:val="auto"/>
                <w:sz w:val="18"/>
                <w:szCs w:val="18"/>
              </w:rPr>
            </w:pPr>
          </w:p>
        </w:tc>
        <w:tc>
          <w:tcPr>
            <w:tcW w:w="943" w:type="pct"/>
            <w:tcBorders>
              <w:tl2br w:val="nil"/>
              <w:tr2bl w:val="nil"/>
            </w:tcBorders>
            <w:vAlign w:val="center"/>
          </w:tcPr>
          <w:p>
            <w:pPr>
              <w:jc w:val="center"/>
              <w:rPr>
                <w:rFonts w:ascii="Times New Roman" w:hAnsi="Times New Roman" w:eastAsia="宋体" w:cs="Times New Roman"/>
                <w:color w:val="auto"/>
                <w:sz w:val="18"/>
                <w:szCs w:val="18"/>
              </w:rPr>
            </w:pPr>
            <w:r>
              <w:rPr>
                <w:rFonts w:ascii="Times New Roman" w:hAnsi="Times New Roman" w:cs="Times New Roman"/>
                <w:color w:val="auto"/>
                <w:sz w:val="18"/>
                <w:szCs w:val="18"/>
              </w:rPr>
              <w:t>甲</w:t>
            </w:r>
            <w:r>
              <w:rPr>
                <w:rFonts w:hint="default" w:ascii="Times New Roman" w:hAnsi="Times New Roman" w:cs="Times New Roman"/>
                <w:color w:val="auto"/>
                <w:sz w:val="18"/>
                <w:szCs w:val="18"/>
              </w:rPr>
              <w:t>醛</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ND</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ND</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ND</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ND</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ND</w:t>
            </w:r>
          </w:p>
        </w:tc>
        <w:tc>
          <w:tcPr>
            <w:tcW w:w="467"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ND</w:t>
            </w:r>
          </w:p>
        </w:tc>
        <w:tc>
          <w:tcPr>
            <w:tcW w:w="329"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10</w:t>
            </w:r>
          </w:p>
        </w:tc>
        <w:tc>
          <w:tcPr>
            <w:tcW w:w="469"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mg/m</w:t>
            </w:r>
            <w:r>
              <w:rPr>
                <w:rFonts w:ascii="Times New Roman" w:hAnsi="Times New Roman" w:cs="Times New Roman"/>
                <w:color w:val="auto"/>
                <w:sz w:val="18"/>
                <w:szCs w:val="18"/>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63" w:type="pct"/>
            <w:tcBorders>
              <w:tl2br w:val="nil"/>
              <w:tr2bl w:val="nil"/>
            </w:tcBorders>
            <w:vAlign w:val="center"/>
          </w:tcPr>
          <w:p>
            <w:pPr>
              <w:snapToGrid w:val="0"/>
              <w:ind w:left="-42" w:leftChars="-20"/>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车间一（生产车间）外1m Q4</w:t>
            </w:r>
          </w:p>
        </w:tc>
        <w:tc>
          <w:tcPr>
            <w:tcW w:w="943"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非甲烷总烃</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3.68</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3.84</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3.69</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3.75</w:t>
            </w:r>
          </w:p>
        </w:tc>
        <w:tc>
          <w:tcPr>
            <w:tcW w:w="465"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3.83</w:t>
            </w:r>
          </w:p>
        </w:tc>
        <w:tc>
          <w:tcPr>
            <w:tcW w:w="467" w:type="pct"/>
            <w:tcBorders>
              <w:tl2br w:val="nil"/>
              <w:tr2bl w:val="nil"/>
            </w:tcBorders>
            <w:vAlign w:val="center"/>
          </w:tcPr>
          <w:p>
            <w:pPr>
              <w:widowControl/>
              <w:jc w:val="center"/>
              <w:textAlignment w:val="center"/>
              <w:rPr>
                <w:rFonts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3.91</w:t>
            </w:r>
          </w:p>
        </w:tc>
        <w:tc>
          <w:tcPr>
            <w:tcW w:w="329"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10</w:t>
            </w:r>
          </w:p>
        </w:tc>
        <w:tc>
          <w:tcPr>
            <w:tcW w:w="469"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mg/m</w:t>
            </w:r>
            <w:r>
              <w:rPr>
                <w:rFonts w:ascii="Times New Roman" w:hAnsi="Times New Roman" w:cs="Times New Roman"/>
                <w:color w:val="auto"/>
                <w:sz w:val="18"/>
                <w:szCs w:val="18"/>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463" w:type="pct"/>
            <w:tcBorders>
              <w:tl2br w:val="nil"/>
              <w:tr2bl w:val="nil"/>
            </w:tcBorders>
            <w:vAlign w:val="center"/>
          </w:tcPr>
          <w:p>
            <w:pPr>
              <w:adjustRightInd w:val="0"/>
              <w:snapToGrid w:val="0"/>
              <w:ind w:left="-42" w:leftChars="-20"/>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备注</w:t>
            </w:r>
          </w:p>
        </w:tc>
        <w:tc>
          <w:tcPr>
            <w:tcW w:w="4536" w:type="pct"/>
            <w:gridSpan w:val="9"/>
            <w:tcBorders>
              <w:tl2br w:val="nil"/>
              <w:tr2bl w:val="nil"/>
            </w:tcBorders>
            <w:vAlign w:val="center"/>
          </w:tcPr>
          <w:p>
            <w:pPr>
              <w:jc w:val="left"/>
              <w:rPr>
                <w:rFonts w:ascii="Times New Roman" w:hAnsi="Times New Roman" w:cs="Times New Roman"/>
                <w:color w:val="auto"/>
                <w:sz w:val="18"/>
                <w:szCs w:val="18"/>
              </w:rPr>
            </w:pPr>
            <w:r>
              <w:rPr>
                <w:rFonts w:hint="default" w:ascii="Times New Roman" w:hAnsi="Times New Roman" w:cs="Times New Roman"/>
                <w:color w:val="auto"/>
                <w:sz w:val="18"/>
                <w:szCs w:val="18"/>
              </w:rPr>
              <w:t>1.硫化氢、氨气、臭气浓度执行《恶臭污染物排放标准》（GB14554-93）标准限值；</w:t>
            </w:r>
          </w:p>
          <w:p>
            <w:pPr>
              <w:jc w:val="left"/>
              <w:rPr>
                <w:rFonts w:ascii="Times New Roman" w:hAnsi="Times New Roman" w:cs="Times New Roman"/>
                <w:color w:val="auto"/>
                <w:sz w:val="18"/>
                <w:szCs w:val="18"/>
              </w:rPr>
            </w:pPr>
            <w:r>
              <w:rPr>
                <w:rFonts w:hint="default" w:ascii="Times New Roman" w:hAnsi="Times New Roman" w:cs="Times New Roman"/>
                <w:color w:val="auto"/>
                <w:sz w:val="18"/>
                <w:szCs w:val="18"/>
              </w:rPr>
              <w:t>2.其他执行</w:t>
            </w:r>
            <w:r>
              <w:rPr>
                <w:rFonts w:hint="eastAsia" w:ascii="Times New Roman" w:hAnsi="Times New Roman" w:cs="Times New Roman"/>
                <w:color w:val="auto"/>
                <w:sz w:val="18"/>
                <w:szCs w:val="18"/>
                <w:lang w:val="en-US" w:eastAsia="zh-CN"/>
              </w:rPr>
              <w:t>《合成树脂工业污染物排放标准》（GB31572-2015）中限值</w:t>
            </w:r>
            <w:r>
              <w:rPr>
                <w:rFonts w:hint="default" w:ascii="Times New Roman" w:hAnsi="Times New Roman" w:cs="Times New Roman"/>
                <w:color w:val="auto"/>
                <w:sz w:val="18"/>
                <w:szCs w:val="18"/>
              </w:rPr>
              <w:t>。</w:t>
            </w:r>
          </w:p>
        </w:tc>
      </w:tr>
    </w:tbl>
    <w:p>
      <w:pPr>
        <w:spacing w:line="360" w:lineRule="auto"/>
        <w:ind w:firstLine="480" w:firstLineChars="200"/>
        <w:rPr>
          <w:rFonts w:hint="eastAsia" w:ascii="Times New Roman" w:hAnsi="Times New Roman" w:cs="Times New Roman" w:eastAsiaTheme="minorEastAsia"/>
          <w:color w:val="auto"/>
          <w:sz w:val="24"/>
          <w:szCs w:val="24"/>
          <w:lang w:val="en-US" w:eastAsia="zh-CN"/>
        </w:rPr>
      </w:pPr>
      <w:bookmarkStart w:id="106" w:name="_Toc5373"/>
      <w:r>
        <w:rPr>
          <w:rFonts w:hint="default" w:ascii="Times New Roman" w:hAnsi="Times New Roman" w:cs="Times New Roman"/>
          <w:color w:val="auto"/>
          <w:sz w:val="24"/>
          <w:szCs w:val="24"/>
        </w:rPr>
        <w:t>根据现状监测值可知，</w:t>
      </w:r>
      <w:r>
        <w:rPr>
          <w:rFonts w:ascii="Times New Roman" w:hAnsi="Times New Roman" w:cs="Times New Roman"/>
          <w:color w:val="auto"/>
          <w:sz w:val="24"/>
          <w:szCs w:val="24"/>
        </w:rPr>
        <w:t>本项目</w:t>
      </w:r>
      <w:r>
        <w:rPr>
          <w:rFonts w:hint="default" w:ascii="Times New Roman" w:hAnsi="Times New Roman" w:cs="Times New Roman"/>
          <w:color w:val="auto"/>
          <w:sz w:val="24"/>
          <w:szCs w:val="24"/>
        </w:rPr>
        <w:t>有组织工艺废气中苯酚、甲醛、氨气满足《合成树脂工业污染物排放标准》（GB31572-2015）表5大气污染物特别排放限值；甲醇、TVOC满足《工业企业挥发性有机物排放控制标准》（DB/524-20</w:t>
      </w:r>
      <w:r>
        <w:rPr>
          <w:rFonts w:hint="eastAsia" w:ascii="Times New Roman" w:hAnsi="Times New Roman" w:cs="Times New Roman"/>
          <w:color w:val="auto"/>
          <w:sz w:val="24"/>
          <w:szCs w:val="24"/>
          <w:lang w:eastAsia="zh-CN"/>
        </w:rPr>
        <w:t>2</w:t>
      </w:r>
      <w:r>
        <w:rPr>
          <w:rFonts w:hint="eastAsia" w:ascii="Times New Roman" w:hAnsi="Times New Roman" w:cs="Times New Roman"/>
          <w:color w:val="auto"/>
          <w:sz w:val="24"/>
          <w:szCs w:val="24"/>
          <w:lang w:val="en-US" w:eastAsia="zh-CN"/>
        </w:rPr>
        <w:t>0</w:t>
      </w:r>
      <w:r>
        <w:rPr>
          <w:rFonts w:hint="default" w:ascii="Times New Roman" w:hAnsi="Times New Roman" w:cs="Times New Roman"/>
          <w:color w:val="auto"/>
          <w:sz w:val="24"/>
          <w:szCs w:val="24"/>
        </w:rPr>
        <w:t>）</w:t>
      </w:r>
      <w:r>
        <w:rPr>
          <w:rFonts w:hint="eastAsia" w:ascii="Times New Roman" w:hAnsi="Times New Roman" w:cs="Times New Roman"/>
          <w:color w:val="auto"/>
          <w:sz w:val="24"/>
          <w:szCs w:val="24"/>
          <w:lang w:val="en-US" w:eastAsia="zh-CN"/>
        </w:rPr>
        <w:t>其他行业</w:t>
      </w:r>
      <w:r>
        <w:rPr>
          <w:rFonts w:hint="default" w:ascii="Times New Roman" w:hAnsi="Times New Roman" w:cs="Times New Roman"/>
          <w:color w:val="auto"/>
          <w:sz w:val="24"/>
          <w:szCs w:val="24"/>
        </w:rPr>
        <w:t>标准限值。有组织污水处理站废气中TVOC满足《工业企业挥发性有机物排放控制标准》（DB/524-20</w:t>
      </w:r>
      <w:r>
        <w:rPr>
          <w:rFonts w:hint="eastAsia" w:ascii="Times New Roman" w:hAnsi="Times New Roman" w:cs="Times New Roman"/>
          <w:color w:val="auto"/>
          <w:sz w:val="24"/>
          <w:szCs w:val="24"/>
          <w:lang w:val="en-US" w:eastAsia="zh-CN"/>
        </w:rPr>
        <w:t>20</w:t>
      </w:r>
      <w:r>
        <w:rPr>
          <w:rFonts w:hint="default" w:ascii="Times New Roman" w:hAnsi="Times New Roman" w:cs="Times New Roman"/>
          <w:color w:val="auto"/>
          <w:sz w:val="24"/>
          <w:szCs w:val="24"/>
        </w:rPr>
        <w:t>）标准限值；氨气、硫化氢、臭气浓度满足《恶臭污染物排放标准》（GB14554-93）标准限值</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食堂油烟排放浓度符合《饮食业油烟排放标准》GB18483-2001限值</w:t>
      </w:r>
      <w:r>
        <w:rPr>
          <w:rFonts w:hint="default" w:ascii="Times New Roman" w:hAnsi="Times New Roman" w:cs="Times New Roman"/>
          <w:color w:val="auto"/>
          <w:sz w:val="24"/>
          <w:szCs w:val="24"/>
        </w:rPr>
        <w:t>。</w:t>
      </w:r>
      <w:r>
        <w:rPr>
          <w:rFonts w:hint="eastAsia" w:ascii="Times New Roman" w:hAnsi="Times New Roman" w:cs="Times New Roman"/>
          <w:color w:val="auto"/>
          <w:sz w:val="24"/>
          <w:szCs w:val="24"/>
          <w:lang w:val="en-US" w:eastAsia="zh-CN"/>
        </w:rPr>
        <w:t>实验室废气氯化氢满足《大气污染物综合排放标准》GB16297-1996限值，VOC</w:t>
      </w:r>
      <w:r>
        <w:rPr>
          <w:rFonts w:hint="default" w:ascii="Times New Roman" w:hAnsi="Times New Roman" w:cs="Times New Roman"/>
          <w:color w:val="auto"/>
          <w:sz w:val="24"/>
          <w:szCs w:val="24"/>
        </w:rPr>
        <w:t>满足《工业企业挥发性有机物排放控制标准》（DB/524-20</w:t>
      </w:r>
      <w:r>
        <w:rPr>
          <w:rFonts w:hint="eastAsia" w:ascii="Times New Roman" w:hAnsi="Times New Roman" w:cs="Times New Roman"/>
          <w:color w:val="auto"/>
          <w:sz w:val="24"/>
          <w:szCs w:val="24"/>
          <w:lang w:val="en-US" w:eastAsia="zh-CN"/>
        </w:rPr>
        <w:t>20</w:t>
      </w:r>
      <w:r>
        <w:rPr>
          <w:rFonts w:hint="default" w:ascii="Times New Roman" w:hAnsi="Times New Roman" w:cs="Times New Roman"/>
          <w:color w:val="auto"/>
          <w:sz w:val="24"/>
          <w:szCs w:val="24"/>
        </w:rPr>
        <w:t>）标准限值</w:t>
      </w:r>
      <w:r>
        <w:rPr>
          <w:rFonts w:hint="eastAsia" w:ascii="Times New Roman" w:hAnsi="Times New Roman" w:cs="Times New Roman"/>
          <w:color w:val="auto"/>
          <w:sz w:val="24"/>
          <w:szCs w:val="24"/>
          <w:lang w:val="en-US" w:eastAsia="zh-CN"/>
        </w:rPr>
        <w:t>.</w:t>
      </w:r>
    </w:p>
    <w:p>
      <w:pPr>
        <w:spacing w:line="360" w:lineRule="auto"/>
        <w:ind w:firstLine="480" w:firstLineChars="200"/>
        <w:rPr>
          <w:rFonts w:ascii="Times New Roman" w:hAnsi="Times New Roman" w:cs="Times New Roman"/>
          <w:color w:val="auto"/>
          <w:sz w:val="24"/>
          <w:szCs w:val="24"/>
        </w:rPr>
      </w:pPr>
      <w:r>
        <w:rPr>
          <w:rFonts w:hint="default" w:ascii="Times New Roman" w:hAnsi="Times New Roman" w:cs="Times New Roman"/>
          <w:color w:val="auto"/>
          <w:sz w:val="24"/>
          <w:szCs w:val="24"/>
        </w:rPr>
        <w:t>厂界四个</w:t>
      </w:r>
      <w:r>
        <w:rPr>
          <w:rFonts w:ascii="Times New Roman" w:hAnsi="Times New Roman" w:cs="Times New Roman"/>
          <w:color w:val="auto"/>
          <w:sz w:val="24"/>
          <w:szCs w:val="24"/>
        </w:rPr>
        <w:t>无组织</w:t>
      </w:r>
      <w:r>
        <w:rPr>
          <w:rFonts w:hint="default" w:ascii="Times New Roman" w:hAnsi="Times New Roman" w:cs="Times New Roman"/>
          <w:color w:val="auto"/>
          <w:sz w:val="24"/>
          <w:szCs w:val="24"/>
        </w:rPr>
        <w:t>硫化氢、氨气、臭气浓度满足《恶臭污染物排放标准》（GB14554-93）标准限值</w:t>
      </w:r>
      <w:r>
        <w:rPr>
          <w:rFonts w:hint="default" w:ascii="Times New Roman" w:hAnsi="Times New Roman" w:cs="Times New Roman"/>
          <w:color w:val="auto"/>
          <w:kern w:val="0"/>
          <w:sz w:val="24"/>
          <w:szCs w:val="24"/>
        </w:rPr>
        <w:t>，非甲烷总烃、苯酚、甲醇、甲醛满足</w:t>
      </w:r>
      <w:r>
        <w:rPr>
          <w:rFonts w:hint="eastAsia" w:ascii="Times New Roman" w:hAnsi="Times New Roman" w:cs="Times New Roman"/>
          <w:color w:val="auto"/>
          <w:sz w:val="24"/>
          <w:szCs w:val="24"/>
          <w:lang w:val="en-US" w:eastAsia="zh-CN"/>
        </w:rPr>
        <w:t>《合成树脂工业污染物排放标准》（GB31572-2015）。</w:t>
      </w:r>
    </w:p>
    <w:bookmarkEnd w:id="106"/>
    <w:p>
      <w:pPr>
        <w:spacing w:line="360" w:lineRule="auto"/>
        <w:outlineLvl w:val="1"/>
        <w:rPr>
          <w:rFonts w:ascii="Times New Roman" w:hAnsi="Times New Roman" w:cs="Times New Roman"/>
          <w:b/>
          <w:color w:val="auto"/>
          <w:sz w:val="30"/>
          <w:szCs w:val="30"/>
        </w:rPr>
      </w:pPr>
      <w:bookmarkStart w:id="107" w:name="_Toc85120909"/>
      <w:bookmarkStart w:id="108" w:name="_Toc10997"/>
      <w:r>
        <w:rPr>
          <w:rFonts w:hint="default" w:ascii="Times New Roman" w:hAnsi="Times New Roman" w:cs="Times New Roman"/>
          <w:b/>
          <w:color w:val="auto"/>
          <w:sz w:val="30"/>
          <w:szCs w:val="30"/>
        </w:rPr>
        <w:t>9.4  厂界噪声监测结果及评价</w:t>
      </w:r>
      <w:bookmarkEnd w:id="107"/>
      <w:bookmarkEnd w:id="108"/>
    </w:p>
    <w:p>
      <w:pPr>
        <w:spacing w:line="360" w:lineRule="auto"/>
        <w:ind w:firstLine="480" w:firstLineChars="200"/>
        <w:rPr>
          <w:rFonts w:ascii="Times New Roman" w:hAnsi="Times New Roman" w:cs="Times New Roman"/>
          <w:b/>
          <w:bCs/>
          <w:color w:val="auto"/>
          <w:sz w:val="24"/>
          <w:szCs w:val="24"/>
        </w:rPr>
      </w:pPr>
      <w:r>
        <w:rPr>
          <w:rFonts w:hint="default" w:ascii="Times New Roman" w:hAnsi="Times New Roman" w:cs="Times New Roman"/>
          <w:color w:val="auto"/>
          <w:sz w:val="24"/>
          <w:szCs w:val="24"/>
        </w:rPr>
        <w:t>厂界噪声监测结果见表9.4-1。</w:t>
      </w:r>
    </w:p>
    <w:p>
      <w:pPr>
        <w:tabs>
          <w:tab w:val="left" w:pos="2685"/>
          <w:tab w:val="center" w:pos="4153"/>
        </w:tabs>
        <w:jc w:val="left"/>
        <w:rPr>
          <w:rFonts w:ascii="Times New Roman" w:hAnsi="Times New Roman" w:cs="Times New Roman"/>
          <w:b/>
          <w:bCs/>
          <w:color w:val="auto"/>
          <w:szCs w:val="21"/>
        </w:rPr>
      </w:pPr>
      <w:r>
        <w:rPr>
          <w:rFonts w:ascii="Times New Roman" w:hAnsi="Times New Roman" w:cs="Times New Roman"/>
          <w:b/>
          <w:bCs/>
          <w:color w:val="auto"/>
          <w:szCs w:val="21"/>
        </w:rPr>
        <w:tab/>
      </w:r>
      <w:r>
        <w:rPr>
          <w:rFonts w:ascii="Times New Roman" w:hAnsi="Times New Roman" w:cs="Times New Roman"/>
          <w:b/>
          <w:bCs/>
          <w:color w:val="auto"/>
          <w:szCs w:val="21"/>
        </w:rPr>
        <w:tab/>
      </w:r>
      <w:r>
        <w:rPr>
          <w:rFonts w:ascii="Times New Roman" w:hAnsi="Times New Roman" w:cs="Times New Roman"/>
          <w:b/>
          <w:bCs/>
          <w:color w:val="auto"/>
          <w:szCs w:val="21"/>
        </w:rPr>
        <w:t>表</w:t>
      </w:r>
      <w:r>
        <w:rPr>
          <w:rFonts w:hint="default" w:ascii="Times New Roman" w:hAnsi="Times New Roman" w:cs="Times New Roman"/>
          <w:b/>
          <w:bCs/>
          <w:color w:val="auto"/>
          <w:szCs w:val="21"/>
        </w:rPr>
        <w:t>9</w:t>
      </w:r>
      <w:r>
        <w:rPr>
          <w:rFonts w:ascii="Times New Roman" w:hAnsi="Times New Roman" w:cs="Times New Roman"/>
          <w:b/>
          <w:bCs/>
          <w:color w:val="auto"/>
          <w:szCs w:val="21"/>
        </w:rPr>
        <w:t>.4-1  厂界噪声监测结果</w:t>
      </w:r>
    </w:p>
    <w:tbl>
      <w:tblPr>
        <w:tblStyle w:val="28"/>
        <w:tblW w:w="852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780"/>
        <w:gridCol w:w="1888"/>
        <w:gridCol w:w="2427"/>
        <w:gridCol w:w="242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1780" w:type="dxa"/>
            <w:vMerge w:val="restart"/>
            <w:tcBorders>
              <w:tl2br w:val="nil"/>
              <w:tr2bl w:val="nil"/>
            </w:tcBorders>
            <w:shd w:val="clear" w:color="auto" w:fill="auto"/>
            <w:vAlign w:val="center"/>
          </w:tcPr>
          <w:p>
            <w:pPr>
              <w:widowControl/>
              <w:spacing w:line="240" w:lineRule="exact"/>
              <w:jc w:val="center"/>
              <w:rPr>
                <w:rFonts w:ascii="Times New Roman" w:hAnsi="Times New Roman" w:eastAsia="宋体" w:cs="Times New Roman"/>
                <w:b/>
                <w:color w:val="auto"/>
                <w:szCs w:val="21"/>
              </w:rPr>
            </w:pPr>
            <w:r>
              <w:rPr>
                <w:rFonts w:ascii="Times New Roman" w:hAnsi="Times New Roman" w:eastAsia="宋体" w:cs="Times New Roman"/>
                <w:b/>
                <w:color w:val="auto"/>
                <w:spacing w:val="-5"/>
                <w:kern w:val="0"/>
                <w:szCs w:val="21"/>
              </w:rPr>
              <w:t>采样点位</w:t>
            </w:r>
          </w:p>
        </w:tc>
        <w:tc>
          <w:tcPr>
            <w:tcW w:w="1888" w:type="dxa"/>
            <w:vMerge w:val="restart"/>
            <w:tcBorders>
              <w:tl2br w:val="nil"/>
              <w:tr2bl w:val="nil"/>
            </w:tcBorders>
            <w:shd w:val="clear" w:color="auto" w:fill="auto"/>
            <w:vAlign w:val="center"/>
          </w:tcPr>
          <w:p>
            <w:pPr>
              <w:widowControl/>
              <w:spacing w:line="240" w:lineRule="exact"/>
              <w:jc w:val="center"/>
              <w:rPr>
                <w:rFonts w:ascii="Times New Roman" w:hAnsi="Times New Roman" w:eastAsia="宋体" w:cs="Times New Roman"/>
                <w:b/>
                <w:color w:val="auto"/>
                <w:szCs w:val="21"/>
              </w:rPr>
            </w:pPr>
            <w:r>
              <w:rPr>
                <w:rFonts w:ascii="Times New Roman" w:hAnsi="Times New Roman" w:eastAsia="宋体" w:cs="Times New Roman"/>
                <w:b/>
                <w:color w:val="auto"/>
                <w:spacing w:val="-5"/>
                <w:kern w:val="0"/>
                <w:szCs w:val="21"/>
              </w:rPr>
              <w:t>采样日期</w:t>
            </w:r>
          </w:p>
        </w:tc>
        <w:tc>
          <w:tcPr>
            <w:tcW w:w="4854" w:type="dxa"/>
            <w:gridSpan w:val="2"/>
            <w:tcBorders>
              <w:tl2br w:val="nil"/>
              <w:tr2bl w:val="nil"/>
            </w:tcBorders>
            <w:shd w:val="clear" w:color="auto" w:fill="auto"/>
            <w:vAlign w:val="center"/>
          </w:tcPr>
          <w:p>
            <w:pPr>
              <w:widowControl/>
              <w:spacing w:line="240" w:lineRule="exact"/>
              <w:jc w:val="center"/>
              <w:rPr>
                <w:rFonts w:ascii="Times New Roman" w:hAnsi="Times New Roman" w:eastAsia="宋体" w:cs="Times New Roman"/>
                <w:b/>
                <w:color w:val="auto"/>
                <w:szCs w:val="21"/>
              </w:rPr>
            </w:pPr>
            <w:r>
              <w:rPr>
                <w:rFonts w:ascii="Times New Roman" w:hAnsi="Times New Roman" w:eastAsia="宋体" w:cs="Times New Roman"/>
                <w:b/>
                <w:color w:val="auto"/>
                <w:kern w:val="0"/>
                <w:szCs w:val="21"/>
              </w:rPr>
              <w:t>检测结果</w:t>
            </w:r>
            <w:r>
              <w:rPr>
                <w:rFonts w:ascii="Times New Roman" w:hAnsi="Times New Roman" w:eastAsia="宋体" w:cs="Times New Roman"/>
                <w:b/>
                <w:color w:val="auto"/>
                <w:spacing w:val="-5"/>
                <w:kern w:val="0"/>
                <w:szCs w:val="21"/>
              </w:rPr>
              <w:t>Leq A（dB）</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1780" w:type="dxa"/>
            <w:vMerge w:val="continue"/>
            <w:tcBorders>
              <w:tl2br w:val="nil"/>
              <w:tr2bl w:val="nil"/>
            </w:tcBorders>
            <w:shd w:val="clear" w:color="auto" w:fill="auto"/>
            <w:vAlign w:val="center"/>
          </w:tcPr>
          <w:p>
            <w:pPr>
              <w:spacing w:line="240" w:lineRule="exact"/>
              <w:ind w:firstLine="420"/>
              <w:jc w:val="center"/>
              <w:rPr>
                <w:rFonts w:ascii="Times New Roman" w:hAnsi="Times New Roman" w:eastAsia="宋体" w:cs="Times New Roman"/>
                <w:color w:val="auto"/>
                <w:szCs w:val="21"/>
              </w:rPr>
            </w:pPr>
          </w:p>
        </w:tc>
        <w:tc>
          <w:tcPr>
            <w:tcW w:w="1888" w:type="dxa"/>
            <w:vMerge w:val="continue"/>
            <w:tcBorders>
              <w:tl2br w:val="nil"/>
              <w:tr2bl w:val="nil"/>
            </w:tcBorders>
            <w:shd w:val="clear" w:color="auto" w:fill="auto"/>
            <w:vAlign w:val="center"/>
          </w:tcPr>
          <w:p>
            <w:pPr>
              <w:spacing w:line="240" w:lineRule="exact"/>
              <w:ind w:firstLine="420"/>
              <w:jc w:val="center"/>
              <w:rPr>
                <w:rFonts w:ascii="Times New Roman" w:hAnsi="Times New Roman" w:eastAsia="宋体" w:cs="Times New Roman"/>
                <w:color w:val="auto"/>
                <w:szCs w:val="21"/>
              </w:rPr>
            </w:pPr>
          </w:p>
        </w:tc>
        <w:tc>
          <w:tcPr>
            <w:tcW w:w="2427" w:type="dxa"/>
            <w:tcBorders>
              <w:tl2br w:val="nil"/>
              <w:tr2bl w:val="nil"/>
            </w:tcBorders>
            <w:shd w:val="clear" w:color="auto" w:fill="auto"/>
            <w:vAlign w:val="center"/>
          </w:tcPr>
          <w:p>
            <w:pPr>
              <w:widowControl/>
              <w:spacing w:line="240" w:lineRule="exact"/>
              <w:jc w:val="center"/>
              <w:rPr>
                <w:rFonts w:ascii="Times New Roman" w:hAnsi="Times New Roman" w:eastAsia="宋体" w:cs="Times New Roman"/>
                <w:b/>
                <w:color w:val="auto"/>
                <w:szCs w:val="21"/>
              </w:rPr>
            </w:pPr>
            <w:r>
              <w:rPr>
                <w:rFonts w:ascii="Times New Roman" w:hAnsi="Times New Roman" w:eastAsia="宋体" w:cs="Times New Roman"/>
                <w:b/>
                <w:color w:val="auto"/>
                <w:spacing w:val="-5"/>
                <w:kern w:val="0"/>
                <w:szCs w:val="21"/>
              </w:rPr>
              <w:t>昼间</w:t>
            </w:r>
          </w:p>
        </w:tc>
        <w:tc>
          <w:tcPr>
            <w:tcW w:w="2427" w:type="dxa"/>
            <w:tcBorders>
              <w:tl2br w:val="nil"/>
              <w:tr2bl w:val="nil"/>
            </w:tcBorders>
            <w:shd w:val="clear" w:color="auto" w:fill="auto"/>
            <w:vAlign w:val="center"/>
          </w:tcPr>
          <w:p>
            <w:pPr>
              <w:widowControl/>
              <w:spacing w:line="240" w:lineRule="exact"/>
              <w:jc w:val="center"/>
              <w:rPr>
                <w:rFonts w:ascii="Times New Roman" w:hAnsi="Times New Roman" w:eastAsia="宋体" w:cs="Times New Roman"/>
                <w:b/>
                <w:color w:val="auto"/>
                <w:szCs w:val="21"/>
              </w:rPr>
            </w:pPr>
            <w:r>
              <w:rPr>
                <w:rFonts w:ascii="Times New Roman" w:hAnsi="Times New Roman" w:eastAsia="宋体" w:cs="Times New Roman"/>
                <w:b/>
                <w:color w:val="auto"/>
                <w:spacing w:val="-5"/>
                <w:kern w:val="0"/>
                <w:szCs w:val="21"/>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1780" w:type="dxa"/>
            <w:vMerge w:val="restart"/>
            <w:tcBorders>
              <w:tl2br w:val="nil"/>
              <w:tr2bl w:val="nil"/>
            </w:tcBorders>
            <w:shd w:val="clear" w:color="auto" w:fill="auto"/>
            <w:vAlign w:val="center"/>
          </w:tcPr>
          <w:p>
            <w:pPr>
              <w:widowControl/>
              <w:spacing w:line="240" w:lineRule="exact"/>
              <w:jc w:val="center"/>
              <w:rPr>
                <w:rFonts w:ascii="Times New Roman" w:hAnsi="Times New Roman" w:eastAsia="宋体" w:cs="Times New Roman"/>
                <w:color w:val="auto"/>
                <w:szCs w:val="21"/>
              </w:rPr>
            </w:pPr>
            <w:r>
              <w:rPr>
                <w:rFonts w:ascii="Times New Roman" w:hAnsi="Times New Roman" w:eastAsia="宋体" w:cs="Times New Roman"/>
                <w:color w:val="auto"/>
                <w:spacing w:val="-5"/>
                <w:kern w:val="0"/>
                <w:szCs w:val="21"/>
              </w:rPr>
              <w:t>厂界东面外一米（N1）</w:t>
            </w:r>
          </w:p>
        </w:tc>
        <w:tc>
          <w:tcPr>
            <w:tcW w:w="1888" w:type="dxa"/>
            <w:tcBorders>
              <w:tl2br w:val="nil"/>
              <w:tr2bl w:val="nil"/>
            </w:tcBorders>
            <w:shd w:val="clear" w:color="auto" w:fill="auto"/>
            <w:vAlign w:val="center"/>
          </w:tcPr>
          <w:p>
            <w:pPr>
              <w:jc w:val="center"/>
              <w:rPr>
                <w:rFonts w:ascii="Times New Roman" w:hAnsi="Times New Roman" w:eastAsia="宋体" w:cs="Times New Roman"/>
                <w:color w:val="auto"/>
                <w:szCs w:val="21"/>
              </w:rPr>
            </w:pPr>
            <w:r>
              <w:rPr>
                <w:rFonts w:hint="default" w:ascii="Times New Roman" w:hAnsi="Times New Roman" w:eastAsia="宋体" w:cs="Times New Roman"/>
                <w:color w:val="auto"/>
              </w:rPr>
              <w:t>5</w:t>
            </w:r>
            <w:r>
              <w:rPr>
                <w:rFonts w:ascii="Times New Roman" w:hAnsi="Times New Roman" w:eastAsia="宋体" w:cs="Times New Roman"/>
                <w:color w:val="auto"/>
              </w:rPr>
              <w:t>月</w:t>
            </w:r>
            <w:r>
              <w:rPr>
                <w:rFonts w:hint="default" w:ascii="Times New Roman" w:hAnsi="Times New Roman" w:eastAsia="宋体" w:cs="Times New Roman"/>
                <w:color w:val="auto"/>
              </w:rPr>
              <w:t>28</w:t>
            </w:r>
            <w:r>
              <w:rPr>
                <w:rFonts w:ascii="Times New Roman" w:hAnsi="Times New Roman" w:eastAsia="宋体" w:cs="Times New Roman"/>
                <w:color w:val="auto"/>
              </w:rPr>
              <w:t>日</w:t>
            </w:r>
          </w:p>
        </w:tc>
        <w:tc>
          <w:tcPr>
            <w:tcW w:w="2427" w:type="dxa"/>
            <w:tcBorders>
              <w:tl2br w:val="nil"/>
              <w:tr2bl w:val="nil"/>
            </w:tcBorders>
            <w:shd w:val="clear" w:color="auto" w:fill="auto"/>
            <w:vAlign w:val="center"/>
          </w:tcPr>
          <w:p>
            <w:pPr>
              <w:widowControl/>
              <w:snapToGrid w:val="0"/>
              <w:spacing w:line="240" w:lineRule="exact"/>
              <w:jc w:val="center"/>
              <w:rPr>
                <w:rFonts w:ascii="Times New Roman" w:hAnsi="Times New Roman" w:eastAsia="宋体" w:cs="Times New Roman"/>
                <w:color w:val="auto"/>
                <w:szCs w:val="21"/>
              </w:rPr>
            </w:pPr>
            <w:r>
              <w:rPr>
                <w:rFonts w:hint="default" w:ascii="Times New Roman" w:hAnsi="Times New Roman" w:eastAsia="宋体" w:cs="Times New Roman"/>
                <w:color w:val="auto"/>
                <w:sz w:val="18"/>
                <w:szCs w:val="18"/>
              </w:rPr>
              <w:t>61.5</w:t>
            </w:r>
          </w:p>
        </w:tc>
        <w:tc>
          <w:tcPr>
            <w:tcW w:w="2427" w:type="dxa"/>
            <w:tcBorders>
              <w:tl2br w:val="nil"/>
              <w:tr2bl w:val="nil"/>
            </w:tcBorders>
            <w:shd w:val="clear" w:color="auto" w:fill="auto"/>
            <w:vAlign w:val="center"/>
          </w:tcPr>
          <w:p>
            <w:pPr>
              <w:widowControl/>
              <w:snapToGrid w:val="0"/>
              <w:spacing w:line="240" w:lineRule="exact"/>
              <w:jc w:val="center"/>
              <w:rPr>
                <w:rFonts w:ascii="Times New Roman" w:hAnsi="Times New Roman" w:eastAsia="宋体" w:cs="Times New Roman"/>
                <w:color w:val="auto"/>
                <w:szCs w:val="21"/>
              </w:rPr>
            </w:pPr>
            <w:r>
              <w:rPr>
                <w:rFonts w:hint="default" w:ascii="Times New Roman" w:hAnsi="Times New Roman" w:eastAsia="宋体" w:cs="Times New Roman"/>
                <w:color w:val="auto"/>
                <w:sz w:val="18"/>
                <w:szCs w:val="18"/>
              </w:rPr>
              <w:t>51.3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0" w:type="dxa"/>
            <w:vMerge w:val="continue"/>
            <w:tcBorders>
              <w:tl2br w:val="nil"/>
              <w:tr2bl w:val="nil"/>
            </w:tcBorders>
            <w:shd w:val="clear" w:color="auto" w:fill="auto"/>
            <w:vAlign w:val="center"/>
          </w:tcPr>
          <w:p>
            <w:pPr>
              <w:spacing w:line="240" w:lineRule="exact"/>
              <w:ind w:firstLine="420"/>
              <w:jc w:val="center"/>
              <w:rPr>
                <w:rFonts w:ascii="Times New Roman" w:hAnsi="Times New Roman" w:eastAsia="宋体" w:cs="Times New Roman"/>
                <w:color w:val="auto"/>
                <w:szCs w:val="21"/>
              </w:rPr>
            </w:pPr>
          </w:p>
        </w:tc>
        <w:tc>
          <w:tcPr>
            <w:tcW w:w="1888" w:type="dxa"/>
            <w:tcBorders>
              <w:tl2br w:val="nil"/>
              <w:tr2bl w:val="nil"/>
            </w:tcBorders>
            <w:shd w:val="clear" w:color="auto" w:fill="auto"/>
            <w:vAlign w:val="center"/>
          </w:tcPr>
          <w:p>
            <w:pPr>
              <w:jc w:val="center"/>
              <w:rPr>
                <w:rFonts w:ascii="Times New Roman" w:hAnsi="Times New Roman" w:eastAsia="宋体" w:cs="Times New Roman"/>
                <w:color w:val="auto"/>
              </w:rPr>
            </w:pPr>
            <w:r>
              <w:rPr>
                <w:rFonts w:hint="default" w:ascii="Times New Roman" w:hAnsi="Times New Roman" w:eastAsia="宋体" w:cs="Times New Roman"/>
                <w:color w:val="auto"/>
              </w:rPr>
              <w:t>5</w:t>
            </w:r>
            <w:r>
              <w:rPr>
                <w:rFonts w:ascii="Times New Roman" w:hAnsi="Times New Roman" w:eastAsia="宋体" w:cs="Times New Roman"/>
                <w:color w:val="auto"/>
              </w:rPr>
              <w:t>月</w:t>
            </w:r>
            <w:r>
              <w:rPr>
                <w:rFonts w:hint="default" w:ascii="Times New Roman" w:hAnsi="Times New Roman" w:eastAsia="宋体" w:cs="Times New Roman"/>
                <w:color w:val="auto"/>
              </w:rPr>
              <w:t>29</w:t>
            </w:r>
            <w:r>
              <w:rPr>
                <w:rFonts w:ascii="Times New Roman" w:hAnsi="Times New Roman" w:eastAsia="宋体" w:cs="Times New Roman"/>
                <w:color w:val="auto"/>
              </w:rPr>
              <w:t>日</w:t>
            </w:r>
          </w:p>
        </w:tc>
        <w:tc>
          <w:tcPr>
            <w:tcW w:w="2427" w:type="dxa"/>
            <w:tcBorders>
              <w:tl2br w:val="nil"/>
              <w:tr2bl w:val="nil"/>
            </w:tcBorders>
            <w:shd w:val="clear" w:color="auto" w:fill="auto"/>
            <w:vAlign w:val="center"/>
          </w:tcPr>
          <w:p>
            <w:pPr>
              <w:widowControl/>
              <w:snapToGrid w:val="0"/>
              <w:spacing w:line="240" w:lineRule="exact"/>
              <w:jc w:val="center"/>
              <w:rPr>
                <w:rFonts w:ascii="Times New Roman" w:hAnsi="Times New Roman" w:eastAsia="宋体" w:cs="Times New Roman"/>
                <w:color w:val="auto"/>
                <w:szCs w:val="21"/>
              </w:rPr>
            </w:pPr>
            <w:r>
              <w:rPr>
                <w:rFonts w:hint="default" w:ascii="Times New Roman" w:hAnsi="Times New Roman" w:eastAsia="宋体" w:cs="Times New Roman"/>
                <w:color w:val="auto"/>
                <w:sz w:val="18"/>
                <w:szCs w:val="18"/>
              </w:rPr>
              <w:t>61.7</w:t>
            </w:r>
          </w:p>
        </w:tc>
        <w:tc>
          <w:tcPr>
            <w:tcW w:w="2427" w:type="dxa"/>
            <w:tcBorders>
              <w:tl2br w:val="nil"/>
              <w:tr2bl w:val="nil"/>
            </w:tcBorders>
            <w:shd w:val="clear" w:color="auto" w:fill="auto"/>
            <w:vAlign w:val="center"/>
          </w:tcPr>
          <w:p>
            <w:pPr>
              <w:widowControl/>
              <w:snapToGrid w:val="0"/>
              <w:spacing w:line="240" w:lineRule="exact"/>
              <w:jc w:val="center"/>
              <w:rPr>
                <w:rFonts w:ascii="Times New Roman" w:hAnsi="Times New Roman" w:eastAsia="宋体" w:cs="Times New Roman"/>
                <w:color w:val="auto"/>
                <w:szCs w:val="21"/>
              </w:rPr>
            </w:pPr>
            <w:r>
              <w:rPr>
                <w:rFonts w:hint="default" w:ascii="Times New Roman" w:hAnsi="Times New Roman" w:eastAsia="宋体" w:cs="Times New Roman"/>
                <w:color w:val="auto"/>
                <w:sz w:val="18"/>
                <w:szCs w:val="18"/>
              </w:rPr>
              <w:t>53.4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0" w:type="dxa"/>
            <w:vMerge w:val="restart"/>
            <w:tcBorders>
              <w:tl2br w:val="nil"/>
              <w:tr2bl w:val="nil"/>
            </w:tcBorders>
            <w:shd w:val="clear" w:color="auto" w:fill="auto"/>
            <w:vAlign w:val="center"/>
          </w:tcPr>
          <w:p>
            <w:pPr>
              <w:widowControl/>
              <w:tabs>
                <w:tab w:val="left" w:pos="268"/>
                <w:tab w:val="center" w:pos="1448"/>
              </w:tabs>
              <w:spacing w:line="240" w:lineRule="exact"/>
              <w:jc w:val="center"/>
              <w:rPr>
                <w:rFonts w:ascii="Times New Roman" w:hAnsi="Times New Roman" w:eastAsia="宋体" w:cs="Times New Roman"/>
                <w:color w:val="auto"/>
                <w:szCs w:val="21"/>
              </w:rPr>
            </w:pPr>
            <w:r>
              <w:rPr>
                <w:rFonts w:ascii="Times New Roman" w:hAnsi="Times New Roman" w:eastAsia="宋体" w:cs="Times New Roman"/>
                <w:color w:val="auto"/>
                <w:szCs w:val="21"/>
              </w:rPr>
              <w:t>厂界南面外一米</w:t>
            </w:r>
            <w:r>
              <w:rPr>
                <w:rFonts w:ascii="Times New Roman" w:hAnsi="Times New Roman" w:eastAsia="宋体" w:cs="Times New Roman"/>
                <w:color w:val="auto"/>
                <w:spacing w:val="-5"/>
                <w:kern w:val="0"/>
                <w:szCs w:val="21"/>
              </w:rPr>
              <w:t>（N2）</w:t>
            </w:r>
          </w:p>
        </w:tc>
        <w:tc>
          <w:tcPr>
            <w:tcW w:w="1888" w:type="dxa"/>
            <w:tcBorders>
              <w:tl2br w:val="nil"/>
              <w:tr2bl w:val="nil"/>
            </w:tcBorders>
            <w:shd w:val="clear" w:color="auto" w:fill="auto"/>
            <w:vAlign w:val="center"/>
          </w:tcPr>
          <w:p>
            <w:pPr>
              <w:jc w:val="center"/>
              <w:rPr>
                <w:rFonts w:ascii="Times New Roman" w:hAnsi="Times New Roman" w:eastAsia="宋体" w:cs="Times New Roman"/>
                <w:color w:val="auto"/>
                <w:szCs w:val="21"/>
              </w:rPr>
            </w:pPr>
            <w:r>
              <w:rPr>
                <w:rFonts w:hint="default" w:ascii="Times New Roman" w:hAnsi="Times New Roman" w:eastAsia="宋体" w:cs="Times New Roman"/>
                <w:color w:val="auto"/>
              </w:rPr>
              <w:t>5</w:t>
            </w:r>
            <w:r>
              <w:rPr>
                <w:rFonts w:ascii="Times New Roman" w:hAnsi="Times New Roman" w:eastAsia="宋体" w:cs="Times New Roman"/>
                <w:color w:val="auto"/>
              </w:rPr>
              <w:t>月</w:t>
            </w:r>
            <w:r>
              <w:rPr>
                <w:rFonts w:hint="default" w:ascii="Times New Roman" w:hAnsi="Times New Roman" w:eastAsia="宋体" w:cs="Times New Roman"/>
                <w:color w:val="auto"/>
              </w:rPr>
              <w:t>28</w:t>
            </w:r>
            <w:r>
              <w:rPr>
                <w:rFonts w:ascii="Times New Roman" w:hAnsi="Times New Roman" w:eastAsia="宋体" w:cs="Times New Roman"/>
                <w:color w:val="auto"/>
              </w:rPr>
              <w:t>日</w:t>
            </w:r>
          </w:p>
        </w:tc>
        <w:tc>
          <w:tcPr>
            <w:tcW w:w="2427" w:type="dxa"/>
            <w:tcBorders>
              <w:tl2br w:val="nil"/>
              <w:tr2bl w:val="nil"/>
            </w:tcBorders>
            <w:shd w:val="clear" w:color="auto" w:fill="auto"/>
            <w:vAlign w:val="center"/>
          </w:tcPr>
          <w:p>
            <w:pPr>
              <w:widowControl/>
              <w:snapToGrid w:val="0"/>
              <w:spacing w:line="240" w:lineRule="exact"/>
              <w:jc w:val="center"/>
              <w:rPr>
                <w:rFonts w:ascii="Times New Roman" w:hAnsi="Times New Roman" w:eastAsia="宋体" w:cs="Times New Roman"/>
                <w:color w:val="auto"/>
                <w:szCs w:val="21"/>
              </w:rPr>
            </w:pPr>
            <w:r>
              <w:rPr>
                <w:rFonts w:hint="default" w:ascii="Times New Roman" w:hAnsi="Times New Roman" w:eastAsia="宋体" w:cs="Times New Roman"/>
                <w:color w:val="auto"/>
                <w:sz w:val="18"/>
                <w:szCs w:val="18"/>
              </w:rPr>
              <w:t>61.8</w:t>
            </w:r>
          </w:p>
        </w:tc>
        <w:tc>
          <w:tcPr>
            <w:tcW w:w="2427" w:type="dxa"/>
            <w:tcBorders>
              <w:tl2br w:val="nil"/>
              <w:tr2bl w:val="nil"/>
            </w:tcBorders>
            <w:shd w:val="clear" w:color="auto" w:fill="auto"/>
            <w:vAlign w:val="center"/>
          </w:tcPr>
          <w:p>
            <w:pPr>
              <w:widowControl/>
              <w:snapToGrid w:val="0"/>
              <w:spacing w:line="240" w:lineRule="exact"/>
              <w:jc w:val="center"/>
              <w:rPr>
                <w:rFonts w:ascii="Times New Roman" w:hAnsi="Times New Roman" w:eastAsia="宋体" w:cs="Times New Roman"/>
                <w:color w:val="auto"/>
                <w:szCs w:val="21"/>
              </w:rPr>
            </w:pPr>
            <w:r>
              <w:rPr>
                <w:rFonts w:hint="default" w:ascii="Times New Roman" w:hAnsi="Times New Roman" w:eastAsia="宋体" w:cs="Times New Roman"/>
                <w:color w:val="auto"/>
                <w:sz w:val="18"/>
                <w:szCs w:val="18"/>
              </w:rPr>
              <w:t>51.5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0" w:type="dxa"/>
            <w:vMerge w:val="continue"/>
            <w:tcBorders>
              <w:tl2br w:val="nil"/>
              <w:tr2bl w:val="nil"/>
            </w:tcBorders>
            <w:shd w:val="clear" w:color="auto" w:fill="auto"/>
            <w:vAlign w:val="center"/>
          </w:tcPr>
          <w:p>
            <w:pPr>
              <w:spacing w:line="240" w:lineRule="exact"/>
              <w:ind w:firstLine="420"/>
              <w:jc w:val="center"/>
              <w:rPr>
                <w:rFonts w:ascii="Times New Roman" w:hAnsi="Times New Roman" w:eastAsia="宋体" w:cs="Times New Roman"/>
                <w:color w:val="auto"/>
                <w:szCs w:val="21"/>
              </w:rPr>
            </w:pPr>
          </w:p>
        </w:tc>
        <w:tc>
          <w:tcPr>
            <w:tcW w:w="1888" w:type="dxa"/>
            <w:tcBorders>
              <w:tl2br w:val="nil"/>
              <w:tr2bl w:val="nil"/>
            </w:tcBorders>
            <w:shd w:val="clear" w:color="auto" w:fill="auto"/>
            <w:vAlign w:val="center"/>
          </w:tcPr>
          <w:p>
            <w:pPr>
              <w:jc w:val="center"/>
              <w:rPr>
                <w:rFonts w:ascii="Times New Roman" w:hAnsi="Times New Roman" w:eastAsia="宋体" w:cs="Times New Roman"/>
                <w:color w:val="auto"/>
              </w:rPr>
            </w:pPr>
            <w:r>
              <w:rPr>
                <w:rFonts w:hint="default" w:ascii="Times New Roman" w:hAnsi="Times New Roman" w:eastAsia="宋体" w:cs="Times New Roman"/>
                <w:color w:val="auto"/>
              </w:rPr>
              <w:t>5</w:t>
            </w:r>
            <w:r>
              <w:rPr>
                <w:rFonts w:ascii="Times New Roman" w:hAnsi="Times New Roman" w:eastAsia="宋体" w:cs="Times New Roman"/>
                <w:color w:val="auto"/>
              </w:rPr>
              <w:t>月</w:t>
            </w:r>
            <w:r>
              <w:rPr>
                <w:rFonts w:hint="default" w:ascii="Times New Roman" w:hAnsi="Times New Roman" w:eastAsia="宋体" w:cs="Times New Roman"/>
                <w:color w:val="auto"/>
              </w:rPr>
              <w:t>29</w:t>
            </w:r>
            <w:r>
              <w:rPr>
                <w:rFonts w:ascii="Times New Roman" w:hAnsi="Times New Roman" w:eastAsia="宋体" w:cs="Times New Roman"/>
                <w:color w:val="auto"/>
              </w:rPr>
              <w:t>日</w:t>
            </w:r>
          </w:p>
        </w:tc>
        <w:tc>
          <w:tcPr>
            <w:tcW w:w="2427" w:type="dxa"/>
            <w:tcBorders>
              <w:tl2br w:val="nil"/>
              <w:tr2bl w:val="nil"/>
            </w:tcBorders>
            <w:shd w:val="clear" w:color="auto" w:fill="auto"/>
            <w:vAlign w:val="center"/>
          </w:tcPr>
          <w:p>
            <w:pPr>
              <w:widowControl/>
              <w:snapToGrid w:val="0"/>
              <w:spacing w:line="240" w:lineRule="exact"/>
              <w:jc w:val="center"/>
              <w:rPr>
                <w:rFonts w:ascii="Times New Roman" w:hAnsi="Times New Roman" w:eastAsia="宋体" w:cs="Times New Roman"/>
                <w:color w:val="auto"/>
                <w:szCs w:val="21"/>
              </w:rPr>
            </w:pPr>
            <w:r>
              <w:rPr>
                <w:rFonts w:hint="default" w:ascii="Times New Roman" w:hAnsi="Times New Roman" w:eastAsia="宋体" w:cs="Times New Roman"/>
                <w:color w:val="auto"/>
                <w:sz w:val="18"/>
                <w:szCs w:val="18"/>
              </w:rPr>
              <w:t>61.6</w:t>
            </w:r>
          </w:p>
        </w:tc>
        <w:tc>
          <w:tcPr>
            <w:tcW w:w="2427" w:type="dxa"/>
            <w:tcBorders>
              <w:tl2br w:val="nil"/>
              <w:tr2bl w:val="nil"/>
            </w:tcBorders>
            <w:shd w:val="clear" w:color="auto" w:fill="auto"/>
            <w:vAlign w:val="center"/>
          </w:tcPr>
          <w:p>
            <w:pPr>
              <w:widowControl/>
              <w:snapToGrid w:val="0"/>
              <w:spacing w:line="240" w:lineRule="exact"/>
              <w:jc w:val="center"/>
              <w:rPr>
                <w:rFonts w:ascii="Times New Roman" w:hAnsi="Times New Roman" w:eastAsia="宋体" w:cs="Times New Roman"/>
                <w:color w:val="auto"/>
                <w:szCs w:val="21"/>
              </w:rPr>
            </w:pPr>
            <w:r>
              <w:rPr>
                <w:rFonts w:hint="default" w:ascii="Times New Roman" w:hAnsi="Times New Roman" w:eastAsia="宋体" w:cs="Times New Roman"/>
                <w:color w:val="auto"/>
                <w:sz w:val="18"/>
                <w:szCs w:val="18"/>
              </w:rPr>
              <w:t>51.6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0" w:type="dxa"/>
            <w:vMerge w:val="restart"/>
            <w:tcBorders>
              <w:tl2br w:val="nil"/>
              <w:tr2bl w:val="nil"/>
            </w:tcBorders>
            <w:shd w:val="clear" w:color="auto" w:fill="auto"/>
            <w:vAlign w:val="center"/>
          </w:tcPr>
          <w:p>
            <w:pPr>
              <w:widowControl/>
              <w:spacing w:line="240" w:lineRule="exact"/>
              <w:jc w:val="center"/>
              <w:rPr>
                <w:rFonts w:ascii="Times New Roman" w:hAnsi="Times New Roman" w:eastAsia="宋体" w:cs="Times New Roman"/>
                <w:color w:val="auto"/>
                <w:szCs w:val="21"/>
              </w:rPr>
            </w:pPr>
            <w:r>
              <w:rPr>
                <w:rFonts w:ascii="Times New Roman" w:hAnsi="Times New Roman" w:eastAsia="宋体" w:cs="Times New Roman"/>
                <w:color w:val="auto"/>
                <w:szCs w:val="21"/>
              </w:rPr>
              <w:t>厂界西面外一米</w:t>
            </w:r>
            <w:r>
              <w:rPr>
                <w:rFonts w:ascii="Times New Roman" w:hAnsi="Times New Roman" w:eastAsia="宋体" w:cs="Times New Roman"/>
                <w:color w:val="auto"/>
                <w:spacing w:val="-5"/>
                <w:kern w:val="0"/>
                <w:szCs w:val="21"/>
              </w:rPr>
              <w:t>（N3）</w:t>
            </w:r>
          </w:p>
        </w:tc>
        <w:tc>
          <w:tcPr>
            <w:tcW w:w="1888" w:type="dxa"/>
            <w:tcBorders>
              <w:tl2br w:val="nil"/>
              <w:tr2bl w:val="nil"/>
            </w:tcBorders>
            <w:shd w:val="clear" w:color="auto" w:fill="auto"/>
            <w:vAlign w:val="center"/>
          </w:tcPr>
          <w:p>
            <w:pPr>
              <w:jc w:val="center"/>
              <w:rPr>
                <w:rFonts w:ascii="Times New Roman" w:hAnsi="Times New Roman" w:eastAsia="宋体" w:cs="Times New Roman"/>
                <w:color w:val="auto"/>
                <w:szCs w:val="21"/>
              </w:rPr>
            </w:pPr>
            <w:r>
              <w:rPr>
                <w:rFonts w:hint="default" w:ascii="Times New Roman" w:hAnsi="Times New Roman" w:eastAsia="宋体" w:cs="Times New Roman"/>
                <w:color w:val="auto"/>
              </w:rPr>
              <w:t>5</w:t>
            </w:r>
            <w:r>
              <w:rPr>
                <w:rFonts w:ascii="Times New Roman" w:hAnsi="Times New Roman" w:eastAsia="宋体" w:cs="Times New Roman"/>
                <w:color w:val="auto"/>
              </w:rPr>
              <w:t>月</w:t>
            </w:r>
            <w:r>
              <w:rPr>
                <w:rFonts w:hint="default" w:ascii="Times New Roman" w:hAnsi="Times New Roman" w:eastAsia="宋体" w:cs="Times New Roman"/>
                <w:color w:val="auto"/>
              </w:rPr>
              <w:t>28</w:t>
            </w:r>
            <w:r>
              <w:rPr>
                <w:rFonts w:ascii="Times New Roman" w:hAnsi="Times New Roman" w:eastAsia="宋体" w:cs="Times New Roman"/>
                <w:color w:val="auto"/>
              </w:rPr>
              <w:t>日</w:t>
            </w:r>
          </w:p>
        </w:tc>
        <w:tc>
          <w:tcPr>
            <w:tcW w:w="2427" w:type="dxa"/>
            <w:tcBorders>
              <w:tl2br w:val="nil"/>
              <w:tr2bl w:val="nil"/>
            </w:tcBorders>
            <w:shd w:val="clear" w:color="auto" w:fill="auto"/>
            <w:vAlign w:val="center"/>
          </w:tcPr>
          <w:p>
            <w:pPr>
              <w:widowControl/>
              <w:snapToGrid w:val="0"/>
              <w:spacing w:line="240" w:lineRule="exact"/>
              <w:jc w:val="center"/>
              <w:rPr>
                <w:rFonts w:ascii="Times New Roman" w:hAnsi="Times New Roman" w:eastAsia="宋体" w:cs="Times New Roman"/>
                <w:color w:val="auto"/>
                <w:szCs w:val="21"/>
              </w:rPr>
            </w:pPr>
            <w:r>
              <w:rPr>
                <w:rFonts w:hint="default" w:ascii="Times New Roman" w:hAnsi="Times New Roman" w:eastAsia="宋体" w:cs="Times New Roman"/>
                <w:color w:val="auto"/>
                <w:sz w:val="18"/>
                <w:szCs w:val="18"/>
              </w:rPr>
              <w:t>62.1</w:t>
            </w:r>
          </w:p>
        </w:tc>
        <w:tc>
          <w:tcPr>
            <w:tcW w:w="2427" w:type="dxa"/>
            <w:tcBorders>
              <w:tl2br w:val="nil"/>
              <w:tr2bl w:val="nil"/>
            </w:tcBorders>
            <w:shd w:val="clear" w:color="auto" w:fill="auto"/>
            <w:vAlign w:val="center"/>
          </w:tcPr>
          <w:p>
            <w:pPr>
              <w:widowControl/>
              <w:snapToGrid w:val="0"/>
              <w:spacing w:line="240" w:lineRule="exact"/>
              <w:jc w:val="center"/>
              <w:rPr>
                <w:rFonts w:ascii="Times New Roman" w:hAnsi="Times New Roman" w:eastAsia="宋体" w:cs="Times New Roman"/>
                <w:color w:val="auto"/>
                <w:szCs w:val="21"/>
              </w:rPr>
            </w:pPr>
            <w:r>
              <w:rPr>
                <w:rFonts w:hint="default" w:ascii="Times New Roman" w:hAnsi="Times New Roman" w:eastAsia="宋体" w:cs="Times New Roman"/>
                <w:color w:val="auto"/>
                <w:sz w:val="18"/>
                <w:szCs w:val="18"/>
              </w:rPr>
              <w:t>51.8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0" w:type="dxa"/>
            <w:vMerge w:val="continue"/>
            <w:tcBorders>
              <w:tl2br w:val="nil"/>
              <w:tr2bl w:val="nil"/>
            </w:tcBorders>
            <w:shd w:val="clear" w:color="auto" w:fill="auto"/>
            <w:vAlign w:val="center"/>
          </w:tcPr>
          <w:p>
            <w:pPr>
              <w:spacing w:line="240" w:lineRule="exact"/>
              <w:ind w:firstLine="420"/>
              <w:jc w:val="center"/>
              <w:rPr>
                <w:rFonts w:ascii="Times New Roman" w:hAnsi="Times New Roman" w:eastAsia="宋体" w:cs="Times New Roman"/>
                <w:color w:val="auto"/>
                <w:szCs w:val="21"/>
              </w:rPr>
            </w:pPr>
          </w:p>
        </w:tc>
        <w:tc>
          <w:tcPr>
            <w:tcW w:w="1888" w:type="dxa"/>
            <w:tcBorders>
              <w:tl2br w:val="nil"/>
              <w:tr2bl w:val="nil"/>
            </w:tcBorders>
            <w:shd w:val="clear" w:color="auto" w:fill="auto"/>
            <w:vAlign w:val="center"/>
          </w:tcPr>
          <w:p>
            <w:pPr>
              <w:jc w:val="center"/>
              <w:rPr>
                <w:rFonts w:ascii="Times New Roman" w:hAnsi="Times New Roman" w:eastAsia="宋体" w:cs="Times New Roman"/>
                <w:color w:val="auto"/>
              </w:rPr>
            </w:pPr>
            <w:r>
              <w:rPr>
                <w:rFonts w:hint="default" w:ascii="Times New Roman" w:hAnsi="Times New Roman" w:eastAsia="宋体" w:cs="Times New Roman"/>
                <w:color w:val="auto"/>
              </w:rPr>
              <w:t>5</w:t>
            </w:r>
            <w:r>
              <w:rPr>
                <w:rFonts w:ascii="Times New Roman" w:hAnsi="Times New Roman" w:eastAsia="宋体" w:cs="Times New Roman"/>
                <w:color w:val="auto"/>
              </w:rPr>
              <w:t>月</w:t>
            </w:r>
            <w:r>
              <w:rPr>
                <w:rFonts w:hint="default" w:ascii="Times New Roman" w:hAnsi="Times New Roman" w:eastAsia="宋体" w:cs="Times New Roman"/>
                <w:color w:val="auto"/>
              </w:rPr>
              <w:t>29</w:t>
            </w:r>
            <w:r>
              <w:rPr>
                <w:rFonts w:ascii="Times New Roman" w:hAnsi="Times New Roman" w:eastAsia="宋体" w:cs="Times New Roman"/>
                <w:color w:val="auto"/>
              </w:rPr>
              <w:t>日</w:t>
            </w:r>
          </w:p>
        </w:tc>
        <w:tc>
          <w:tcPr>
            <w:tcW w:w="2427" w:type="dxa"/>
            <w:tcBorders>
              <w:tl2br w:val="nil"/>
              <w:tr2bl w:val="nil"/>
            </w:tcBorders>
            <w:shd w:val="clear" w:color="auto" w:fill="auto"/>
            <w:vAlign w:val="center"/>
          </w:tcPr>
          <w:p>
            <w:pPr>
              <w:widowControl/>
              <w:snapToGrid w:val="0"/>
              <w:spacing w:line="240" w:lineRule="exact"/>
              <w:jc w:val="center"/>
              <w:rPr>
                <w:rFonts w:ascii="Times New Roman" w:hAnsi="Times New Roman" w:eastAsia="宋体" w:cs="Times New Roman"/>
                <w:color w:val="auto"/>
                <w:szCs w:val="21"/>
              </w:rPr>
            </w:pPr>
            <w:r>
              <w:rPr>
                <w:rFonts w:hint="default" w:ascii="Times New Roman" w:hAnsi="Times New Roman" w:eastAsia="宋体" w:cs="Times New Roman"/>
                <w:color w:val="auto"/>
                <w:sz w:val="18"/>
                <w:szCs w:val="18"/>
              </w:rPr>
              <w:t>62.2</w:t>
            </w:r>
          </w:p>
        </w:tc>
        <w:tc>
          <w:tcPr>
            <w:tcW w:w="2427" w:type="dxa"/>
            <w:tcBorders>
              <w:tl2br w:val="nil"/>
              <w:tr2bl w:val="nil"/>
            </w:tcBorders>
            <w:shd w:val="clear" w:color="auto" w:fill="auto"/>
            <w:vAlign w:val="center"/>
          </w:tcPr>
          <w:p>
            <w:pPr>
              <w:widowControl/>
              <w:snapToGrid w:val="0"/>
              <w:spacing w:line="240" w:lineRule="exact"/>
              <w:jc w:val="center"/>
              <w:rPr>
                <w:rFonts w:ascii="Times New Roman" w:hAnsi="Times New Roman" w:eastAsia="宋体" w:cs="Times New Roman"/>
                <w:color w:val="auto"/>
                <w:szCs w:val="21"/>
              </w:rPr>
            </w:pPr>
            <w:r>
              <w:rPr>
                <w:rFonts w:hint="default" w:ascii="Times New Roman" w:hAnsi="Times New Roman" w:eastAsia="宋体" w:cs="Times New Roman"/>
                <w:color w:val="auto"/>
                <w:sz w:val="18"/>
                <w:szCs w:val="18"/>
              </w:rPr>
              <w:t>51.1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0" w:type="dxa"/>
            <w:vMerge w:val="restart"/>
            <w:tcBorders>
              <w:tl2br w:val="nil"/>
              <w:tr2bl w:val="nil"/>
            </w:tcBorders>
            <w:shd w:val="clear" w:color="auto" w:fill="auto"/>
            <w:vAlign w:val="center"/>
          </w:tcPr>
          <w:p>
            <w:pPr>
              <w:spacing w:line="240" w:lineRule="exact"/>
              <w:jc w:val="center"/>
              <w:rPr>
                <w:rFonts w:ascii="Times New Roman" w:hAnsi="Times New Roman" w:eastAsia="宋体" w:cs="Times New Roman"/>
                <w:color w:val="auto"/>
                <w:szCs w:val="21"/>
              </w:rPr>
            </w:pPr>
            <w:r>
              <w:rPr>
                <w:rFonts w:hint="default" w:ascii="Times New Roman" w:hAnsi="Times New Roman" w:eastAsia="宋体" w:cs="Times New Roman"/>
                <w:color w:val="auto"/>
                <w:szCs w:val="21"/>
              </w:rPr>
              <w:t>厂界北面外一米（N4）</w:t>
            </w:r>
          </w:p>
        </w:tc>
        <w:tc>
          <w:tcPr>
            <w:tcW w:w="1888" w:type="dxa"/>
            <w:tcBorders>
              <w:tl2br w:val="nil"/>
              <w:tr2bl w:val="nil"/>
            </w:tcBorders>
            <w:shd w:val="clear" w:color="auto" w:fill="auto"/>
            <w:vAlign w:val="center"/>
          </w:tcPr>
          <w:p>
            <w:pPr>
              <w:jc w:val="center"/>
              <w:rPr>
                <w:rFonts w:ascii="Times New Roman" w:hAnsi="Times New Roman" w:eastAsia="宋体" w:cs="Times New Roman"/>
                <w:color w:val="auto"/>
                <w:szCs w:val="21"/>
              </w:rPr>
            </w:pPr>
            <w:r>
              <w:rPr>
                <w:rFonts w:hint="default" w:ascii="Times New Roman" w:hAnsi="Times New Roman" w:eastAsia="宋体" w:cs="Times New Roman"/>
                <w:color w:val="auto"/>
              </w:rPr>
              <w:t>5</w:t>
            </w:r>
            <w:r>
              <w:rPr>
                <w:rFonts w:ascii="Times New Roman" w:hAnsi="Times New Roman" w:eastAsia="宋体" w:cs="Times New Roman"/>
                <w:color w:val="auto"/>
              </w:rPr>
              <w:t>月</w:t>
            </w:r>
            <w:r>
              <w:rPr>
                <w:rFonts w:hint="default" w:ascii="Times New Roman" w:hAnsi="Times New Roman" w:eastAsia="宋体" w:cs="Times New Roman"/>
                <w:color w:val="auto"/>
              </w:rPr>
              <w:t>28</w:t>
            </w:r>
            <w:r>
              <w:rPr>
                <w:rFonts w:ascii="Times New Roman" w:hAnsi="Times New Roman" w:eastAsia="宋体" w:cs="Times New Roman"/>
                <w:color w:val="auto"/>
              </w:rPr>
              <w:t>日</w:t>
            </w:r>
          </w:p>
        </w:tc>
        <w:tc>
          <w:tcPr>
            <w:tcW w:w="2427" w:type="dxa"/>
            <w:tcBorders>
              <w:tl2br w:val="nil"/>
              <w:tr2bl w:val="nil"/>
            </w:tcBorders>
            <w:shd w:val="clear" w:color="auto" w:fill="auto"/>
            <w:vAlign w:val="center"/>
          </w:tcPr>
          <w:p>
            <w:pPr>
              <w:widowControl/>
              <w:snapToGrid w:val="0"/>
              <w:spacing w:line="240" w:lineRule="exact"/>
              <w:jc w:val="center"/>
              <w:rPr>
                <w:rFonts w:ascii="Times New Roman" w:hAnsi="Times New Roman" w:eastAsia="宋体" w:cs="Times New Roman"/>
                <w:color w:val="auto"/>
                <w:szCs w:val="21"/>
              </w:rPr>
            </w:pPr>
            <w:r>
              <w:rPr>
                <w:rFonts w:hint="default" w:ascii="Times New Roman" w:hAnsi="Times New Roman" w:eastAsia="宋体" w:cs="Times New Roman"/>
                <w:color w:val="auto"/>
                <w:sz w:val="18"/>
                <w:szCs w:val="18"/>
              </w:rPr>
              <w:t>61.8</w:t>
            </w:r>
          </w:p>
        </w:tc>
        <w:tc>
          <w:tcPr>
            <w:tcW w:w="2427" w:type="dxa"/>
            <w:tcBorders>
              <w:tl2br w:val="nil"/>
              <w:tr2bl w:val="nil"/>
            </w:tcBorders>
            <w:shd w:val="clear" w:color="auto" w:fill="auto"/>
            <w:vAlign w:val="center"/>
          </w:tcPr>
          <w:p>
            <w:pPr>
              <w:widowControl/>
              <w:snapToGrid w:val="0"/>
              <w:spacing w:line="240" w:lineRule="exact"/>
              <w:jc w:val="center"/>
              <w:rPr>
                <w:rFonts w:ascii="Times New Roman" w:hAnsi="Times New Roman" w:eastAsia="宋体" w:cs="Times New Roman"/>
                <w:color w:val="auto"/>
                <w:szCs w:val="21"/>
              </w:rPr>
            </w:pPr>
            <w:r>
              <w:rPr>
                <w:rFonts w:hint="default" w:ascii="Times New Roman" w:hAnsi="Times New Roman" w:eastAsia="宋体" w:cs="Times New Roman"/>
                <w:color w:val="auto"/>
                <w:sz w:val="18"/>
                <w:szCs w:val="18"/>
              </w:rPr>
              <w:t>52.1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80" w:type="dxa"/>
            <w:vMerge w:val="continue"/>
            <w:tcBorders>
              <w:tl2br w:val="nil"/>
              <w:tr2bl w:val="nil"/>
            </w:tcBorders>
            <w:shd w:val="clear" w:color="auto" w:fill="auto"/>
            <w:vAlign w:val="center"/>
          </w:tcPr>
          <w:p>
            <w:pPr>
              <w:spacing w:line="240" w:lineRule="exact"/>
              <w:ind w:firstLine="420"/>
              <w:jc w:val="center"/>
              <w:rPr>
                <w:rFonts w:ascii="Times New Roman" w:hAnsi="Times New Roman" w:eastAsia="宋体" w:cs="Times New Roman"/>
                <w:color w:val="auto"/>
                <w:szCs w:val="21"/>
              </w:rPr>
            </w:pPr>
          </w:p>
        </w:tc>
        <w:tc>
          <w:tcPr>
            <w:tcW w:w="1888" w:type="dxa"/>
            <w:tcBorders>
              <w:tl2br w:val="nil"/>
              <w:tr2bl w:val="nil"/>
            </w:tcBorders>
            <w:shd w:val="clear" w:color="auto" w:fill="auto"/>
            <w:vAlign w:val="center"/>
          </w:tcPr>
          <w:p>
            <w:pPr>
              <w:jc w:val="center"/>
              <w:rPr>
                <w:rFonts w:ascii="Times New Roman" w:hAnsi="Times New Roman" w:eastAsia="宋体" w:cs="Times New Roman"/>
                <w:color w:val="auto"/>
              </w:rPr>
            </w:pPr>
            <w:r>
              <w:rPr>
                <w:rFonts w:hint="default" w:ascii="Times New Roman" w:hAnsi="Times New Roman" w:eastAsia="宋体" w:cs="Times New Roman"/>
                <w:color w:val="auto"/>
              </w:rPr>
              <w:t>5</w:t>
            </w:r>
            <w:r>
              <w:rPr>
                <w:rFonts w:ascii="Times New Roman" w:hAnsi="Times New Roman" w:eastAsia="宋体" w:cs="Times New Roman"/>
                <w:color w:val="auto"/>
              </w:rPr>
              <w:t>月</w:t>
            </w:r>
            <w:r>
              <w:rPr>
                <w:rFonts w:hint="default" w:ascii="Times New Roman" w:hAnsi="Times New Roman" w:eastAsia="宋体" w:cs="Times New Roman"/>
                <w:color w:val="auto"/>
              </w:rPr>
              <w:t>29</w:t>
            </w:r>
            <w:r>
              <w:rPr>
                <w:rFonts w:ascii="Times New Roman" w:hAnsi="Times New Roman" w:eastAsia="宋体" w:cs="Times New Roman"/>
                <w:color w:val="auto"/>
              </w:rPr>
              <w:t>日</w:t>
            </w:r>
          </w:p>
        </w:tc>
        <w:tc>
          <w:tcPr>
            <w:tcW w:w="2427" w:type="dxa"/>
            <w:tcBorders>
              <w:tl2br w:val="nil"/>
              <w:tr2bl w:val="nil"/>
            </w:tcBorders>
            <w:shd w:val="clear" w:color="auto" w:fill="auto"/>
            <w:vAlign w:val="center"/>
          </w:tcPr>
          <w:p>
            <w:pPr>
              <w:widowControl/>
              <w:snapToGrid w:val="0"/>
              <w:spacing w:line="240" w:lineRule="exact"/>
              <w:jc w:val="center"/>
              <w:rPr>
                <w:rFonts w:ascii="Times New Roman" w:hAnsi="Times New Roman" w:eastAsia="宋体" w:cs="Times New Roman"/>
                <w:color w:val="auto"/>
                <w:szCs w:val="21"/>
              </w:rPr>
            </w:pPr>
            <w:r>
              <w:rPr>
                <w:rFonts w:hint="default" w:ascii="Times New Roman" w:hAnsi="Times New Roman" w:eastAsia="宋体" w:cs="Times New Roman"/>
                <w:color w:val="auto"/>
                <w:sz w:val="18"/>
                <w:szCs w:val="18"/>
              </w:rPr>
              <w:t>61.5</w:t>
            </w:r>
          </w:p>
        </w:tc>
        <w:tc>
          <w:tcPr>
            <w:tcW w:w="2427" w:type="dxa"/>
            <w:tcBorders>
              <w:tl2br w:val="nil"/>
              <w:tr2bl w:val="nil"/>
            </w:tcBorders>
            <w:shd w:val="clear" w:color="auto" w:fill="auto"/>
            <w:vAlign w:val="center"/>
          </w:tcPr>
          <w:p>
            <w:pPr>
              <w:widowControl/>
              <w:snapToGrid w:val="0"/>
              <w:spacing w:line="240" w:lineRule="exact"/>
              <w:jc w:val="center"/>
              <w:rPr>
                <w:rFonts w:ascii="Times New Roman" w:hAnsi="Times New Roman" w:eastAsia="宋体" w:cs="Times New Roman"/>
                <w:color w:val="auto"/>
                <w:szCs w:val="21"/>
              </w:rPr>
            </w:pPr>
            <w:r>
              <w:rPr>
                <w:rFonts w:hint="default" w:ascii="Times New Roman" w:hAnsi="Times New Roman" w:eastAsia="宋体" w:cs="Times New Roman"/>
                <w:color w:val="auto"/>
                <w:sz w:val="18"/>
                <w:szCs w:val="18"/>
              </w:rPr>
              <w:t>52.2</w:t>
            </w:r>
          </w:p>
        </w:tc>
      </w:tr>
    </w:tbl>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由表</w:t>
      </w:r>
      <w:r>
        <w:rPr>
          <w:rFonts w:hint="default" w:ascii="Times New Roman" w:hAnsi="Times New Roman" w:cs="Times New Roman"/>
          <w:color w:val="auto"/>
          <w:sz w:val="24"/>
          <w:szCs w:val="24"/>
        </w:rPr>
        <w:t>9</w:t>
      </w:r>
      <w:r>
        <w:rPr>
          <w:rFonts w:ascii="Times New Roman" w:hAnsi="Times New Roman" w:cs="Times New Roman"/>
          <w:color w:val="auto"/>
          <w:sz w:val="24"/>
          <w:szCs w:val="24"/>
        </w:rPr>
        <w:t>.4-1监测结果可知：验收监测期间，本项目</w:t>
      </w:r>
      <w:r>
        <w:rPr>
          <w:rFonts w:hint="default" w:ascii="Times New Roman" w:hAnsi="Times New Roman" w:cs="Times New Roman"/>
          <w:color w:val="auto"/>
          <w:sz w:val="24"/>
          <w:szCs w:val="24"/>
        </w:rPr>
        <w:t>东、西、南、北面厂界噪声达到《工业企业厂界环境噪声排放标准》（GB12348-2008）3类标准限值要求。</w:t>
      </w:r>
    </w:p>
    <w:p>
      <w:pPr>
        <w:spacing w:line="360" w:lineRule="auto"/>
        <w:outlineLvl w:val="1"/>
        <w:rPr>
          <w:rFonts w:ascii="Times New Roman" w:hAnsi="Times New Roman" w:cs="Times New Roman"/>
          <w:b/>
          <w:color w:val="auto"/>
          <w:sz w:val="30"/>
          <w:szCs w:val="30"/>
        </w:rPr>
      </w:pPr>
      <w:bookmarkStart w:id="109" w:name="_Toc85120910"/>
      <w:bookmarkStart w:id="110" w:name="_Toc12557"/>
      <w:r>
        <w:rPr>
          <w:rFonts w:hint="default" w:ascii="Times New Roman" w:hAnsi="Times New Roman" w:cs="Times New Roman"/>
          <w:b/>
          <w:color w:val="auto"/>
          <w:sz w:val="30"/>
          <w:szCs w:val="30"/>
        </w:rPr>
        <w:t>9.5  废水监测结果及评价</w:t>
      </w:r>
      <w:bookmarkEnd w:id="109"/>
      <w:bookmarkEnd w:id="110"/>
    </w:p>
    <w:p>
      <w:pPr>
        <w:spacing w:line="360" w:lineRule="auto"/>
        <w:ind w:firstLine="480" w:firstLineChars="200"/>
        <w:rPr>
          <w:rFonts w:ascii="Times New Roman" w:hAnsi="Times New Roman" w:cs="Times New Roman"/>
          <w:color w:val="auto"/>
          <w:sz w:val="24"/>
          <w:szCs w:val="24"/>
        </w:rPr>
      </w:pPr>
      <w:r>
        <w:rPr>
          <w:rFonts w:hint="default" w:ascii="Times New Roman" w:hAnsi="Times New Roman" w:cs="Times New Roman"/>
          <w:color w:val="auto"/>
          <w:sz w:val="24"/>
          <w:szCs w:val="24"/>
        </w:rPr>
        <w:t>废水监测结果见表9</w:t>
      </w:r>
      <w:r>
        <w:rPr>
          <w:rFonts w:ascii="Times New Roman" w:hAnsi="Times New Roman" w:cs="Times New Roman"/>
          <w:color w:val="auto"/>
          <w:sz w:val="24"/>
          <w:szCs w:val="24"/>
        </w:rPr>
        <w:t>.5-1</w:t>
      </w:r>
      <w:r>
        <w:rPr>
          <w:rFonts w:hint="default" w:ascii="Times New Roman" w:hAnsi="Times New Roman" w:cs="Times New Roman"/>
          <w:color w:val="auto"/>
          <w:sz w:val="24"/>
          <w:szCs w:val="24"/>
        </w:rPr>
        <w:t>。</w:t>
      </w:r>
    </w:p>
    <w:p>
      <w:pPr>
        <w:ind w:firstLine="422" w:firstLineChars="200"/>
        <w:jc w:val="center"/>
        <w:rPr>
          <w:rFonts w:ascii="Times New Roman" w:hAnsi="Times New Roman" w:cs="Times New Roman"/>
          <w:b/>
          <w:bCs/>
          <w:color w:val="auto"/>
          <w:szCs w:val="21"/>
        </w:rPr>
      </w:pPr>
      <w:r>
        <w:rPr>
          <w:rFonts w:hint="default" w:ascii="Times New Roman" w:hAnsi="Times New Roman" w:cs="Times New Roman"/>
          <w:b/>
          <w:bCs/>
          <w:color w:val="auto"/>
          <w:szCs w:val="21"/>
        </w:rPr>
        <w:t>表9</w:t>
      </w:r>
      <w:r>
        <w:rPr>
          <w:rFonts w:ascii="Times New Roman" w:hAnsi="Times New Roman" w:cs="Times New Roman"/>
          <w:b/>
          <w:bCs/>
          <w:color w:val="auto"/>
          <w:szCs w:val="21"/>
        </w:rPr>
        <w:t xml:space="preserve">.5-1  </w:t>
      </w:r>
      <w:r>
        <w:rPr>
          <w:rFonts w:hint="default" w:ascii="Times New Roman" w:hAnsi="Times New Roman" w:cs="Times New Roman"/>
          <w:b/>
          <w:bCs/>
          <w:color w:val="auto"/>
          <w:szCs w:val="21"/>
        </w:rPr>
        <w:t>废水监测结果</w:t>
      </w:r>
    </w:p>
    <w:tbl>
      <w:tblPr>
        <w:tblStyle w:val="28"/>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62"/>
        <w:gridCol w:w="1015"/>
        <w:gridCol w:w="816"/>
        <w:gridCol w:w="699"/>
        <w:gridCol w:w="641"/>
        <w:gridCol w:w="649"/>
        <w:gridCol w:w="641"/>
        <w:gridCol w:w="641"/>
        <w:gridCol w:w="641"/>
        <w:gridCol w:w="654"/>
        <w:gridCol w:w="576"/>
        <w:gridCol w:w="78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9" w:hRule="atLeast"/>
          <w:tblHeader/>
          <w:jc w:val="center"/>
        </w:trPr>
        <w:tc>
          <w:tcPr>
            <w:tcW w:w="447" w:type="pct"/>
            <w:vMerge w:val="restart"/>
            <w:tcBorders>
              <w:tl2br w:val="nil"/>
              <w:tr2bl w:val="nil"/>
            </w:tcBorders>
            <w:vAlign w:val="center"/>
          </w:tcPr>
          <w:p>
            <w:pPr>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监测点位</w:t>
            </w:r>
          </w:p>
        </w:tc>
        <w:tc>
          <w:tcPr>
            <w:tcW w:w="595" w:type="pct"/>
            <w:vMerge w:val="restart"/>
            <w:tcBorders>
              <w:tl2br w:val="nil"/>
              <w:tr2bl w:val="nil"/>
            </w:tcBorders>
            <w:vAlign w:val="center"/>
          </w:tcPr>
          <w:p>
            <w:pPr>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检测项目</w:t>
            </w:r>
          </w:p>
        </w:tc>
        <w:tc>
          <w:tcPr>
            <w:tcW w:w="3158" w:type="pct"/>
            <w:gridSpan w:val="8"/>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b/>
                <w:bCs/>
                <w:color w:val="auto"/>
                <w:sz w:val="18"/>
                <w:szCs w:val="18"/>
              </w:rPr>
              <w:t>监测日期，</w:t>
            </w:r>
            <w:r>
              <w:rPr>
                <w:rFonts w:ascii="Times New Roman" w:hAnsi="Times New Roman" w:cs="Times New Roman"/>
                <w:b/>
                <w:bCs/>
                <w:color w:val="auto"/>
                <w:sz w:val="18"/>
                <w:szCs w:val="18"/>
              </w:rPr>
              <w:t>监测频次及检测结果</w:t>
            </w:r>
          </w:p>
        </w:tc>
        <w:tc>
          <w:tcPr>
            <w:tcW w:w="338" w:type="pct"/>
            <w:vMerge w:val="restart"/>
            <w:tcBorders>
              <w:tl2br w:val="nil"/>
              <w:tr2bl w:val="nil"/>
            </w:tcBorders>
            <w:vAlign w:val="center"/>
          </w:tcPr>
          <w:p>
            <w:pPr>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标准限值</w:t>
            </w:r>
          </w:p>
        </w:tc>
        <w:tc>
          <w:tcPr>
            <w:tcW w:w="460" w:type="pct"/>
            <w:vMerge w:val="restart"/>
            <w:tcBorders>
              <w:tl2br w:val="nil"/>
              <w:tr2bl w:val="nil"/>
            </w:tcBorders>
            <w:vAlign w:val="center"/>
          </w:tcPr>
          <w:p>
            <w:pPr>
              <w:jc w:val="center"/>
              <w:rPr>
                <w:rFonts w:ascii="Times New Roman" w:hAnsi="Times New Roman" w:cs="Times New Roman"/>
                <w:b/>
                <w:bCs/>
                <w:color w:val="auto"/>
                <w:sz w:val="18"/>
                <w:szCs w:val="18"/>
              </w:rPr>
            </w:pPr>
            <w:r>
              <w:rPr>
                <w:rFonts w:ascii="Times New Roman" w:hAnsi="Times New Roman" w:cs="Times New Roman"/>
                <w:b/>
                <w:bCs/>
                <w:color w:val="auto"/>
                <w:sz w:val="18"/>
                <w:szCs w:val="18"/>
              </w:rPr>
              <w:t>单位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9" w:hRule="atLeast"/>
          <w:tblHeader/>
          <w:jc w:val="center"/>
        </w:trPr>
        <w:tc>
          <w:tcPr>
            <w:tcW w:w="447" w:type="pct"/>
            <w:vMerge w:val="continue"/>
            <w:tcBorders>
              <w:tl2br w:val="nil"/>
              <w:tr2bl w:val="nil"/>
            </w:tcBorders>
            <w:vAlign w:val="center"/>
          </w:tcPr>
          <w:p>
            <w:pPr>
              <w:jc w:val="center"/>
              <w:rPr>
                <w:rFonts w:ascii="Times New Roman" w:hAnsi="Times New Roman" w:cs="Times New Roman"/>
                <w:b/>
                <w:bCs/>
                <w:color w:val="auto"/>
                <w:sz w:val="18"/>
                <w:szCs w:val="18"/>
              </w:rPr>
            </w:pPr>
          </w:p>
        </w:tc>
        <w:tc>
          <w:tcPr>
            <w:tcW w:w="595" w:type="pct"/>
            <w:vMerge w:val="continue"/>
            <w:tcBorders>
              <w:tl2br w:val="nil"/>
              <w:tr2bl w:val="nil"/>
            </w:tcBorders>
            <w:vAlign w:val="center"/>
          </w:tcPr>
          <w:p>
            <w:pPr>
              <w:jc w:val="center"/>
              <w:rPr>
                <w:rFonts w:ascii="Times New Roman" w:hAnsi="Times New Roman" w:cs="Times New Roman"/>
                <w:b/>
                <w:bCs/>
                <w:color w:val="auto"/>
                <w:sz w:val="18"/>
                <w:szCs w:val="18"/>
              </w:rPr>
            </w:pPr>
          </w:p>
        </w:tc>
        <w:tc>
          <w:tcPr>
            <w:tcW w:w="1646" w:type="pct"/>
            <w:gridSpan w:val="4"/>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color w:val="auto"/>
                <w:sz w:val="18"/>
                <w:szCs w:val="18"/>
              </w:rPr>
              <w:t>2022.</w:t>
            </w:r>
            <w:r>
              <w:rPr>
                <w:rFonts w:hint="eastAsia" w:ascii="Times New Roman" w:hAnsi="Times New Roman" w:cs="Times New Roman"/>
                <w:color w:val="auto"/>
                <w:sz w:val="18"/>
                <w:szCs w:val="18"/>
                <w:lang w:val="en-US" w:eastAsia="zh-CN"/>
              </w:rPr>
              <w:t>11.9</w:t>
            </w:r>
          </w:p>
        </w:tc>
        <w:tc>
          <w:tcPr>
            <w:tcW w:w="1512" w:type="pct"/>
            <w:gridSpan w:val="4"/>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color w:val="auto"/>
                <w:sz w:val="18"/>
                <w:szCs w:val="18"/>
              </w:rPr>
              <w:t>2022.</w:t>
            </w:r>
            <w:r>
              <w:rPr>
                <w:rFonts w:hint="eastAsia" w:ascii="Times New Roman" w:hAnsi="Times New Roman" w:cs="Times New Roman"/>
                <w:color w:val="auto"/>
                <w:sz w:val="18"/>
                <w:szCs w:val="18"/>
                <w:lang w:val="en-US" w:eastAsia="zh-CN"/>
              </w:rPr>
              <w:t>11.10</w:t>
            </w:r>
          </w:p>
        </w:tc>
        <w:tc>
          <w:tcPr>
            <w:tcW w:w="338" w:type="pct"/>
            <w:vMerge w:val="continue"/>
            <w:tcBorders>
              <w:tl2br w:val="nil"/>
              <w:tr2bl w:val="nil"/>
            </w:tcBorders>
            <w:vAlign w:val="center"/>
          </w:tcPr>
          <w:p>
            <w:pPr>
              <w:jc w:val="center"/>
              <w:rPr>
                <w:rFonts w:ascii="Times New Roman" w:hAnsi="Times New Roman" w:cs="Times New Roman"/>
                <w:b/>
                <w:bCs/>
                <w:color w:val="auto"/>
                <w:sz w:val="18"/>
                <w:szCs w:val="18"/>
              </w:rPr>
            </w:pPr>
          </w:p>
        </w:tc>
        <w:tc>
          <w:tcPr>
            <w:tcW w:w="460" w:type="pct"/>
            <w:vMerge w:val="continue"/>
            <w:tcBorders>
              <w:tl2br w:val="nil"/>
              <w:tr2bl w:val="nil"/>
            </w:tcBorders>
            <w:vAlign w:val="center"/>
          </w:tcPr>
          <w:p>
            <w:pPr>
              <w:jc w:val="center"/>
              <w:rPr>
                <w:rFonts w:ascii="Times New Roman" w:hAnsi="Times New Roman" w:cs="Times New Roman"/>
                <w:b/>
                <w:bCs/>
                <w:color w:val="auto"/>
                <w:sz w:val="18"/>
                <w:szCs w:val="18"/>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9" w:hRule="atLeast"/>
          <w:tblHeader/>
          <w:jc w:val="center"/>
        </w:trPr>
        <w:tc>
          <w:tcPr>
            <w:tcW w:w="447" w:type="pct"/>
            <w:vMerge w:val="continue"/>
            <w:tcBorders>
              <w:tl2br w:val="nil"/>
              <w:tr2bl w:val="nil"/>
            </w:tcBorders>
            <w:vAlign w:val="center"/>
          </w:tcPr>
          <w:p>
            <w:pPr>
              <w:jc w:val="center"/>
              <w:rPr>
                <w:rFonts w:ascii="Times New Roman" w:hAnsi="Times New Roman" w:cs="Times New Roman"/>
                <w:b/>
                <w:bCs/>
                <w:color w:val="auto"/>
                <w:sz w:val="18"/>
                <w:szCs w:val="18"/>
              </w:rPr>
            </w:pPr>
          </w:p>
        </w:tc>
        <w:tc>
          <w:tcPr>
            <w:tcW w:w="595" w:type="pct"/>
            <w:vMerge w:val="continue"/>
            <w:tcBorders>
              <w:tl2br w:val="nil"/>
              <w:tr2bl w:val="nil"/>
            </w:tcBorders>
            <w:vAlign w:val="center"/>
          </w:tcPr>
          <w:p>
            <w:pPr>
              <w:jc w:val="center"/>
              <w:rPr>
                <w:rFonts w:ascii="Times New Roman" w:hAnsi="Times New Roman" w:cs="Times New Roman"/>
                <w:b/>
                <w:bCs/>
                <w:color w:val="auto"/>
                <w:sz w:val="18"/>
                <w:szCs w:val="18"/>
              </w:rPr>
            </w:pPr>
          </w:p>
        </w:tc>
        <w:tc>
          <w:tcPr>
            <w:tcW w:w="478" w:type="pct"/>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第一次</w:t>
            </w:r>
          </w:p>
        </w:tc>
        <w:tc>
          <w:tcPr>
            <w:tcW w:w="410" w:type="pct"/>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第二次</w:t>
            </w:r>
          </w:p>
        </w:tc>
        <w:tc>
          <w:tcPr>
            <w:tcW w:w="376" w:type="pct"/>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第三次</w:t>
            </w:r>
          </w:p>
        </w:tc>
        <w:tc>
          <w:tcPr>
            <w:tcW w:w="380" w:type="pct"/>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第四次</w:t>
            </w:r>
          </w:p>
        </w:tc>
        <w:tc>
          <w:tcPr>
            <w:tcW w:w="376" w:type="pct"/>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第一次</w:t>
            </w:r>
          </w:p>
        </w:tc>
        <w:tc>
          <w:tcPr>
            <w:tcW w:w="376" w:type="pct"/>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第二次</w:t>
            </w:r>
          </w:p>
        </w:tc>
        <w:tc>
          <w:tcPr>
            <w:tcW w:w="376" w:type="pct"/>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第三次</w:t>
            </w:r>
          </w:p>
        </w:tc>
        <w:tc>
          <w:tcPr>
            <w:tcW w:w="383" w:type="pct"/>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第四次</w:t>
            </w:r>
          </w:p>
        </w:tc>
        <w:tc>
          <w:tcPr>
            <w:tcW w:w="338" w:type="pct"/>
            <w:vMerge w:val="continue"/>
            <w:tcBorders>
              <w:tl2br w:val="nil"/>
              <w:tr2bl w:val="nil"/>
            </w:tcBorders>
            <w:vAlign w:val="center"/>
          </w:tcPr>
          <w:p>
            <w:pPr>
              <w:jc w:val="center"/>
              <w:rPr>
                <w:rFonts w:ascii="Times New Roman" w:hAnsi="Times New Roman" w:cs="Times New Roman"/>
                <w:b/>
                <w:bCs/>
                <w:color w:val="auto"/>
                <w:sz w:val="18"/>
                <w:szCs w:val="18"/>
              </w:rPr>
            </w:pPr>
          </w:p>
        </w:tc>
        <w:tc>
          <w:tcPr>
            <w:tcW w:w="460" w:type="pct"/>
            <w:vMerge w:val="continue"/>
            <w:tcBorders>
              <w:tl2br w:val="nil"/>
              <w:tr2bl w:val="nil"/>
            </w:tcBorders>
            <w:vAlign w:val="center"/>
          </w:tcPr>
          <w:p>
            <w:pPr>
              <w:jc w:val="center"/>
              <w:rPr>
                <w:rFonts w:ascii="Times New Roman" w:hAnsi="Times New Roman" w:cs="Times New Roman"/>
                <w:b/>
                <w:bCs/>
                <w:color w:val="auto"/>
                <w:sz w:val="18"/>
                <w:szCs w:val="18"/>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9" w:hRule="atLeast"/>
          <w:tblHeader/>
          <w:jc w:val="center"/>
        </w:trPr>
        <w:tc>
          <w:tcPr>
            <w:tcW w:w="447" w:type="pct"/>
            <w:vMerge w:val="restart"/>
            <w:tcBorders>
              <w:tl2br w:val="nil"/>
              <w:tr2bl w:val="nil"/>
            </w:tcBorders>
            <w:vAlign w:val="center"/>
          </w:tcPr>
          <w:p>
            <w:pPr>
              <w:adjustRightInd w:val="0"/>
              <w:snapToGrid w:val="0"/>
              <w:ind w:left="-42" w:leftChars="-20"/>
              <w:jc w:val="center"/>
              <w:rPr>
                <w:rFonts w:ascii="Times New Roman" w:hAnsi="Times New Roman" w:eastAsia="宋体" w:cs="Times New Roman"/>
                <w:color w:val="auto"/>
                <w:spacing w:val="-5"/>
                <w:kern w:val="0"/>
                <w:sz w:val="18"/>
                <w:szCs w:val="18"/>
              </w:rPr>
            </w:pPr>
            <w:r>
              <w:rPr>
                <w:rFonts w:ascii="Times New Roman" w:hAnsi="Times New Roman" w:cs="Times New Roman"/>
                <w:color w:val="auto"/>
                <w:spacing w:val="-5"/>
                <w:kern w:val="0"/>
                <w:sz w:val="18"/>
                <w:szCs w:val="18"/>
              </w:rPr>
              <w:t>废水处理设施进口</w:t>
            </w:r>
            <w:r>
              <w:rPr>
                <w:rFonts w:hint="default" w:ascii="Times New Roman" w:hAnsi="Times New Roman" w:cs="Times New Roman"/>
                <w:color w:val="auto"/>
                <w:spacing w:val="-5"/>
                <w:kern w:val="0"/>
                <w:sz w:val="18"/>
                <w:szCs w:val="18"/>
              </w:rPr>
              <w:t>F1</w:t>
            </w:r>
          </w:p>
        </w:tc>
        <w:tc>
          <w:tcPr>
            <w:tcW w:w="595"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pH值</w:t>
            </w:r>
          </w:p>
        </w:tc>
        <w:tc>
          <w:tcPr>
            <w:tcW w:w="478" w:type="pct"/>
            <w:tcBorders>
              <w:tl2br w:val="nil"/>
              <w:tr2bl w:val="nil"/>
            </w:tcBorders>
            <w:vAlign w:val="center"/>
          </w:tcPr>
          <w:p>
            <w:pPr>
              <w:jc w:val="center"/>
              <w:rPr>
                <w:rFonts w:hint="eastAsia" w:ascii="Times New Roman" w:hAnsi="Times New Roman" w:cs="Times New Roman" w:eastAsiaTheme="minorEastAsia"/>
                <w:color w:val="auto"/>
                <w:sz w:val="18"/>
                <w:szCs w:val="18"/>
                <w:lang w:eastAsia="zh-CN"/>
              </w:rPr>
            </w:pPr>
            <w:r>
              <w:rPr>
                <w:rFonts w:hint="default" w:ascii="Times New Roman" w:hAnsi="Times New Roman" w:cs="Times New Roman"/>
                <w:color w:val="auto"/>
                <w:sz w:val="18"/>
                <w:szCs w:val="18"/>
              </w:rPr>
              <w:t>7.</w:t>
            </w:r>
            <w:r>
              <w:rPr>
                <w:rFonts w:hint="eastAsia" w:ascii="Times New Roman" w:hAnsi="Times New Roman" w:cs="Times New Roman"/>
                <w:color w:val="auto"/>
                <w:sz w:val="18"/>
                <w:szCs w:val="18"/>
                <w:lang w:val="en-US" w:eastAsia="zh-CN"/>
              </w:rPr>
              <w:t>2</w:t>
            </w:r>
          </w:p>
        </w:tc>
        <w:tc>
          <w:tcPr>
            <w:tcW w:w="410" w:type="pct"/>
            <w:tcBorders>
              <w:tl2br w:val="nil"/>
              <w:tr2bl w:val="nil"/>
            </w:tcBorders>
            <w:vAlign w:val="center"/>
          </w:tcPr>
          <w:p>
            <w:pPr>
              <w:jc w:val="center"/>
              <w:rPr>
                <w:rFonts w:hint="eastAsia" w:ascii="Times New Roman" w:hAnsi="Times New Roman" w:cs="Times New Roman" w:eastAsiaTheme="minorEastAsia"/>
                <w:color w:val="auto"/>
                <w:sz w:val="18"/>
                <w:szCs w:val="18"/>
                <w:lang w:eastAsia="zh-CN"/>
              </w:rPr>
            </w:pPr>
            <w:r>
              <w:rPr>
                <w:rFonts w:hint="default" w:ascii="Times New Roman" w:hAnsi="Times New Roman" w:cs="Times New Roman"/>
                <w:color w:val="auto"/>
                <w:sz w:val="18"/>
                <w:szCs w:val="18"/>
              </w:rPr>
              <w:t>7.</w:t>
            </w:r>
            <w:r>
              <w:rPr>
                <w:rFonts w:hint="eastAsia" w:ascii="Times New Roman" w:hAnsi="Times New Roman" w:cs="Times New Roman"/>
                <w:color w:val="auto"/>
                <w:sz w:val="18"/>
                <w:szCs w:val="18"/>
                <w:lang w:val="en-US" w:eastAsia="zh-CN"/>
              </w:rPr>
              <w:t>0</w:t>
            </w:r>
          </w:p>
        </w:tc>
        <w:tc>
          <w:tcPr>
            <w:tcW w:w="376"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6.9</w:t>
            </w:r>
          </w:p>
        </w:tc>
        <w:tc>
          <w:tcPr>
            <w:tcW w:w="380" w:type="pct"/>
            <w:tcBorders>
              <w:tl2br w:val="nil"/>
              <w:tr2bl w:val="nil"/>
            </w:tcBorders>
            <w:vAlign w:val="center"/>
          </w:tcPr>
          <w:p>
            <w:pPr>
              <w:jc w:val="center"/>
              <w:rPr>
                <w:rFonts w:hint="eastAsia" w:ascii="Times New Roman" w:hAnsi="Times New Roman" w:cs="Times New Roman" w:eastAsiaTheme="minorEastAsia"/>
                <w:color w:val="auto"/>
                <w:sz w:val="18"/>
                <w:szCs w:val="18"/>
                <w:lang w:eastAsia="zh-CN"/>
              </w:rPr>
            </w:pPr>
            <w:r>
              <w:rPr>
                <w:rFonts w:hint="default" w:ascii="Times New Roman" w:hAnsi="Times New Roman" w:cs="Times New Roman"/>
                <w:color w:val="auto"/>
                <w:sz w:val="18"/>
                <w:szCs w:val="18"/>
              </w:rPr>
              <w:t>7.</w:t>
            </w:r>
            <w:r>
              <w:rPr>
                <w:rFonts w:hint="eastAsia" w:ascii="Times New Roman" w:hAnsi="Times New Roman" w:cs="Times New Roman"/>
                <w:color w:val="auto"/>
                <w:sz w:val="18"/>
                <w:szCs w:val="18"/>
                <w:lang w:val="en-US" w:eastAsia="zh-CN"/>
              </w:rPr>
              <w:t>3</w:t>
            </w:r>
          </w:p>
        </w:tc>
        <w:tc>
          <w:tcPr>
            <w:tcW w:w="376" w:type="pct"/>
            <w:tcBorders>
              <w:tl2br w:val="nil"/>
              <w:tr2bl w:val="nil"/>
            </w:tcBorders>
            <w:vAlign w:val="center"/>
          </w:tcPr>
          <w:p>
            <w:pPr>
              <w:jc w:val="center"/>
              <w:rPr>
                <w:rFonts w:hint="eastAsia" w:ascii="Times New Roman" w:hAnsi="Times New Roman" w:cs="Times New Roman" w:eastAsiaTheme="minorEastAsia"/>
                <w:color w:val="auto"/>
                <w:sz w:val="18"/>
                <w:szCs w:val="18"/>
                <w:lang w:eastAsia="zh-CN"/>
              </w:rPr>
            </w:pPr>
            <w:r>
              <w:rPr>
                <w:rFonts w:hint="default" w:ascii="Times New Roman" w:hAnsi="Times New Roman" w:cs="Times New Roman"/>
                <w:color w:val="auto"/>
                <w:sz w:val="18"/>
                <w:szCs w:val="18"/>
              </w:rPr>
              <w:t>7.</w:t>
            </w:r>
            <w:r>
              <w:rPr>
                <w:rFonts w:hint="eastAsia" w:ascii="Times New Roman" w:hAnsi="Times New Roman" w:cs="Times New Roman"/>
                <w:color w:val="auto"/>
                <w:sz w:val="18"/>
                <w:szCs w:val="18"/>
                <w:lang w:val="en-US" w:eastAsia="zh-CN"/>
              </w:rPr>
              <w:t>1</w:t>
            </w:r>
          </w:p>
        </w:tc>
        <w:tc>
          <w:tcPr>
            <w:tcW w:w="376" w:type="pct"/>
            <w:tcBorders>
              <w:tl2br w:val="nil"/>
              <w:tr2bl w:val="nil"/>
            </w:tcBorders>
            <w:vAlign w:val="center"/>
          </w:tcPr>
          <w:p>
            <w:pPr>
              <w:jc w:val="center"/>
              <w:rPr>
                <w:rFonts w:hint="eastAsia" w:ascii="Times New Roman" w:hAnsi="Times New Roman" w:cs="Times New Roman" w:eastAsiaTheme="minorEastAsia"/>
                <w:color w:val="auto"/>
                <w:sz w:val="18"/>
                <w:szCs w:val="18"/>
                <w:lang w:eastAsia="zh-CN"/>
              </w:rPr>
            </w:pPr>
            <w:r>
              <w:rPr>
                <w:rFonts w:hint="default" w:ascii="Times New Roman" w:hAnsi="Times New Roman" w:cs="Times New Roman"/>
                <w:color w:val="auto"/>
                <w:sz w:val="18"/>
                <w:szCs w:val="18"/>
              </w:rPr>
              <w:t>7.</w:t>
            </w:r>
            <w:r>
              <w:rPr>
                <w:rFonts w:hint="eastAsia" w:ascii="Times New Roman" w:hAnsi="Times New Roman" w:cs="Times New Roman"/>
                <w:color w:val="auto"/>
                <w:sz w:val="18"/>
                <w:szCs w:val="18"/>
                <w:lang w:val="en-US" w:eastAsia="zh-CN"/>
              </w:rPr>
              <w:t>3</w:t>
            </w:r>
          </w:p>
        </w:tc>
        <w:tc>
          <w:tcPr>
            <w:tcW w:w="376" w:type="pct"/>
            <w:tcBorders>
              <w:tl2br w:val="nil"/>
              <w:tr2bl w:val="nil"/>
            </w:tcBorders>
            <w:vAlign w:val="center"/>
          </w:tcPr>
          <w:p>
            <w:pPr>
              <w:jc w:val="center"/>
              <w:rPr>
                <w:rFonts w:hint="eastAsia" w:ascii="Times New Roman" w:hAnsi="Times New Roman" w:cs="Times New Roman" w:eastAsiaTheme="minorEastAsia"/>
                <w:color w:val="auto"/>
                <w:sz w:val="18"/>
                <w:szCs w:val="18"/>
                <w:lang w:eastAsia="zh-CN"/>
              </w:rPr>
            </w:pPr>
            <w:r>
              <w:rPr>
                <w:rFonts w:hint="default" w:ascii="Times New Roman" w:hAnsi="Times New Roman" w:cs="Times New Roman"/>
                <w:color w:val="auto"/>
                <w:sz w:val="18"/>
                <w:szCs w:val="18"/>
              </w:rPr>
              <w:t>7.</w:t>
            </w:r>
            <w:r>
              <w:rPr>
                <w:rFonts w:hint="eastAsia" w:ascii="Times New Roman" w:hAnsi="Times New Roman" w:cs="Times New Roman"/>
                <w:color w:val="auto"/>
                <w:sz w:val="18"/>
                <w:szCs w:val="18"/>
                <w:lang w:val="en-US" w:eastAsia="zh-CN"/>
              </w:rPr>
              <w:t>0</w:t>
            </w:r>
          </w:p>
        </w:tc>
        <w:tc>
          <w:tcPr>
            <w:tcW w:w="383"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6.8</w:t>
            </w:r>
          </w:p>
        </w:tc>
        <w:tc>
          <w:tcPr>
            <w:tcW w:w="338"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460" w:type="pct"/>
            <w:tcBorders>
              <w:tl2br w:val="nil"/>
              <w:tr2bl w:val="nil"/>
            </w:tcBorders>
            <w:vAlign w:val="center"/>
          </w:tcPr>
          <w:p>
            <w:pPr>
              <w:widowControl/>
              <w:jc w:val="center"/>
              <w:textAlignment w:val="center"/>
              <w:rPr>
                <w:rFonts w:ascii="Times New Roman" w:hAnsi="Times New Roman" w:cs="Times New Roman"/>
                <w:color w:val="auto"/>
                <w:sz w:val="18"/>
                <w:szCs w:val="18"/>
              </w:rPr>
            </w:pPr>
            <w:r>
              <w:rPr>
                <w:rFonts w:hint="default" w:ascii="Times New Roman" w:hAnsi="Times New Roman" w:eastAsia="宋体" w:cs="Times New Roman"/>
                <w:color w:val="auto"/>
                <w:kern w:val="0"/>
                <w:sz w:val="18"/>
                <w:szCs w:val="18"/>
                <w:lang w:bidi="ar"/>
              </w:rPr>
              <w:t>无量纲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9" w:hRule="atLeast"/>
          <w:tblHeader/>
          <w:jc w:val="center"/>
        </w:trPr>
        <w:tc>
          <w:tcPr>
            <w:tcW w:w="447" w:type="pct"/>
            <w:vMerge w:val="continue"/>
            <w:tcBorders>
              <w:tl2br w:val="nil"/>
              <w:tr2bl w:val="nil"/>
            </w:tcBorders>
            <w:vAlign w:val="center"/>
          </w:tcPr>
          <w:p>
            <w:pPr>
              <w:adjustRightInd w:val="0"/>
              <w:snapToGrid w:val="0"/>
              <w:ind w:left="-42" w:leftChars="-20"/>
              <w:jc w:val="center"/>
              <w:rPr>
                <w:rFonts w:ascii="Times New Roman" w:hAnsi="Times New Roman" w:eastAsia="宋体" w:cs="Times New Roman"/>
                <w:color w:val="auto"/>
                <w:spacing w:val="-5"/>
                <w:kern w:val="0"/>
                <w:sz w:val="18"/>
                <w:szCs w:val="18"/>
              </w:rPr>
            </w:pPr>
          </w:p>
        </w:tc>
        <w:tc>
          <w:tcPr>
            <w:tcW w:w="595"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化学需氧量</w:t>
            </w:r>
          </w:p>
        </w:tc>
        <w:tc>
          <w:tcPr>
            <w:tcW w:w="478" w:type="pct"/>
            <w:tcBorders>
              <w:tl2br w:val="nil"/>
              <w:tr2bl w:val="nil"/>
            </w:tcBorders>
            <w:vAlign w:val="center"/>
          </w:tcPr>
          <w:p>
            <w:pPr>
              <w:jc w:val="center"/>
              <w:rPr>
                <w:rFonts w:hint="default" w:ascii="Times New Roman" w:hAnsi="Times New Roman" w:cs="Times New Roman" w:eastAsiaTheme="minorEastAsia"/>
                <w:color w:val="auto"/>
                <w:sz w:val="18"/>
                <w:szCs w:val="18"/>
                <w:vertAlign w:val="superscript"/>
                <w:lang w:val="en-US" w:eastAsia="zh-CN"/>
              </w:rPr>
            </w:pPr>
            <w:r>
              <w:rPr>
                <w:rFonts w:hint="eastAsia" w:ascii="Times New Roman" w:hAnsi="Times New Roman" w:cs="Times New Roman"/>
                <w:color w:val="auto"/>
                <w:sz w:val="18"/>
                <w:szCs w:val="18"/>
                <w:lang w:val="en-US" w:eastAsia="zh-CN"/>
              </w:rPr>
              <w:t>1.94</w:t>
            </w:r>
            <w:r>
              <w:rPr>
                <w:rFonts w:hint="default" w:ascii="Arial" w:hAnsi="Arial" w:cs="Arial"/>
                <w:color w:val="auto"/>
                <w:sz w:val="18"/>
                <w:szCs w:val="18"/>
                <w:vertAlign w:val="baseline"/>
                <w:lang w:val="en-US" w:eastAsia="zh-CN"/>
              </w:rPr>
              <w:t>×</w:t>
            </w:r>
            <w:r>
              <w:rPr>
                <w:rFonts w:hint="eastAsia" w:ascii="Times New Roman" w:hAnsi="Times New Roman" w:cs="Times New Roman"/>
                <w:color w:val="auto"/>
                <w:sz w:val="18"/>
                <w:szCs w:val="18"/>
                <w:vertAlign w:val="baseline"/>
                <w:lang w:val="en-US" w:eastAsia="zh-CN"/>
              </w:rPr>
              <w:t>10</w:t>
            </w:r>
            <w:r>
              <w:rPr>
                <w:rFonts w:hint="eastAsia" w:ascii="Times New Roman" w:hAnsi="Times New Roman" w:cs="Times New Roman"/>
                <w:color w:val="auto"/>
                <w:sz w:val="18"/>
                <w:szCs w:val="18"/>
                <w:vertAlign w:val="superscript"/>
                <w:lang w:val="en-US" w:eastAsia="zh-CN"/>
              </w:rPr>
              <w:t>4</w:t>
            </w:r>
          </w:p>
        </w:tc>
        <w:tc>
          <w:tcPr>
            <w:tcW w:w="410" w:type="pct"/>
            <w:tcBorders>
              <w:tl2br w:val="nil"/>
              <w:tr2bl w:val="nil"/>
            </w:tcBorders>
            <w:vAlign w:val="center"/>
          </w:tcPr>
          <w:p>
            <w:pPr>
              <w:jc w:val="center"/>
              <w:rPr>
                <w:rFonts w:ascii="Times New Roman" w:hAnsi="Times New Roman" w:cs="Times New Roman"/>
                <w:color w:val="auto"/>
                <w:sz w:val="18"/>
                <w:szCs w:val="18"/>
              </w:rPr>
            </w:pPr>
            <w:r>
              <w:rPr>
                <w:rFonts w:hint="eastAsia" w:ascii="Times New Roman" w:hAnsi="Times New Roman" w:cs="Times New Roman"/>
                <w:color w:val="auto"/>
                <w:sz w:val="18"/>
                <w:szCs w:val="18"/>
                <w:lang w:val="en-US" w:eastAsia="zh-CN"/>
              </w:rPr>
              <w:t>1.86</w:t>
            </w:r>
            <w:r>
              <w:rPr>
                <w:rFonts w:hint="default" w:ascii="Arial" w:hAnsi="Arial" w:cs="Arial"/>
                <w:color w:val="auto"/>
                <w:sz w:val="18"/>
                <w:szCs w:val="18"/>
                <w:vertAlign w:val="baseline"/>
                <w:lang w:val="en-US" w:eastAsia="zh-CN"/>
              </w:rPr>
              <w:t>×</w:t>
            </w:r>
            <w:r>
              <w:rPr>
                <w:rFonts w:hint="eastAsia" w:ascii="Times New Roman" w:hAnsi="Times New Roman" w:cs="Times New Roman"/>
                <w:color w:val="auto"/>
                <w:sz w:val="18"/>
                <w:szCs w:val="18"/>
                <w:vertAlign w:val="baseline"/>
                <w:lang w:val="en-US" w:eastAsia="zh-CN"/>
              </w:rPr>
              <w:t>10</w:t>
            </w:r>
            <w:r>
              <w:rPr>
                <w:rFonts w:hint="eastAsia" w:ascii="Times New Roman" w:hAnsi="Times New Roman" w:cs="Times New Roman"/>
                <w:color w:val="auto"/>
                <w:sz w:val="18"/>
                <w:szCs w:val="18"/>
                <w:vertAlign w:val="superscript"/>
                <w:lang w:val="en-US" w:eastAsia="zh-CN"/>
              </w:rPr>
              <w:t>4</w:t>
            </w:r>
          </w:p>
        </w:tc>
        <w:tc>
          <w:tcPr>
            <w:tcW w:w="376" w:type="pct"/>
            <w:tcBorders>
              <w:tl2br w:val="nil"/>
              <w:tr2bl w:val="nil"/>
            </w:tcBorders>
            <w:vAlign w:val="center"/>
          </w:tcPr>
          <w:p>
            <w:pPr>
              <w:jc w:val="center"/>
              <w:rPr>
                <w:rFonts w:ascii="Times New Roman" w:hAnsi="Times New Roman" w:cs="Times New Roman"/>
                <w:color w:val="auto"/>
                <w:sz w:val="18"/>
                <w:szCs w:val="18"/>
              </w:rPr>
            </w:pPr>
            <w:r>
              <w:rPr>
                <w:rFonts w:hint="eastAsia" w:ascii="Times New Roman" w:hAnsi="Times New Roman" w:cs="Times New Roman"/>
                <w:color w:val="auto"/>
                <w:sz w:val="18"/>
                <w:szCs w:val="18"/>
                <w:lang w:val="en-US" w:eastAsia="zh-CN"/>
              </w:rPr>
              <w:t>1.90</w:t>
            </w:r>
            <w:r>
              <w:rPr>
                <w:rFonts w:hint="default" w:ascii="Arial" w:hAnsi="Arial" w:cs="Arial"/>
                <w:color w:val="auto"/>
                <w:sz w:val="18"/>
                <w:szCs w:val="18"/>
                <w:vertAlign w:val="baseline"/>
                <w:lang w:val="en-US" w:eastAsia="zh-CN"/>
              </w:rPr>
              <w:t>×</w:t>
            </w:r>
            <w:r>
              <w:rPr>
                <w:rFonts w:hint="eastAsia" w:ascii="Times New Roman" w:hAnsi="Times New Roman" w:cs="Times New Roman"/>
                <w:color w:val="auto"/>
                <w:sz w:val="18"/>
                <w:szCs w:val="18"/>
                <w:vertAlign w:val="baseline"/>
                <w:lang w:val="en-US" w:eastAsia="zh-CN"/>
              </w:rPr>
              <w:t>10</w:t>
            </w:r>
            <w:r>
              <w:rPr>
                <w:rFonts w:hint="eastAsia" w:ascii="Times New Roman" w:hAnsi="Times New Roman" w:cs="Times New Roman"/>
                <w:color w:val="auto"/>
                <w:sz w:val="18"/>
                <w:szCs w:val="18"/>
                <w:vertAlign w:val="superscript"/>
                <w:lang w:val="en-US" w:eastAsia="zh-CN"/>
              </w:rPr>
              <w:t>4</w:t>
            </w:r>
          </w:p>
        </w:tc>
        <w:tc>
          <w:tcPr>
            <w:tcW w:w="380" w:type="pct"/>
            <w:tcBorders>
              <w:tl2br w:val="nil"/>
              <w:tr2bl w:val="nil"/>
            </w:tcBorders>
            <w:vAlign w:val="center"/>
          </w:tcPr>
          <w:p>
            <w:pPr>
              <w:jc w:val="center"/>
              <w:rPr>
                <w:rFonts w:ascii="Times New Roman" w:hAnsi="Times New Roman" w:cs="Times New Roman"/>
                <w:color w:val="auto"/>
                <w:sz w:val="18"/>
                <w:szCs w:val="18"/>
              </w:rPr>
            </w:pPr>
            <w:r>
              <w:rPr>
                <w:rFonts w:hint="eastAsia" w:ascii="Times New Roman" w:hAnsi="Times New Roman" w:cs="Times New Roman"/>
                <w:color w:val="auto"/>
                <w:sz w:val="18"/>
                <w:szCs w:val="18"/>
                <w:lang w:val="en-US" w:eastAsia="zh-CN"/>
              </w:rPr>
              <w:t>1.94</w:t>
            </w:r>
            <w:r>
              <w:rPr>
                <w:rFonts w:hint="default" w:ascii="Arial" w:hAnsi="Arial" w:cs="Arial"/>
                <w:color w:val="auto"/>
                <w:sz w:val="18"/>
                <w:szCs w:val="18"/>
                <w:vertAlign w:val="baseline"/>
                <w:lang w:val="en-US" w:eastAsia="zh-CN"/>
              </w:rPr>
              <w:t>×</w:t>
            </w:r>
            <w:r>
              <w:rPr>
                <w:rFonts w:hint="eastAsia" w:ascii="Times New Roman" w:hAnsi="Times New Roman" w:cs="Times New Roman"/>
                <w:color w:val="auto"/>
                <w:sz w:val="18"/>
                <w:szCs w:val="18"/>
                <w:vertAlign w:val="baseline"/>
                <w:lang w:val="en-US" w:eastAsia="zh-CN"/>
              </w:rPr>
              <w:t>10</w:t>
            </w:r>
            <w:r>
              <w:rPr>
                <w:rFonts w:hint="eastAsia" w:ascii="Times New Roman" w:hAnsi="Times New Roman" w:cs="Times New Roman"/>
                <w:color w:val="auto"/>
                <w:sz w:val="18"/>
                <w:szCs w:val="18"/>
                <w:vertAlign w:val="superscript"/>
                <w:lang w:val="en-US" w:eastAsia="zh-CN"/>
              </w:rPr>
              <w:t>4</w:t>
            </w:r>
          </w:p>
        </w:tc>
        <w:tc>
          <w:tcPr>
            <w:tcW w:w="376" w:type="pct"/>
            <w:tcBorders>
              <w:tl2br w:val="nil"/>
              <w:tr2bl w:val="nil"/>
            </w:tcBorders>
            <w:vAlign w:val="center"/>
          </w:tcPr>
          <w:p>
            <w:pPr>
              <w:jc w:val="center"/>
              <w:rPr>
                <w:rFonts w:ascii="Times New Roman" w:hAnsi="Times New Roman" w:cs="Times New Roman"/>
                <w:color w:val="auto"/>
                <w:sz w:val="18"/>
                <w:szCs w:val="18"/>
              </w:rPr>
            </w:pPr>
            <w:r>
              <w:rPr>
                <w:rFonts w:hint="eastAsia" w:ascii="Times New Roman" w:hAnsi="Times New Roman" w:cs="Times New Roman"/>
                <w:color w:val="auto"/>
                <w:sz w:val="18"/>
                <w:szCs w:val="18"/>
                <w:lang w:val="en-US" w:eastAsia="zh-CN"/>
              </w:rPr>
              <w:t>1.83</w:t>
            </w:r>
            <w:r>
              <w:rPr>
                <w:rFonts w:hint="default" w:ascii="Arial" w:hAnsi="Arial" w:cs="Arial"/>
                <w:color w:val="auto"/>
                <w:sz w:val="18"/>
                <w:szCs w:val="18"/>
                <w:vertAlign w:val="baseline"/>
                <w:lang w:val="en-US" w:eastAsia="zh-CN"/>
              </w:rPr>
              <w:t>×</w:t>
            </w:r>
            <w:r>
              <w:rPr>
                <w:rFonts w:hint="eastAsia" w:ascii="Times New Roman" w:hAnsi="Times New Roman" w:cs="Times New Roman"/>
                <w:color w:val="auto"/>
                <w:sz w:val="18"/>
                <w:szCs w:val="18"/>
                <w:vertAlign w:val="baseline"/>
                <w:lang w:val="en-US" w:eastAsia="zh-CN"/>
              </w:rPr>
              <w:t>10</w:t>
            </w:r>
            <w:r>
              <w:rPr>
                <w:rFonts w:hint="eastAsia" w:ascii="Times New Roman" w:hAnsi="Times New Roman" w:cs="Times New Roman"/>
                <w:color w:val="auto"/>
                <w:sz w:val="18"/>
                <w:szCs w:val="18"/>
                <w:vertAlign w:val="superscript"/>
                <w:lang w:val="en-US" w:eastAsia="zh-CN"/>
              </w:rPr>
              <w:t>4</w:t>
            </w:r>
          </w:p>
        </w:tc>
        <w:tc>
          <w:tcPr>
            <w:tcW w:w="376" w:type="pct"/>
            <w:tcBorders>
              <w:tl2br w:val="nil"/>
              <w:tr2bl w:val="nil"/>
            </w:tcBorders>
            <w:vAlign w:val="center"/>
          </w:tcPr>
          <w:p>
            <w:pPr>
              <w:jc w:val="center"/>
              <w:rPr>
                <w:rFonts w:ascii="Times New Roman" w:hAnsi="Times New Roman" w:cs="Times New Roman"/>
                <w:color w:val="auto"/>
                <w:sz w:val="18"/>
                <w:szCs w:val="18"/>
              </w:rPr>
            </w:pPr>
            <w:r>
              <w:rPr>
                <w:rFonts w:hint="eastAsia" w:ascii="Times New Roman" w:hAnsi="Times New Roman" w:cs="Times New Roman"/>
                <w:color w:val="auto"/>
                <w:sz w:val="18"/>
                <w:szCs w:val="18"/>
                <w:lang w:val="en-US" w:eastAsia="zh-CN"/>
              </w:rPr>
              <w:t>1.94</w:t>
            </w:r>
            <w:r>
              <w:rPr>
                <w:rFonts w:hint="default" w:ascii="Arial" w:hAnsi="Arial" w:cs="Arial"/>
                <w:color w:val="auto"/>
                <w:sz w:val="18"/>
                <w:szCs w:val="18"/>
                <w:vertAlign w:val="baseline"/>
                <w:lang w:val="en-US" w:eastAsia="zh-CN"/>
              </w:rPr>
              <w:t>×</w:t>
            </w:r>
            <w:r>
              <w:rPr>
                <w:rFonts w:hint="eastAsia" w:ascii="Times New Roman" w:hAnsi="Times New Roman" w:cs="Times New Roman"/>
                <w:color w:val="auto"/>
                <w:sz w:val="18"/>
                <w:szCs w:val="18"/>
                <w:vertAlign w:val="baseline"/>
                <w:lang w:val="en-US" w:eastAsia="zh-CN"/>
              </w:rPr>
              <w:t>10</w:t>
            </w:r>
            <w:r>
              <w:rPr>
                <w:rFonts w:hint="eastAsia" w:ascii="Times New Roman" w:hAnsi="Times New Roman" w:cs="Times New Roman"/>
                <w:color w:val="auto"/>
                <w:sz w:val="18"/>
                <w:szCs w:val="18"/>
                <w:vertAlign w:val="superscript"/>
                <w:lang w:val="en-US" w:eastAsia="zh-CN"/>
              </w:rPr>
              <w:t>4</w:t>
            </w:r>
          </w:p>
        </w:tc>
        <w:tc>
          <w:tcPr>
            <w:tcW w:w="376" w:type="pct"/>
            <w:tcBorders>
              <w:tl2br w:val="nil"/>
              <w:tr2bl w:val="nil"/>
            </w:tcBorders>
            <w:vAlign w:val="center"/>
          </w:tcPr>
          <w:p>
            <w:pPr>
              <w:jc w:val="center"/>
              <w:rPr>
                <w:rFonts w:ascii="Times New Roman" w:hAnsi="Times New Roman" w:cs="Times New Roman"/>
                <w:color w:val="auto"/>
                <w:sz w:val="18"/>
                <w:szCs w:val="18"/>
              </w:rPr>
            </w:pPr>
            <w:r>
              <w:rPr>
                <w:rFonts w:hint="eastAsia" w:ascii="Times New Roman" w:hAnsi="Times New Roman" w:cs="Times New Roman"/>
                <w:color w:val="auto"/>
                <w:sz w:val="18"/>
                <w:szCs w:val="18"/>
                <w:lang w:val="en-US" w:eastAsia="zh-CN"/>
              </w:rPr>
              <w:t>1.83</w:t>
            </w:r>
            <w:r>
              <w:rPr>
                <w:rFonts w:hint="default" w:ascii="Arial" w:hAnsi="Arial" w:cs="Arial"/>
                <w:color w:val="auto"/>
                <w:sz w:val="18"/>
                <w:szCs w:val="18"/>
                <w:vertAlign w:val="baseline"/>
                <w:lang w:val="en-US" w:eastAsia="zh-CN"/>
              </w:rPr>
              <w:t>×</w:t>
            </w:r>
            <w:r>
              <w:rPr>
                <w:rFonts w:hint="eastAsia" w:ascii="Times New Roman" w:hAnsi="Times New Roman" w:cs="Times New Roman"/>
                <w:color w:val="auto"/>
                <w:sz w:val="18"/>
                <w:szCs w:val="18"/>
                <w:vertAlign w:val="baseline"/>
                <w:lang w:val="en-US" w:eastAsia="zh-CN"/>
              </w:rPr>
              <w:t>10</w:t>
            </w:r>
            <w:r>
              <w:rPr>
                <w:rFonts w:hint="eastAsia" w:ascii="Times New Roman" w:hAnsi="Times New Roman" w:cs="Times New Roman"/>
                <w:color w:val="auto"/>
                <w:sz w:val="18"/>
                <w:szCs w:val="18"/>
                <w:vertAlign w:val="superscript"/>
                <w:lang w:val="en-US" w:eastAsia="zh-CN"/>
              </w:rPr>
              <w:t>4</w:t>
            </w:r>
          </w:p>
        </w:tc>
        <w:tc>
          <w:tcPr>
            <w:tcW w:w="383" w:type="pct"/>
            <w:tcBorders>
              <w:tl2br w:val="nil"/>
              <w:tr2bl w:val="nil"/>
            </w:tcBorders>
            <w:vAlign w:val="center"/>
          </w:tcPr>
          <w:p>
            <w:pPr>
              <w:jc w:val="center"/>
              <w:rPr>
                <w:rFonts w:ascii="Times New Roman" w:hAnsi="Times New Roman" w:cs="Times New Roman"/>
                <w:color w:val="auto"/>
                <w:sz w:val="18"/>
                <w:szCs w:val="18"/>
              </w:rPr>
            </w:pPr>
            <w:r>
              <w:rPr>
                <w:rFonts w:hint="eastAsia" w:ascii="Times New Roman" w:hAnsi="Times New Roman" w:cs="Times New Roman"/>
                <w:color w:val="auto"/>
                <w:sz w:val="18"/>
                <w:szCs w:val="18"/>
                <w:lang w:val="en-US" w:eastAsia="zh-CN"/>
              </w:rPr>
              <w:t>1.90</w:t>
            </w:r>
            <w:r>
              <w:rPr>
                <w:rFonts w:hint="default" w:ascii="Arial" w:hAnsi="Arial" w:cs="Arial"/>
                <w:color w:val="auto"/>
                <w:sz w:val="18"/>
                <w:szCs w:val="18"/>
                <w:vertAlign w:val="baseline"/>
                <w:lang w:val="en-US" w:eastAsia="zh-CN"/>
              </w:rPr>
              <w:t>×</w:t>
            </w:r>
            <w:r>
              <w:rPr>
                <w:rFonts w:hint="eastAsia" w:ascii="Times New Roman" w:hAnsi="Times New Roman" w:cs="Times New Roman"/>
                <w:color w:val="auto"/>
                <w:sz w:val="18"/>
                <w:szCs w:val="18"/>
                <w:vertAlign w:val="baseline"/>
                <w:lang w:val="en-US" w:eastAsia="zh-CN"/>
              </w:rPr>
              <w:t>10</w:t>
            </w:r>
            <w:r>
              <w:rPr>
                <w:rFonts w:hint="eastAsia" w:ascii="Times New Roman" w:hAnsi="Times New Roman" w:cs="Times New Roman"/>
                <w:color w:val="auto"/>
                <w:sz w:val="18"/>
                <w:szCs w:val="18"/>
                <w:vertAlign w:val="superscript"/>
                <w:lang w:val="en-US" w:eastAsia="zh-CN"/>
              </w:rPr>
              <w:t>4</w:t>
            </w:r>
          </w:p>
        </w:tc>
        <w:tc>
          <w:tcPr>
            <w:tcW w:w="338"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460" w:type="pct"/>
            <w:tcBorders>
              <w:tl2br w:val="nil"/>
              <w:tr2bl w:val="nil"/>
            </w:tcBorders>
            <w:vAlign w:val="center"/>
          </w:tcPr>
          <w:p>
            <w:pPr>
              <w:widowControl/>
              <w:jc w:val="center"/>
              <w:textAlignment w:val="center"/>
              <w:rPr>
                <w:rFonts w:ascii="Times New Roman" w:hAnsi="Times New Roman" w:cs="Times New Roman"/>
                <w:color w:val="auto"/>
                <w:sz w:val="18"/>
                <w:szCs w:val="18"/>
              </w:rPr>
            </w:pPr>
            <w:r>
              <w:rPr>
                <w:rFonts w:ascii="Times New Roman" w:hAnsi="Times New Roman" w:eastAsia="宋体" w:cs="Times New Roman"/>
                <w:color w:val="auto"/>
                <w:kern w:val="0"/>
                <w:sz w:val="18"/>
                <w:szCs w:val="18"/>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9" w:hRule="atLeast"/>
          <w:tblHeader/>
          <w:jc w:val="center"/>
        </w:trPr>
        <w:tc>
          <w:tcPr>
            <w:tcW w:w="447" w:type="pct"/>
            <w:vMerge w:val="continue"/>
            <w:tcBorders>
              <w:tl2br w:val="nil"/>
              <w:tr2bl w:val="nil"/>
            </w:tcBorders>
            <w:vAlign w:val="center"/>
          </w:tcPr>
          <w:p>
            <w:pPr>
              <w:jc w:val="center"/>
              <w:rPr>
                <w:rFonts w:ascii="Times New Roman" w:hAnsi="Times New Roman" w:cs="Times New Roman"/>
                <w:b/>
                <w:bCs/>
                <w:color w:val="auto"/>
                <w:sz w:val="18"/>
                <w:szCs w:val="18"/>
              </w:rPr>
            </w:pPr>
          </w:p>
        </w:tc>
        <w:tc>
          <w:tcPr>
            <w:tcW w:w="595"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五日生化需氧量</w:t>
            </w:r>
          </w:p>
        </w:tc>
        <w:tc>
          <w:tcPr>
            <w:tcW w:w="478" w:type="pct"/>
            <w:tcBorders>
              <w:tl2br w:val="nil"/>
              <w:tr2bl w:val="nil"/>
            </w:tcBorders>
            <w:vAlign w:val="center"/>
          </w:tcPr>
          <w:p>
            <w:pPr>
              <w:jc w:val="center"/>
              <w:rPr>
                <w:rFonts w:ascii="Times New Roman" w:hAnsi="Times New Roman" w:cs="Times New Roman"/>
                <w:color w:val="auto"/>
                <w:sz w:val="18"/>
                <w:szCs w:val="18"/>
              </w:rPr>
            </w:pPr>
            <w:r>
              <w:rPr>
                <w:rFonts w:hint="eastAsia" w:ascii="Times New Roman" w:hAnsi="Times New Roman" w:cs="Times New Roman"/>
                <w:color w:val="auto"/>
                <w:sz w:val="18"/>
                <w:szCs w:val="18"/>
                <w:lang w:val="en-US" w:eastAsia="zh-CN"/>
              </w:rPr>
              <w:t>9.9</w:t>
            </w:r>
            <w:r>
              <w:rPr>
                <w:rFonts w:hint="default" w:ascii="Arial" w:hAnsi="Arial" w:cs="Arial"/>
                <w:color w:val="auto"/>
                <w:sz w:val="18"/>
                <w:szCs w:val="18"/>
                <w:vertAlign w:val="baseline"/>
                <w:lang w:val="en-US" w:eastAsia="zh-CN"/>
              </w:rPr>
              <w:t>×</w:t>
            </w:r>
            <w:r>
              <w:rPr>
                <w:rFonts w:hint="eastAsia" w:ascii="Times New Roman" w:hAnsi="Times New Roman" w:cs="Times New Roman"/>
                <w:color w:val="auto"/>
                <w:sz w:val="18"/>
                <w:szCs w:val="18"/>
                <w:vertAlign w:val="baseline"/>
                <w:lang w:val="en-US" w:eastAsia="zh-CN"/>
              </w:rPr>
              <w:t>10</w:t>
            </w:r>
            <w:r>
              <w:rPr>
                <w:rFonts w:hint="eastAsia" w:ascii="Times New Roman" w:hAnsi="Times New Roman" w:cs="Times New Roman"/>
                <w:color w:val="auto"/>
                <w:sz w:val="18"/>
                <w:szCs w:val="18"/>
                <w:vertAlign w:val="superscript"/>
                <w:lang w:val="en-US" w:eastAsia="zh-CN"/>
              </w:rPr>
              <w:t>3</w:t>
            </w:r>
          </w:p>
        </w:tc>
        <w:tc>
          <w:tcPr>
            <w:tcW w:w="410" w:type="pct"/>
            <w:tcBorders>
              <w:tl2br w:val="nil"/>
              <w:tr2bl w:val="nil"/>
            </w:tcBorders>
            <w:vAlign w:val="center"/>
          </w:tcPr>
          <w:p>
            <w:pPr>
              <w:jc w:val="center"/>
              <w:rPr>
                <w:rFonts w:ascii="Times New Roman" w:hAnsi="Times New Roman" w:cs="Times New Roman"/>
                <w:color w:val="auto"/>
                <w:sz w:val="18"/>
                <w:szCs w:val="18"/>
              </w:rPr>
            </w:pPr>
            <w:r>
              <w:rPr>
                <w:rFonts w:hint="eastAsia" w:ascii="Times New Roman" w:hAnsi="Times New Roman" w:cs="Times New Roman"/>
                <w:color w:val="auto"/>
                <w:sz w:val="18"/>
                <w:szCs w:val="18"/>
                <w:lang w:val="en-US" w:eastAsia="zh-CN"/>
              </w:rPr>
              <w:t>9.5</w:t>
            </w:r>
            <w:r>
              <w:rPr>
                <w:rFonts w:hint="default" w:ascii="Arial" w:hAnsi="Arial" w:cs="Arial"/>
                <w:color w:val="auto"/>
                <w:sz w:val="18"/>
                <w:szCs w:val="18"/>
                <w:vertAlign w:val="baseline"/>
                <w:lang w:val="en-US" w:eastAsia="zh-CN"/>
              </w:rPr>
              <w:t>×</w:t>
            </w:r>
            <w:r>
              <w:rPr>
                <w:rFonts w:hint="eastAsia" w:ascii="Times New Roman" w:hAnsi="Times New Roman" w:cs="Times New Roman"/>
                <w:color w:val="auto"/>
                <w:sz w:val="18"/>
                <w:szCs w:val="18"/>
                <w:vertAlign w:val="baseline"/>
                <w:lang w:val="en-US" w:eastAsia="zh-CN"/>
              </w:rPr>
              <w:t>10</w:t>
            </w:r>
            <w:r>
              <w:rPr>
                <w:rFonts w:hint="eastAsia" w:ascii="Times New Roman" w:hAnsi="Times New Roman" w:cs="Times New Roman"/>
                <w:color w:val="auto"/>
                <w:sz w:val="18"/>
                <w:szCs w:val="18"/>
                <w:vertAlign w:val="superscript"/>
                <w:lang w:val="en-US" w:eastAsia="zh-CN"/>
              </w:rPr>
              <w:t>3</w:t>
            </w:r>
          </w:p>
        </w:tc>
        <w:tc>
          <w:tcPr>
            <w:tcW w:w="376" w:type="pct"/>
            <w:tcBorders>
              <w:tl2br w:val="nil"/>
              <w:tr2bl w:val="nil"/>
            </w:tcBorders>
            <w:vAlign w:val="center"/>
          </w:tcPr>
          <w:p>
            <w:pPr>
              <w:jc w:val="center"/>
              <w:rPr>
                <w:rFonts w:ascii="Times New Roman" w:hAnsi="Times New Roman" w:cs="Times New Roman"/>
                <w:color w:val="auto"/>
                <w:sz w:val="18"/>
                <w:szCs w:val="18"/>
              </w:rPr>
            </w:pPr>
            <w:r>
              <w:rPr>
                <w:rFonts w:hint="eastAsia" w:ascii="Times New Roman" w:hAnsi="Times New Roman" w:cs="Times New Roman"/>
                <w:color w:val="auto"/>
                <w:sz w:val="18"/>
                <w:szCs w:val="18"/>
                <w:lang w:val="en-US" w:eastAsia="zh-CN"/>
              </w:rPr>
              <w:t>9.7</w:t>
            </w:r>
            <w:r>
              <w:rPr>
                <w:rFonts w:hint="default" w:ascii="Arial" w:hAnsi="Arial" w:cs="Arial"/>
                <w:color w:val="auto"/>
                <w:sz w:val="18"/>
                <w:szCs w:val="18"/>
                <w:vertAlign w:val="baseline"/>
                <w:lang w:val="en-US" w:eastAsia="zh-CN"/>
              </w:rPr>
              <w:t>×</w:t>
            </w:r>
            <w:r>
              <w:rPr>
                <w:rFonts w:hint="eastAsia" w:ascii="Times New Roman" w:hAnsi="Times New Roman" w:cs="Times New Roman"/>
                <w:color w:val="auto"/>
                <w:sz w:val="18"/>
                <w:szCs w:val="18"/>
                <w:vertAlign w:val="baseline"/>
                <w:lang w:val="en-US" w:eastAsia="zh-CN"/>
              </w:rPr>
              <w:t>10</w:t>
            </w:r>
            <w:r>
              <w:rPr>
                <w:rFonts w:hint="eastAsia" w:ascii="Times New Roman" w:hAnsi="Times New Roman" w:cs="Times New Roman"/>
                <w:color w:val="auto"/>
                <w:sz w:val="18"/>
                <w:szCs w:val="18"/>
                <w:vertAlign w:val="superscript"/>
                <w:lang w:val="en-US" w:eastAsia="zh-CN"/>
              </w:rPr>
              <w:t>3</w:t>
            </w:r>
          </w:p>
        </w:tc>
        <w:tc>
          <w:tcPr>
            <w:tcW w:w="380" w:type="pct"/>
            <w:tcBorders>
              <w:tl2br w:val="nil"/>
              <w:tr2bl w:val="nil"/>
            </w:tcBorders>
            <w:vAlign w:val="center"/>
          </w:tcPr>
          <w:p>
            <w:pPr>
              <w:jc w:val="center"/>
              <w:rPr>
                <w:rFonts w:ascii="Times New Roman" w:hAnsi="Times New Roman" w:cs="Times New Roman"/>
                <w:color w:val="auto"/>
                <w:sz w:val="18"/>
                <w:szCs w:val="18"/>
              </w:rPr>
            </w:pPr>
            <w:r>
              <w:rPr>
                <w:rFonts w:hint="eastAsia" w:ascii="Times New Roman" w:hAnsi="Times New Roman" w:cs="Times New Roman"/>
                <w:color w:val="auto"/>
                <w:sz w:val="18"/>
                <w:szCs w:val="18"/>
                <w:lang w:val="en-US" w:eastAsia="zh-CN"/>
              </w:rPr>
              <w:t>9.9</w:t>
            </w:r>
            <w:r>
              <w:rPr>
                <w:rFonts w:hint="default" w:ascii="Arial" w:hAnsi="Arial" w:cs="Arial"/>
                <w:color w:val="auto"/>
                <w:sz w:val="18"/>
                <w:szCs w:val="18"/>
                <w:vertAlign w:val="baseline"/>
                <w:lang w:val="en-US" w:eastAsia="zh-CN"/>
              </w:rPr>
              <w:t>×</w:t>
            </w:r>
            <w:r>
              <w:rPr>
                <w:rFonts w:hint="eastAsia" w:ascii="Times New Roman" w:hAnsi="Times New Roman" w:cs="Times New Roman"/>
                <w:color w:val="auto"/>
                <w:sz w:val="18"/>
                <w:szCs w:val="18"/>
                <w:vertAlign w:val="baseline"/>
                <w:lang w:val="en-US" w:eastAsia="zh-CN"/>
              </w:rPr>
              <w:t>10</w:t>
            </w:r>
            <w:r>
              <w:rPr>
                <w:rFonts w:hint="eastAsia" w:ascii="Times New Roman" w:hAnsi="Times New Roman" w:cs="Times New Roman"/>
                <w:color w:val="auto"/>
                <w:sz w:val="18"/>
                <w:szCs w:val="18"/>
                <w:vertAlign w:val="superscript"/>
                <w:lang w:val="en-US" w:eastAsia="zh-CN"/>
              </w:rPr>
              <w:t>3</w:t>
            </w:r>
          </w:p>
        </w:tc>
        <w:tc>
          <w:tcPr>
            <w:tcW w:w="376" w:type="pct"/>
            <w:tcBorders>
              <w:tl2br w:val="nil"/>
              <w:tr2bl w:val="nil"/>
            </w:tcBorders>
            <w:vAlign w:val="center"/>
          </w:tcPr>
          <w:p>
            <w:pPr>
              <w:jc w:val="center"/>
              <w:rPr>
                <w:rFonts w:ascii="Times New Roman" w:hAnsi="Times New Roman" w:cs="Times New Roman"/>
                <w:color w:val="auto"/>
                <w:sz w:val="18"/>
                <w:szCs w:val="18"/>
              </w:rPr>
            </w:pPr>
            <w:r>
              <w:rPr>
                <w:rFonts w:hint="eastAsia" w:ascii="Times New Roman" w:hAnsi="Times New Roman" w:cs="Times New Roman"/>
                <w:color w:val="auto"/>
                <w:sz w:val="18"/>
                <w:szCs w:val="18"/>
                <w:lang w:val="en-US" w:eastAsia="zh-CN"/>
              </w:rPr>
              <w:t>9.3</w:t>
            </w:r>
            <w:r>
              <w:rPr>
                <w:rFonts w:hint="default" w:ascii="Arial" w:hAnsi="Arial" w:cs="Arial"/>
                <w:color w:val="auto"/>
                <w:sz w:val="18"/>
                <w:szCs w:val="18"/>
                <w:vertAlign w:val="baseline"/>
                <w:lang w:val="en-US" w:eastAsia="zh-CN"/>
              </w:rPr>
              <w:t>×</w:t>
            </w:r>
            <w:r>
              <w:rPr>
                <w:rFonts w:hint="eastAsia" w:ascii="Times New Roman" w:hAnsi="Times New Roman" w:cs="Times New Roman"/>
                <w:color w:val="auto"/>
                <w:sz w:val="18"/>
                <w:szCs w:val="18"/>
                <w:vertAlign w:val="baseline"/>
                <w:lang w:val="en-US" w:eastAsia="zh-CN"/>
              </w:rPr>
              <w:t>10</w:t>
            </w:r>
            <w:r>
              <w:rPr>
                <w:rFonts w:hint="eastAsia" w:ascii="Times New Roman" w:hAnsi="Times New Roman" w:cs="Times New Roman"/>
                <w:color w:val="auto"/>
                <w:sz w:val="18"/>
                <w:szCs w:val="18"/>
                <w:vertAlign w:val="superscript"/>
                <w:lang w:val="en-US" w:eastAsia="zh-CN"/>
              </w:rPr>
              <w:t>3</w:t>
            </w:r>
          </w:p>
        </w:tc>
        <w:tc>
          <w:tcPr>
            <w:tcW w:w="376" w:type="pct"/>
            <w:tcBorders>
              <w:tl2br w:val="nil"/>
              <w:tr2bl w:val="nil"/>
            </w:tcBorders>
            <w:vAlign w:val="center"/>
          </w:tcPr>
          <w:p>
            <w:pPr>
              <w:jc w:val="center"/>
              <w:rPr>
                <w:rFonts w:ascii="Times New Roman" w:hAnsi="Times New Roman" w:cs="Times New Roman"/>
                <w:color w:val="auto"/>
                <w:sz w:val="18"/>
                <w:szCs w:val="18"/>
              </w:rPr>
            </w:pPr>
            <w:r>
              <w:rPr>
                <w:rFonts w:hint="eastAsia" w:ascii="Times New Roman" w:hAnsi="Times New Roman" w:cs="Times New Roman"/>
                <w:color w:val="auto"/>
                <w:sz w:val="18"/>
                <w:szCs w:val="18"/>
                <w:lang w:val="en-US" w:eastAsia="zh-CN"/>
              </w:rPr>
              <w:t>9.9</w:t>
            </w:r>
            <w:r>
              <w:rPr>
                <w:rFonts w:hint="default" w:ascii="Arial" w:hAnsi="Arial" w:cs="Arial"/>
                <w:color w:val="auto"/>
                <w:sz w:val="18"/>
                <w:szCs w:val="18"/>
                <w:vertAlign w:val="baseline"/>
                <w:lang w:val="en-US" w:eastAsia="zh-CN"/>
              </w:rPr>
              <w:t>×</w:t>
            </w:r>
            <w:r>
              <w:rPr>
                <w:rFonts w:hint="eastAsia" w:ascii="Times New Roman" w:hAnsi="Times New Roman" w:cs="Times New Roman"/>
                <w:color w:val="auto"/>
                <w:sz w:val="18"/>
                <w:szCs w:val="18"/>
                <w:vertAlign w:val="baseline"/>
                <w:lang w:val="en-US" w:eastAsia="zh-CN"/>
              </w:rPr>
              <w:t>10</w:t>
            </w:r>
            <w:r>
              <w:rPr>
                <w:rFonts w:hint="eastAsia" w:ascii="Times New Roman" w:hAnsi="Times New Roman" w:cs="Times New Roman"/>
                <w:color w:val="auto"/>
                <w:sz w:val="18"/>
                <w:szCs w:val="18"/>
                <w:vertAlign w:val="superscript"/>
                <w:lang w:val="en-US" w:eastAsia="zh-CN"/>
              </w:rPr>
              <w:t>3</w:t>
            </w:r>
          </w:p>
        </w:tc>
        <w:tc>
          <w:tcPr>
            <w:tcW w:w="376" w:type="pct"/>
            <w:tcBorders>
              <w:tl2br w:val="nil"/>
              <w:tr2bl w:val="nil"/>
            </w:tcBorders>
            <w:vAlign w:val="center"/>
          </w:tcPr>
          <w:p>
            <w:pPr>
              <w:jc w:val="center"/>
              <w:rPr>
                <w:rFonts w:ascii="Times New Roman" w:hAnsi="Times New Roman" w:cs="Times New Roman"/>
                <w:color w:val="auto"/>
                <w:sz w:val="18"/>
                <w:szCs w:val="18"/>
              </w:rPr>
            </w:pPr>
            <w:r>
              <w:rPr>
                <w:rFonts w:hint="eastAsia" w:ascii="Times New Roman" w:hAnsi="Times New Roman" w:cs="Times New Roman"/>
                <w:color w:val="auto"/>
                <w:sz w:val="18"/>
                <w:szCs w:val="18"/>
                <w:lang w:val="en-US" w:eastAsia="zh-CN"/>
              </w:rPr>
              <w:t>9.3</w:t>
            </w:r>
            <w:r>
              <w:rPr>
                <w:rFonts w:hint="default" w:ascii="Arial" w:hAnsi="Arial" w:cs="Arial"/>
                <w:color w:val="auto"/>
                <w:sz w:val="18"/>
                <w:szCs w:val="18"/>
                <w:vertAlign w:val="baseline"/>
                <w:lang w:val="en-US" w:eastAsia="zh-CN"/>
              </w:rPr>
              <w:t>×</w:t>
            </w:r>
            <w:r>
              <w:rPr>
                <w:rFonts w:hint="eastAsia" w:ascii="Times New Roman" w:hAnsi="Times New Roman" w:cs="Times New Roman"/>
                <w:color w:val="auto"/>
                <w:sz w:val="18"/>
                <w:szCs w:val="18"/>
                <w:vertAlign w:val="baseline"/>
                <w:lang w:val="en-US" w:eastAsia="zh-CN"/>
              </w:rPr>
              <w:t>10</w:t>
            </w:r>
            <w:r>
              <w:rPr>
                <w:rFonts w:hint="eastAsia" w:ascii="Times New Roman" w:hAnsi="Times New Roman" w:cs="Times New Roman"/>
                <w:color w:val="auto"/>
                <w:sz w:val="18"/>
                <w:szCs w:val="18"/>
                <w:vertAlign w:val="superscript"/>
                <w:lang w:val="en-US" w:eastAsia="zh-CN"/>
              </w:rPr>
              <w:t>3</w:t>
            </w:r>
          </w:p>
        </w:tc>
        <w:tc>
          <w:tcPr>
            <w:tcW w:w="383" w:type="pct"/>
            <w:tcBorders>
              <w:tl2br w:val="nil"/>
              <w:tr2bl w:val="nil"/>
            </w:tcBorders>
            <w:vAlign w:val="center"/>
          </w:tcPr>
          <w:p>
            <w:pPr>
              <w:jc w:val="center"/>
              <w:rPr>
                <w:rFonts w:ascii="Times New Roman" w:hAnsi="Times New Roman" w:cs="Times New Roman"/>
                <w:color w:val="auto"/>
                <w:sz w:val="18"/>
                <w:szCs w:val="18"/>
              </w:rPr>
            </w:pPr>
            <w:r>
              <w:rPr>
                <w:rFonts w:hint="eastAsia" w:ascii="Times New Roman" w:hAnsi="Times New Roman" w:cs="Times New Roman"/>
                <w:color w:val="auto"/>
                <w:sz w:val="18"/>
                <w:szCs w:val="18"/>
                <w:lang w:val="en-US" w:eastAsia="zh-CN"/>
              </w:rPr>
              <w:t>9.7</w:t>
            </w:r>
            <w:r>
              <w:rPr>
                <w:rFonts w:hint="default" w:ascii="Arial" w:hAnsi="Arial" w:cs="Arial"/>
                <w:color w:val="auto"/>
                <w:sz w:val="18"/>
                <w:szCs w:val="18"/>
                <w:vertAlign w:val="baseline"/>
                <w:lang w:val="en-US" w:eastAsia="zh-CN"/>
              </w:rPr>
              <w:t>×</w:t>
            </w:r>
            <w:r>
              <w:rPr>
                <w:rFonts w:hint="eastAsia" w:ascii="Times New Roman" w:hAnsi="Times New Roman" w:cs="Times New Roman"/>
                <w:color w:val="auto"/>
                <w:sz w:val="18"/>
                <w:szCs w:val="18"/>
                <w:vertAlign w:val="baseline"/>
                <w:lang w:val="en-US" w:eastAsia="zh-CN"/>
              </w:rPr>
              <w:t>10</w:t>
            </w:r>
            <w:r>
              <w:rPr>
                <w:rFonts w:hint="eastAsia" w:ascii="Times New Roman" w:hAnsi="Times New Roman" w:cs="Times New Roman"/>
                <w:color w:val="auto"/>
                <w:sz w:val="18"/>
                <w:szCs w:val="18"/>
                <w:vertAlign w:val="superscript"/>
                <w:lang w:val="en-US" w:eastAsia="zh-CN"/>
              </w:rPr>
              <w:t>3</w:t>
            </w:r>
          </w:p>
        </w:tc>
        <w:tc>
          <w:tcPr>
            <w:tcW w:w="338"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460" w:type="pct"/>
            <w:tcBorders>
              <w:tl2br w:val="nil"/>
              <w:tr2bl w:val="nil"/>
            </w:tcBorders>
            <w:vAlign w:val="center"/>
          </w:tcPr>
          <w:p>
            <w:pPr>
              <w:widowControl/>
              <w:jc w:val="center"/>
              <w:textAlignment w:val="center"/>
              <w:rPr>
                <w:rFonts w:ascii="Times New Roman" w:hAnsi="Times New Roman" w:cs="Times New Roman"/>
                <w:color w:val="auto"/>
                <w:sz w:val="18"/>
                <w:szCs w:val="18"/>
              </w:rPr>
            </w:pPr>
            <w:r>
              <w:rPr>
                <w:rFonts w:ascii="Times New Roman" w:hAnsi="Times New Roman" w:eastAsia="宋体" w:cs="Times New Roman"/>
                <w:color w:val="auto"/>
                <w:kern w:val="0"/>
                <w:sz w:val="18"/>
                <w:szCs w:val="18"/>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9" w:hRule="atLeast"/>
          <w:tblHeader/>
          <w:jc w:val="center"/>
        </w:trPr>
        <w:tc>
          <w:tcPr>
            <w:tcW w:w="447" w:type="pct"/>
            <w:vMerge w:val="continue"/>
            <w:tcBorders>
              <w:tl2br w:val="nil"/>
              <w:tr2bl w:val="nil"/>
            </w:tcBorders>
            <w:vAlign w:val="center"/>
          </w:tcPr>
          <w:p>
            <w:pPr>
              <w:jc w:val="center"/>
              <w:rPr>
                <w:rFonts w:ascii="Times New Roman" w:hAnsi="Times New Roman" w:cs="Times New Roman"/>
                <w:b/>
                <w:bCs/>
                <w:color w:val="auto"/>
                <w:sz w:val="18"/>
                <w:szCs w:val="18"/>
              </w:rPr>
            </w:pPr>
          </w:p>
        </w:tc>
        <w:tc>
          <w:tcPr>
            <w:tcW w:w="595"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氨氮</w:t>
            </w:r>
          </w:p>
        </w:tc>
        <w:tc>
          <w:tcPr>
            <w:tcW w:w="478"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190</w:t>
            </w:r>
          </w:p>
        </w:tc>
        <w:tc>
          <w:tcPr>
            <w:tcW w:w="410"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191</w:t>
            </w:r>
          </w:p>
        </w:tc>
        <w:tc>
          <w:tcPr>
            <w:tcW w:w="376"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189</w:t>
            </w:r>
          </w:p>
        </w:tc>
        <w:tc>
          <w:tcPr>
            <w:tcW w:w="380"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190</w:t>
            </w:r>
          </w:p>
        </w:tc>
        <w:tc>
          <w:tcPr>
            <w:tcW w:w="376"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190</w:t>
            </w:r>
          </w:p>
        </w:tc>
        <w:tc>
          <w:tcPr>
            <w:tcW w:w="376"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190</w:t>
            </w:r>
          </w:p>
        </w:tc>
        <w:tc>
          <w:tcPr>
            <w:tcW w:w="376"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192</w:t>
            </w:r>
          </w:p>
        </w:tc>
        <w:tc>
          <w:tcPr>
            <w:tcW w:w="383"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189</w:t>
            </w:r>
          </w:p>
        </w:tc>
        <w:tc>
          <w:tcPr>
            <w:tcW w:w="338"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460" w:type="pct"/>
            <w:tcBorders>
              <w:tl2br w:val="nil"/>
              <w:tr2bl w:val="nil"/>
            </w:tcBorders>
            <w:vAlign w:val="center"/>
          </w:tcPr>
          <w:p>
            <w:pPr>
              <w:widowControl/>
              <w:jc w:val="center"/>
              <w:textAlignment w:val="center"/>
              <w:rPr>
                <w:rFonts w:ascii="Times New Roman" w:hAnsi="Times New Roman" w:cs="Times New Roman"/>
                <w:color w:val="auto"/>
                <w:sz w:val="18"/>
                <w:szCs w:val="18"/>
              </w:rPr>
            </w:pPr>
            <w:r>
              <w:rPr>
                <w:rFonts w:ascii="Times New Roman" w:hAnsi="Times New Roman" w:eastAsia="宋体" w:cs="Times New Roman"/>
                <w:color w:val="auto"/>
                <w:kern w:val="0"/>
                <w:sz w:val="18"/>
                <w:szCs w:val="18"/>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9" w:hRule="atLeast"/>
          <w:tblHeader/>
          <w:jc w:val="center"/>
        </w:trPr>
        <w:tc>
          <w:tcPr>
            <w:tcW w:w="447" w:type="pct"/>
            <w:vMerge w:val="continue"/>
            <w:tcBorders>
              <w:tl2br w:val="nil"/>
              <w:tr2bl w:val="nil"/>
            </w:tcBorders>
            <w:vAlign w:val="center"/>
          </w:tcPr>
          <w:p>
            <w:pPr>
              <w:jc w:val="center"/>
              <w:rPr>
                <w:rFonts w:ascii="Times New Roman" w:hAnsi="Times New Roman" w:cs="Times New Roman"/>
                <w:b/>
                <w:bCs/>
                <w:color w:val="auto"/>
                <w:sz w:val="18"/>
                <w:szCs w:val="18"/>
              </w:rPr>
            </w:pPr>
          </w:p>
        </w:tc>
        <w:tc>
          <w:tcPr>
            <w:tcW w:w="595"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悬浮物</w:t>
            </w:r>
          </w:p>
        </w:tc>
        <w:tc>
          <w:tcPr>
            <w:tcW w:w="478"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880</w:t>
            </w:r>
          </w:p>
        </w:tc>
        <w:tc>
          <w:tcPr>
            <w:tcW w:w="410"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872</w:t>
            </w:r>
          </w:p>
        </w:tc>
        <w:tc>
          <w:tcPr>
            <w:tcW w:w="376"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885</w:t>
            </w:r>
          </w:p>
        </w:tc>
        <w:tc>
          <w:tcPr>
            <w:tcW w:w="380"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873</w:t>
            </w:r>
          </w:p>
        </w:tc>
        <w:tc>
          <w:tcPr>
            <w:tcW w:w="376"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865</w:t>
            </w:r>
          </w:p>
        </w:tc>
        <w:tc>
          <w:tcPr>
            <w:tcW w:w="376"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870</w:t>
            </w:r>
          </w:p>
        </w:tc>
        <w:tc>
          <w:tcPr>
            <w:tcW w:w="376"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875</w:t>
            </w:r>
          </w:p>
        </w:tc>
        <w:tc>
          <w:tcPr>
            <w:tcW w:w="383"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868</w:t>
            </w:r>
          </w:p>
        </w:tc>
        <w:tc>
          <w:tcPr>
            <w:tcW w:w="338"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460" w:type="pct"/>
            <w:tcBorders>
              <w:tl2br w:val="nil"/>
              <w:tr2bl w:val="nil"/>
            </w:tcBorders>
            <w:vAlign w:val="center"/>
          </w:tcPr>
          <w:p>
            <w:pPr>
              <w:widowControl/>
              <w:jc w:val="center"/>
              <w:textAlignment w:val="center"/>
              <w:rPr>
                <w:rFonts w:ascii="Times New Roman" w:hAnsi="Times New Roman" w:cs="Times New Roman"/>
                <w:color w:val="auto"/>
                <w:sz w:val="18"/>
                <w:szCs w:val="18"/>
              </w:rPr>
            </w:pPr>
            <w:r>
              <w:rPr>
                <w:rFonts w:ascii="Times New Roman" w:hAnsi="Times New Roman" w:eastAsia="宋体" w:cs="Times New Roman"/>
                <w:color w:val="auto"/>
                <w:kern w:val="0"/>
                <w:sz w:val="18"/>
                <w:szCs w:val="18"/>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9" w:hRule="atLeast"/>
          <w:tblHeader/>
          <w:jc w:val="center"/>
        </w:trPr>
        <w:tc>
          <w:tcPr>
            <w:tcW w:w="447" w:type="pct"/>
            <w:vMerge w:val="continue"/>
            <w:tcBorders>
              <w:tl2br w:val="nil"/>
              <w:tr2bl w:val="nil"/>
            </w:tcBorders>
            <w:vAlign w:val="center"/>
          </w:tcPr>
          <w:p>
            <w:pPr>
              <w:jc w:val="center"/>
              <w:rPr>
                <w:rFonts w:ascii="Times New Roman" w:hAnsi="Times New Roman" w:cs="Times New Roman"/>
                <w:b/>
                <w:bCs/>
                <w:color w:val="auto"/>
                <w:sz w:val="18"/>
                <w:szCs w:val="18"/>
              </w:rPr>
            </w:pPr>
          </w:p>
        </w:tc>
        <w:tc>
          <w:tcPr>
            <w:tcW w:w="595"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动植物油</w:t>
            </w:r>
          </w:p>
        </w:tc>
        <w:tc>
          <w:tcPr>
            <w:tcW w:w="478"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1607</w:t>
            </w:r>
          </w:p>
        </w:tc>
        <w:tc>
          <w:tcPr>
            <w:tcW w:w="410"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1604</w:t>
            </w:r>
          </w:p>
        </w:tc>
        <w:tc>
          <w:tcPr>
            <w:tcW w:w="376"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1601</w:t>
            </w:r>
          </w:p>
        </w:tc>
        <w:tc>
          <w:tcPr>
            <w:tcW w:w="380"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1597</w:t>
            </w:r>
          </w:p>
        </w:tc>
        <w:tc>
          <w:tcPr>
            <w:tcW w:w="376"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1610</w:t>
            </w:r>
          </w:p>
        </w:tc>
        <w:tc>
          <w:tcPr>
            <w:tcW w:w="376"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1601</w:t>
            </w:r>
          </w:p>
        </w:tc>
        <w:tc>
          <w:tcPr>
            <w:tcW w:w="376"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1602</w:t>
            </w:r>
          </w:p>
        </w:tc>
        <w:tc>
          <w:tcPr>
            <w:tcW w:w="383"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1594</w:t>
            </w:r>
          </w:p>
        </w:tc>
        <w:tc>
          <w:tcPr>
            <w:tcW w:w="338"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460" w:type="pct"/>
            <w:tcBorders>
              <w:tl2br w:val="nil"/>
              <w:tr2bl w:val="nil"/>
            </w:tcBorders>
            <w:vAlign w:val="center"/>
          </w:tcPr>
          <w:p>
            <w:pPr>
              <w:widowControl/>
              <w:jc w:val="center"/>
              <w:textAlignment w:val="center"/>
              <w:rPr>
                <w:rFonts w:ascii="Times New Roman" w:hAnsi="Times New Roman" w:cs="Times New Roman"/>
                <w:color w:val="auto"/>
                <w:sz w:val="18"/>
                <w:szCs w:val="18"/>
              </w:rPr>
            </w:pPr>
            <w:r>
              <w:rPr>
                <w:rFonts w:ascii="Times New Roman" w:hAnsi="Times New Roman" w:eastAsia="宋体" w:cs="Times New Roman"/>
                <w:color w:val="auto"/>
                <w:kern w:val="0"/>
                <w:sz w:val="18"/>
                <w:szCs w:val="18"/>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9" w:hRule="atLeast"/>
          <w:tblHeader/>
          <w:jc w:val="center"/>
        </w:trPr>
        <w:tc>
          <w:tcPr>
            <w:tcW w:w="447" w:type="pct"/>
            <w:vMerge w:val="continue"/>
            <w:tcBorders>
              <w:tl2br w:val="nil"/>
              <w:tr2bl w:val="nil"/>
            </w:tcBorders>
            <w:vAlign w:val="center"/>
          </w:tcPr>
          <w:p>
            <w:pPr>
              <w:jc w:val="center"/>
              <w:rPr>
                <w:rFonts w:ascii="Times New Roman" w:hAnsi="Times New Roman" w:cs="Times New Roman"/>
                <w:b/>
                <w:bCs/>
                <w:color w:val="auto"/>
                <w:sz w:val="18"/>
                <w:szCs w:val="18"/>
              </w:rPr>
            </w:pPr>
          </w:p>
        </w:tc>
        <w:tc>
          <w:tcPr>
            <w:tcW w:w="595"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苯酚</w:t>
            </w:r>
          </w:p>
        </w:tc>
        <w:tc>
          <w:tcPr>
            <w:tcW w:w="478" w:type="pct"/>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ND</w:t>
            </w:r>
          </w:p>
        </w:tc>
        <w:tc>
          <w:tcPr>
            <w:tcW w:w="410" w:type="pct"/>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ND</w:t>
            </w:r>
          </w:p>
        </w:tc>
        <w:tc>
          <w:tcPr>
            <w:tcW w:w="376" w:type="pct"/>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ND</w:t>
            </w:r>
          </w:p>
        </w:tc>
        <w:tc>
          <w:tcPr>
            <w:tcW w:w="380" w:type="pct"/>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ND</w:t>
            </w:r>
          </w:p>
        </w:tc>
        <w:tc>
          <w:tcPr>
            <w:tcW w:w="376" w:type="pct"/>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ND</w:t>
            </w:r>
          </w:p>
        </w:tc>
        <w:tc>
          <w:tcPr>
            <w:tcW w:w="376" w:type="pct"/>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ND</w:t>
            </w:r>
          </w:p>
        </w:tc>
        <w:tc>
          <w:tcPr>
            <w:tcW w:w="376" w:type="pct"/>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ND</w:t>
            </w:r>
          </w:p>
        </w:tc>
        <w:tc>
          <w:tcPr>
            <w:tcW w:w="383" w:type="pct"/>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ND</w:t>
            </w:r>
          </w:p>
        </w:tc>
        <w:tc>
          <w:tcPr>
            <w:tcW w:w="338"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460"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eastAsia="宋体" w:cs="Times New Roman"/>
                <w:color w:val="auto"/>
                <w:kern w:val="0"/>
                <w:sz w:val="18"/>
                <w:szCs w:val="18"/>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9" w:hRule="atLeast"/>
          <w:tblHeader/>
          <w:jc w:val="center"/>
        </w:trPr>
        <w:tc>
          <w:tcPr>
            <w:tcW w:w="447" w:type="pct"/>
            <w:vMerge w:val="continue"/>
            <w:tcBorders>
              <w:tl2br w:val="nil"/>
              <w:tr2bl w:val="nil"/>
            </w:tcBorders>
            <w:vAlign w:val="center"/>
          </w:tcPr>
          <w:p>
            <w:pPr>
              <w:jc w:val="center"/>
              <w:rPr>
                <w:rFonts w:ascii="Times New Roman" w:hAnsi="Times New Roman" w:cs="Times New Roman"/>
                <w:b/>
                <w:bCs/>
                <w:color w:val="auto"/>
                <w:sz w:val="18"/>
                <w:szCs w:val="18"/>
              </w:rPr>
            </w:pPr>
          </w:p>
        </w:tc>
        <w:tc>
          <w:tcPr>
            <w:tcW w:w="595" w:type="pct"/>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甲醛</w:t>
            </w:r>
          </w:p>
        </w:tc>
        <w:tc>
          <w:tcPr>
            <w:tcW w:w="478" w:type="pct"/>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ND</w:t>
            </w:r>
          </w:p>
        </w:tc>
        <w:tc>
          <w:tcPr>
            <w:tcW w:w="410" w:type="pct"/>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ND</w:t>
            </w:r>
          </w:p>
        </w:tc>
        <w:tc>
          <w:tcPr>
            <w:tcW w:w="376" w:type="pct"/>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ND</w:t>
            </w:r>
          </w:p>
        </w:tc>
        <w:tc>
          <w:tcPr>
            <w:tcW w:w="380" w:type="pct"/>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ND</w:t>
            </w:r>
          </w:p>
        </w:tc>
        <w:tc>
          <w:tcPr>
            <w:tcW w:w="376" w:type="pct"/>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ND</w:t>
            </w:r>
          </w:p>
        </w:tc>
        <w:tc>
          <w:tcPr>
            <w:tcW w:w="376" w:type="pct"/>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ND</w:t>
            </w:r>
          </w:p>
        </w:tc>
        <w:tc>
          <w:tcPr>
            <w:tcW w:w="376" w:type="pct"/>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ND</w:t>
            </w:r>
          </w:p>
        </w:tc>
        <w:tc>
          <w:tcPr>
            <w:tcW w:w="383" w:type="pct"/>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ND</w:t>
            </w:r>
          </w:p>
        </w:tc>
        <w:tc>
          <w:tcPr>
            <w:tcW w:w="338"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cs="Times New Roman"/>
                <w:color w:val="auto"/>
                <w:sz w:val="18"/>
                <w:szCs w:val="18"/>
              </w:rPr>
              <w:t>/</w:t>
            </w:r>
          </w:p>
        </w:tc>
        <w:tc>
          <w:tcPr>
            <w:tcW w:w="460"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eastAsia="宋体" w:cs="Times New Roman"/>
                <w:color w:val="auto"/>
                <w:kern w:val="0"/>
                <w:sz w:val="18"/>
                <w:szCs w:val="18"/>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9" w:hRule="atLeast"/>
          <w:tblHeader/>
          <w:jc w:val="center"/>
        </w:trPr>
        <w:tc>
          <w:tcPr>
            <w:tcW w:w="447" w:type="pct"/>
            <w:vMerge w:val="restart"/>
            <w:tcBorders>
              <w:tl2br w:val="nil"/>
              <w:tr2bl w:val="nil"/>
            </w:tcBorders>
            <w:vAlign w:val="center"/>
          </w:tcPr>
          <w:p>
            <w:pPr>
              <w:jc w:val="center"/>
              <w:rPr>
                <w:rFonts w:ascii="Times New Roman" w:hAnsi="Times New Roman" w:cs="Times New Roman"/>
                <w:b/>
                <w:bCs/>
                <w:color w:val="auto"/>
                <w:sz w:val="18"/>
                <w:szCs w:val="18"/>
              </w:rPr>
            </w:pPr>
            <w:r>
              <w:rPr>
                <w:rFonts w:ascii="Times New Roman" w:hAnsi="Times New Roman" w:cs="Times New Roman"/>
                <w:color w:val="auto"/>
                <w:spacing w:val="-5"/>
                <w:kern w:val="0"/>
                <w:sz w:val="18"/>
                <w:szCs w:val="18"/>
              </w:rPr>
              <w:t>废水总排口</w:t>
            </w:r>
            <w:r>
              <w:rPr>
                <w:rFonts w:hint="default" w:ascii="Times New Roman" w:hAnsi="Times New Roman" w:cs="Times New Roman"/>
                <w:color w:val="auto"/>
                <w:spacing w:val="-5"/>
                <w:kern w:val="0"/>
                <w:sz w:val="18"/>
                <w:szCs w:val="18"/>
              </w:rPr>
              <w:t>F2</w:t>
            </w:r>
          </w:p>
        </w:tc>
        <w:tc>
          <w:tcPr>
            <w:tcW w:w="595"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pH值</w:t>
            </w:r>
          </w:p>
        </w:tc>
        <w:tc>
          <w:tcPr>
            <w:tcW w:w="478" w:type="pct"/>
            <w:tcBorders>
              <w:tl2br w:val="nil"/>
              <w:tr2bl w:val="nil"/>
            </w:tcBorders>
            <w:vAlign w:val="center"/>
          </w:tcPr>
          <w:p>
            <w:pPr>
              <w:jc w:val="center"/>
              <w:rPr>
                <w:rFonts w:hint="eastAsia" w:ascii="Times New Roman" w:hAnsi="Times New Roman" w:cs="Times New Roman" w:eastAsiaTheme="minorEastAsia"/>
                <w:color w:val="auto"/>
                <w:sz w:val="18"/>
                <w:szCs w:val="18"/>
                <w:lang w:eastAsia="zh-CN"/>
              </w:rPr>
            </w:pPr>
            <w:r>
              <w:rPr>
                <w:rFonts w:hint="default" w:ascii="Times New Roman" w:hAnsi="Times New Roman" w:cs="Times New Roman"/>
                <w:color w:val="auto"/>
                <w:sz w:val="18"/>
                <w:szCs w:val="18"/>
              </w:rPr>
              <w:t>7.</w:t>
            </w:r>
            <w:r>
              <w:rPr>
                <w:rFonts w:hint="eastAsia" w:ascii="Times New Roman" w:hAnsi="Times New Roman" w:cs="Times New Roman"/>
                <w:color w:val="auto"/>
                <w:sz w:val="18"/>
                <w:szCs w:val="18"/>
                <w:lang w:val="en-US" w:eastAsia="zh-CN"/>
              </w:rPr>
              <w:t>1</w:t>
            </w:r>
          </w:p>
        </w:tc>
        <w:tc>
          <w:tcPr>
            <w:tcW w:w="410" w:type="pct"/>
            <w:tcBorders>
              <w:tl2br w:val="nil"/>
              <w:tr2bl w:val="nil"/>
            </w:tcBorders>
            <w:vAlign w:val="center"/>
          </w:tcPr>
          <w:p>
            <w:pPr>
              <w:jc w:val="center"/>
              <w:rPr>
                <w:rFonts w:hint="eastAsia" w:ascii="Times New Roman" w:hAnsi="Times New Roman" w:cs="Times New Roman" w:eastAsiaTheme="minorEastAsia"/>
                <w:color w:val="auto"/>
                <w:sz w:val="18"/>
                <w:szCs w:val="18"/>
                <w:lang w:eastAsia="zh-CN"/>
              </w:rPr>
            </w:pPr>
            <w:r>
              <w:rPr>
                <w:rFonts w:hint="default" w:ascii="Times New Roman" w:hAnsi="Times New Roman" w:cs="Times New Roman"/>
                <w:color w:val="auto"/>
                <w:sz w:val="18"/>
                <w:szCs w:val="18"/>
              </w:rPr>
              <w:t>7.</w:t>
            </w:r>
            <w:r>
              <w:rPr>
                <w:rFonts w:hint="eastAsia" w:ascii="Times New Roman" w:hAnsi="Times New Roman" w:cs="Times New Roman"/>
                <w:color w:val="auto"/>
                <w:sz w:val="18"/>
                <w:szCs w:val="18"/>
                <w:lang w:val="en-US" w:eastAsia="zh-CN"/>
              </w:rPr>
              <w:t>4</w:t>
            </w:r>
          </w:p>
        </w:tc>
        <w:tc>
          <w:tcPr>
            <w:tcW w:w="376" w:type="pct"/>
            <w:tcBorders>
              <w:tl2br w:val="nil"/>
              <w:tr2bl w:val="nil"/>
            </w:tcBorders>
            <w:vAlign w:val="center"/>
          </w:tcPr>
          <w:p>
            <w:pPr>
              <w:jc w:val="center"/>
              <w:rPr>
                <w:rFonts w:hint="eastAsia" w:ascii="Times New Roman" w:hAnsi="Times New Roman" w:cs="Times New Roman" w:eastAsiaTheme="minorEastAsia"/>
                <w:color w:val="auto"/>
                <w:sz w:val="18"/>
                <w:szCs w:val="18"/>
                <w:lang w:eastAsia="zh-CN"/>
              </w:rPr>
            </w:pPr>
            <w:r>
              <w:rPr>
                <w:rFonts w:hint="default" w:ascii="Times New Roman" w:hAnsi="Times New Roman" w:cs="Times New Roman"/>
                <w:color w:val="auto"/>
                <w:sz w:val="18"/>
                <w:szCs w:val="18"/>
              </w:rPr>
              <w:t>7.</w:t>
            </w:r>
            <w:r>
              <w:rPr>
                <w:rFonts w:hint="eastAsia" w:ascii="Times New Roman" w:hAnsi="Times New Roman" w:cs="Times New Roman"/>
                <w:color w:val="auto"/>
                <w:sz w:val="18"/>
                <w:szCs w:val="18"/>
                <w:lang w:val="en-US" w:eastAsia="zh-CN"/>
              </w:rPr>
              <w:t>3</w:t>
            </w:r>
          </w:p>
        </w:tc>
        <w:tc>
          <w:tcPr>
            <w:tcW w:w="380" w:type="pct"/>
            <w:tcBorders>
              <w:tl2br w:val="nil"/>
              <w:tr2bl w:val="nil"/>
            </w:tcBorders>
            <w:vAlign w:val="center"/>
          </w:tcPr>
          <w:p>
            <w:pPr>
              <w:jc w:val="center"/>
              <w:rPr>
                <w:rFonts w:hint="eastAsia" w:ascii="Times New Roman" w:hAnsi="Times New Roman" w:cs="Times New Roman" w:eastAsiaTheme="minorEastAsia"/>
                <w:color w:val="auto"/>
                <w:sz w:val="18"/>
                <w:szCs w:val="18"/>
                <w:lang w:eastAsia="zh-CN"/>
              </w:rPr>
            </w:pPr>
            <w:r>
              <w:rPr>
                <w:rFonts w:hint="default" w:ascii="Times New Roman" w:hAnsi="Times New Roman" w:cs="Times New Roman"/>
                <w:color w:val="auto"/>
                <w:sz w:val="18"/>
                <w:szCs w:val="18"/>
              </w:rPr>
              <w:t>7.</w:t>
            </w:r>
            <w:r>
              <w:rPr>
                <w:rFonts w:hint="eastAsia" w:ascii="Times New Roman" w:hAnsi="Times New Roman" w:cs="Times New Roman"/>
                <w:color w:val="auto"/>
                <w:sz w:val="18"/>
                <w:szCs w:val="18"/>
                <w:lang w:val="en-US" w:eastAsia="zh-CN"/>
              </w:rPr>
              <w:t>2</w:t>
            </w:r>
          </w:p>
        </w:tc>
        <w:tc>
          <w:tcPr>
            <w:tcW w:w="376" w:type="pct"/>
            <w:tcBorders>
              <w:tl2br w:val="nil"/>
              <w:tr2bl w:val="nil"/>
            </w:tcBorders>
            <w:vAlign w:val="center"/>
          </w:tcPr>
          <w:p>
            <w:pPr>
              <w:jc w:val="center"/>
              <w:rPr>
                <w:rFonts w:hint="eastAsia" w:ascii="Times New Roman" w:hAnsi="Times New Roman" w:cs="Times New Roman" w:eastAsiaTheme="minorEastAsia"/>
                <w:color w:val="auto"/>
                <w:sz w:val="18"/>
                <w:szCs w:val="18"/>
                <w:lang w:eastAsia="zh-CN"/>
              </w:rPr>
            </w:pPr>
            <w:r>
              <w:rPr>
                <w:rFonts w:hint="default" w:ascii="Times New Roman" w:hAnsi="Times New Roman" w:cs="Times New Roman"/>
                <w:color w:val="auto"/>
                <w:sz w:val="18"/>
                <w:szCs w:val="18"/>
              </w:rPr>
              <w:t>7.</w:t>
            </w:r>
            <w:r>
              <w:rPr>
                <w:rFonts w:hint="eastAsia" w:ascii="Times New Roman" w:hAnsi="Times New Roman" w:cs="Times New Roman"/>
                <w:color w:val="auto"/>
                <w:sz w:val="18"/>
                <w:szCs w:val="18"/>
                <w:lang w:val="en-US" w:eastAsia="zh-CN"/>
              </w:rPr>
              <w:t>2</w:t>
            </w:r>
          </w:p>
        </w:tc>
        <w:tc>
          <w:tcPr>
            <w:tcW w:w="376" w:type="pct"/>
            <w:tcBorders>
              <w:tl2br w:val="nil"/>
              <w:tr2bl w:val="nil"/>
            </w:tcBorders>
            <w:vAlign w:val="center"/>
          </w:tcPr>
          <w:p>
            <w:pPr>
              <w:jc w:val="center"/>
              <w:rPr>
                <w:rFonts w:hint="eastAsia" w:ascii="Times New Roman" w:hAnsi="Times New Roman" w:cs="Times New Roman" w:eastAsiaTheme="minorEastAsia"/>
                <w:color w:val="auto"/>
                <w:sz w:val="18"/>
                <w:szCs w:val="18"/>
                <w:lang w:eastAsia="zh-CN"/>
              </w:rPr>
            </w:pPr>
            <w:r>
              <w:rPr>
                <w:rFonts w:hint="default" w:ascii="Times New Roman" w:hAnsi="Times New Roman" w:cs="Times New Roman"/>
                <w:color w:val="auto"/>
                <w:sz w:val="18"/>
                <w:szCs w:val="18"/>
              </w:rPr>
              <w:t>7.</w:t>
            </w:r>
            <w:r>
              <w:rPr>
                <w:rFonts w:hint="eastAsia" w:ascii="Times New Roman" w:hAnsi="Times New Roman" w:cs="Times New Roman"/>
                <w:color w:val="auto"/>
                <w:sz w:val="18"/>
                <w:szCs w:val="18"/>
                <w:lang w:val="en-US" w:eastAsia="zh-CN"/>
              </w:rPr>
              <w:t>4</w:t>
            </w:r>
          </w:p>
        </w:tc>
        <w:tc>
          <w:tcPr>
            <w:tcW w:w="376" w:type="pct"/>
            <w:tcBorders>
              <w:tl2br w:val="nil"/>
              <w:tr2bl w:val="nil"/>
            </w:tcBorders>
            <w:vAlign w:val="center"/>
          </w:tcPr>
          <w:p>
            <w:pPr>
              <w:jc w:val="center"/>
              <w:rPr>
                <w:rFonts w:hint="eastAsia" w:ascii="Times New Roman" w:hAnsi="Times New Roman" w:cs="Times New Roman" w:eastAsiaTheme="minorEastAsia"/>
                <w:color w:val="auto"/>
                <w:sz w:val="18"/>
                <w:szCs w:val="18"/>
                <w:lang w:eastAsia="zh-CN"/>
              </w:rPr>
            </w:pPr>
            <w:r>
              <w:rPr>
                <w:rFonts w:hint="default" w:ascii="Times New Roman" w:hAnsi="Times New Roman" w:cs="Times New Roman"/>
                <w:color w:val="auto"/>
                <w:sz w:val="18"/>
                <w:szCs w:val="18"/>
              </w:rPr>
              <w:t>7.</w:t>
            </w:r>
            <w:r>
              <w:rPr>
                <w:rFonts w:hint="eastAsia" w:ascii="Times New Roman" w:hAnsi="Times New Roman" w:cs="Times New Roman"/>
                <w:color w:val="auto"/>
                <w:sz w:val="18"/>
                <w:szCs w:val="18"/>
                <w:lang w:val="en-US" w:eastAsia="zh-CN"/>
              </w:rPr>
              <w:t>3</w:t>
            </w:r>
          </w:p>
        </w:tc>
        <w:tc>
          <w:tcPr>
            <w:tcW w:w="383" w:type="pct"/>
            <w:tcBorders>
              <w:tl2br w:val="nil"/>
              <w:tr2bl w:val="nil"/>
            </w:tcBorders>
            <w:vAlign w:val="center"/>
          </w:tcPr>
          <w:p>
            <w:pPr>
              <w:jc w:val="center"/>
              <w:rPr>
                <w:rFonts w:hint="eastAsia" w:ascii="Times New Roman" w:hAnsi="Times New Roman" w:cs="Times New Roman" w:eastAsiaTheme="minorEastAsia"/>
                <w:color w:val="auto"/>
                <w:sz w:val="18"/>
                <w:szCs w:val="18"/>
                <w:lang w:eastAsia="zh-CN"/>
              </w:rPr>
            </w:pPr>
            <w:r>
              <w:rPr>
                <w:rFonts w:hint="default" w:ascii="Times New Roman" w:hAnsi="Times New Roman" w:cs="Times New Roman"/>
                <w:color w:val="auto"/>
                <w:sz w:val="18"/>
                <w:szCs w:val="18"/>
              </w:rPr>
              <w:t>7.</w:t>
            </w:r>
            <w:r>
              <w:rPr>
                <w:rFonts w:hint="eastAsia" w:ascii="Times New Roman" w:hAnsi="Times New Roman" w:cs="Times New Roman"/>
                <w:color w:val="auto"/>
                <w:sz w:val="18"/>
                <w:szCs w:val="18"/>
                <w:lang w:val="en-US" w:eastAsia="zh-CN"/>
              </w:rPr>
              <w:t>2</w:t>
            </w:r>
          </w:p>
        </w:tc>
        <w:tc>
          <w:tcPr>
            <w:tcW w:w="338"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6~9</w:t>
            </w:r>
          </w:p>
        </w:tc>
        <w:tc>
          <w:tcPr>
            <w:tcW w:w="460" w:type="pct"/>
            <w:tcBorders>
              <w:tl2br w:val="nil"/>
              <w:tr2bl w:val="nil"/>
            </w:tcBorders>
            <w:vAlign w:val="center"/>
          </w:tcPr>
          <w:p>
            <w:pPr>
              <w:widowControl/>
              <w:jc w:val="center"/>
              <w:textAlignment w:val="center"/>
              <w:rPr>
                <w:rFonts w:ascii="Times New Roman" w:hAnsi="Times New Roman" w:cs="Times New Roman"/>
                <w:color w:val="auto"/>
                <w:sz w:val="18"/>
                <w:szCs w:val="18"/>
              </w:rPr>
            </w:pPr>
            <w:r>
              <w:rPr>
                <w:rFonts w:hint="default" w:ascii="Times New Roman" w:hAnsi="Times New Roman" w:eastAsia="宋体" w:cs="Times New Roman"/>
                <w:color w:val="auto"/>
                <w:kern w:val="0"/>
                <w:sz w:val="18"/>
                <w:szCs w:val="18"/>
                <w:lang w:bidi="ar"/>
              </w:rPr>
              <w:t>无量纲</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9" w:hRule="atLeast"/>
          <w:tblHeader/>
          <w:jc w:val="center"/>
        </w:trPr>
        <w:tc>
          <w:tcPr>
            <w:tcW w:w="447" w:type="pct"/>
            <w:vMerge w:val="continue"/>
            <w:tcBorders>
              <w:tl2br w:val="nil"/>
              <w:tr2bl w:val="nil"/>
            </w:tcBorders>
            <w:vAlign w:val="center"/>
          </w:tcPr>
          <w:p>
            <w:pPr>
              <w:jc w:val="center"/>
              <w:rPr>
                <w:rFonts w:ascii="Times New Roman" w:hAnsi="Times New Roman" w:cs="Times New Roman"/>
                <w:b/>
                <w:bCs/>
                <w:color w:val="auto"/>
                <w:sz w:val="18"/>
                <w:szCs w:val="18"/>
              </w:rPr>
            </w:pPr>
          </w:p>
        </w:tc>
        <w:tc>
          <w:tcPr>
            <w:tcW w:w="595"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化学需氧量</w:t>
            </w:r>
          </w:p>
        </w:tc>
        <w:tc>
          <w:tcPr>
            <w:tcW w:w="478"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483</w:t>
            </w:r>
          </w:p>
        </w:tc>
        <w:tc>
          <w:tcPr>
            <w:tcW w:w="410"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405</w:t>
            </w:r>
          </w:p>
        </w:tc>
        <w:tc>
          <w:tcPr>
            <w:tcW w:w="376"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428</w:t>
            </w:r>
          </w:p>
        </w:tc>
        <w:tc>
          <w:tcPr>
            <w:tcW w:w="380"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444</w:t>
            </w:r>
          </w:p>
        </w:tc>
        <w:tc>
          <w:tcPr>
            <w:tcW w:w="376"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444</w:t>
            </w:r>
          </w:p>
        </w:tc>
        <w:tc>
          <w:tcPr>
            <w:tcW w:w="376"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467</w:t>
            </w:r>
          </w:p>
        </w:tc>
        <w:tc>
          <w:tcPr>
            <w:tcW w:w="376"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483</w:t>
            </w:r>
          </w:p>
        </w:tc>
        <w:tc>
          <w:tcPr>
            <w:tcW w:w="383"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422</w:t>
            </w:r>
          </w:p>
        </w:tc>
        <w:tc>
          <w:tcPr>
            <w:tcW w:w="338" w:type="pct"/>
            <w:tcBorders>
              <w:tl2br w:val="nil"/>
              <w:tr2bl w:val="nil"/>
            </w:tcBorders>
            <w:vAlign w:val="center"/>
          </w:tcPr>
          <w:p>
            <w:pPr>
              <w:jc w:val="center"/>
              <w:rPr>
                <w:rFonts w:ascii="Times New Roman" w:hAnsi="Times New Roman" w:eastAsia="宋体" w:cs="Times New Roman"/>
                <w:color w:val="auto"/>
                <w:sz w:val="18"/>
                <w:szCs w:val="18"/>
              </w:rPr>
            </w:pPr>
            <w:r>
              <w:rPr>
                <w:rFonts w:hint="eastAsia" w:ascii="Times New Roman" w:hAnsi="Times New Roman" w:cs="Times New Roman"/>
                <w:color w:val="auto"/>
                <w:sz w:val="18"/>
                <w:szCs w:val="18"/>
                <w:lang w:eastAsia="zh-CN"/>
              </w:rPr>
              <w:t>1</w:t>
            </w:r>
            <w:r>
              <w:rPr>
                <w:rFonts w:hint="eastAsia" w:ascii="Times New Roman" w:hAnsi="Times New Roman" w:cs="Times New Roman"/>
                <w:color w:val="auto"/>
                <w:sz w:val="18"/>
                <w:szCs w:val="18"/>
                <w:lang w:val="en-US" w:eastAsia="zh-CN"/>
              </w:rPr>
              <w:t>0</w:t>
            </w:r>
            <w:r>
              <w:rPr>
                <w:rFonts w:hint="default" w:ascii="Times New Roman" w:hAnsi="Times New Roman" w:cs="Times New Roman"/>
                <w:color w:val="auto"/>
                <w:sz w:val="18"/>
                <w:szCs w:val="18"/>
              </w:rPr>
              <w:t>00</w:t>
            </w:r>
          </w:p>
        </w:tc>
        <w:tc>
          <w:tcPr>
            <w:tcW w:w="460" w:type="pct"/>
            <w:tcBorders>
              <w:tl2br w:val="nil"/>
              <w:tr2bl w:val="nil"/>
            </w:tcBorders>
            <w:vAlign w:val="center"/>
          </w:tcPr>
          <w:p>
            <w:pPr>
              <w:widowControl/>
              <w:jc w:val="center"/>
              <w:textAlignment w:val="center"/>
              <w:rPr>
                <w:rFonts w:ascii="Times New Roman" w:hAnsi="Times New Roman" w:cs="Times New Roman"/>
                <w:color w:val="auto"/>
                <w:sz w:val="18"/>
                <w:szCs w:val="18"/>
              </w:rPr>
            </w:pPr>
            <w:r>
              <w:rPr>
                <w:rFonts w:ascii="Times New Roman" w:hAnsi="Times New Roman" w:eastAsia="宋体" w:cs="Times New Roman"/>
                <w:color w:val="auto"/>
                <w:kern w:val="0"/>
                <w:sz w:val="18"/>
                <w:szCs w:val="18"/>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9" w:hRule="atLeast"/>
          <w:tblHeader/>
          <w:jc w:val="center"/>
        </w:trPr>
        <w:tc>
          <w:tcPr>
            <w:tcW w:w="447" w:type="pct"/>
            <w:vMerge w:val="continue"/>
            <w:tcBorders>
              <w:tl2br w:val="nil"/>
              <w:tr2bl w:val="nil"/>
            </w:tcBorders>
            <w:vAlign w:val="center"/>
          </w:tcPr>
          <w:p>
            <w:pPr>
              <w:jc w:val="center"/>
              <w:rPr>
                <w:rFonts w:ascii="Times New Roman" w:hAnsi="Times New Roman" w:cs="Times New Roman"/>
                <w:b/>
                <w:bCs/>
                <w:color w:val="auto"/>
                <w:sz w:val="18"/>
                <w:szCs w:val="18"/>
              </w:rPr>
            </w:pPr>
          </w:p>
        </w:tc>
        <w:tc>
          <w:tcPr>
            <w:tcW w:w="595"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五日生化需氧量</w:t>
            </w:r>
          </w:p>
        </w:tc>
        <w:tc>
          <w:tcPr>
            <w:tcW w:w="478"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239</w:t>
            </w:r>
          </w:p>
        </w:tc>
        <w:tc>
          <w:tcPr>
            <w:tcW w:w="410"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207</w:t>
            </w:r>
          </w:p>
        </w:tc>
        <w:tc>
          <w:tcPr>
            <w:tcW w:w="376"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132</w:t>
            </w:r>
          </w:p>
        </w:tc>
        <w:tc>
          <w:tcPr>
            <w:tcW w:w="380"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223</w:t>
            </w:r>
          </w:p>
        </w:tc>
        <w:tc>
          <w:tcPr>
            <w:tcW w:w="376"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223</w:t>
            </w:r>
          </w:p>
        </w:tc>
        <w:tc>
          <w:tcPr>
            <w:tcW w:w="376" w:type="pct"/>
            <w:tcBorders>
              <w:tl2br w:val="nil"/>
              <w:tr2bl w:val="nil"/>
            </w:tcBorders>
            <w:vAlign w:val="center"/>
          </w:tcPr>
          <w:p>
            <w:pPr>
              <w:jc w:val="center"/>
              <w:rPr>
                <w:rFonts w:ascii="Times New Roman" w:hAnsi="Times New Roman" w:cs="Times New Roman"/>
                <w:color w:val="auto"/>
                <w:sz w:val="18"/>
                <w:szCs w:val="18"/>
              </w:rPr>
            </w:pPr>
            <w:r>
              <w:rPr>
                <w:rFonts w:hint="eastAsia" w:ascii="Times New Roman" w:hAnsi="Times New Roman" w:cs="Times New Roman"/>
                <w:color w:val="auto"/>
                <w:sz w:val="18"/>
                <w:szCs w:val="18"/>
                <w:lang w:val="en-US" w:eastAsia="zh-CN"/>
              </w:rPr>
              <w:t>11</w:t>
            </w:r>
            <w:r>
              <w:rPr>
                <w:rFonts w:hint="default" w:ascii="Times New Roman" w:hAnsi="Times New Roman" w:cs="Times New Roman"/>
                <w:color w:val="auto"/>
                <w:sz w:val="18"/>
                <w:szCs w:val="18"/>
              </w:rPr>
              <w:t>4</w:t>
            </w:r>
          </w:p>
        </w:tc>
        <w:tc>
          <w:tcPr>
            <w:tcW w:w="376"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239</w:t>
            </w:r>
          </w:p>
        </w:tc>
        <w:tc>
          <w:tcPr>
            <w:tcW w:w="383"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255</w:t>
            </w:r>
          </w:p>
        </w:tc>
        <w:tc>
          <w:tcPr>
            <w:tcW w:w="338"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300</w:t>
            </w:r>
          </w:p>
        </w:tc>
        <w:tc>
          <w:tcPr>
            <w:tcW w:w="460" w:type="pct"/>
            <w:tcBorders>
              <w:tl2br w:val="nil"/>
              <w:tr2bl w:val="nil"/>
            </w:tcBorders>
            <w:vAlign w:val="center"/>
          </w:tcPr>
          <w:p>
            <w:pPr>
              <w:widowControl/>
              <w:jc w:val="center"/>
              <w:textAlignment w:val="center"/>
              <w:rPr>
                <w:rFonts w:ascii="Times New Roman" w:hAnsi="Times New Roman" w:cs="Times New Roman"/>
                <w:color w:val="auto"/>
                <w:sz w:val="15"/>
                <w:szCs w:val="15"/>
              </w:rPr>
            </w:pPr>
            <w:r>
              <w:rPr>
                <w:rFonts w:ascii="Times New Roman" w:hAnsi="Times New Roman" w:eastAsia="宋体" w:cs="Times New Roman"/>
                <w:color w:val="auto"/>
                <w:kern w:val="0"/>
                <w:sz w:val="15"/>
                <w:szCs w:val="15"/>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9" w:hRule="atLeast"/>
          <w:tblHeader/>
          <w:jc w:val="center"/>
        </w:trPr>
        <w:tc>
          <w:tcPr>
            <w:tcW w:w="447" w:type="pct"/>
            <w:vMerge w:val="continue"/>
            <w:tcBorders>
              <w:tl2br w:val="nil"/>
              <w:tr2bl w:val="nil"/>
            </w:tcBorders>
            <w:vAlign w:val="center"/>
          </w:tcPr>
          <w:p>
            <w:pPr>
              <w:jc w:val="center"/>
              <w:rPr>
                <w:rFonts w:ascii="Times New Roman" w:hAnsi="Times New Roman" w:cs="Times New Roman"/>
                <w:b/>
                <w:bCs/>
                <w:color w:val="auto"/>
                <w:sz w:val="18"/>
                <w:szCs w:val="18"/>
              </w:rPr>
            </w:pPr>
          </w:p>
        </w:tc>
        <w:tc>
          <w:tcPr>
            <w:tcW w:w="595"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氨氮</w:t>
            </w:r>
          </w:p>
        </w:tc>
        <w:tc>
          <w:tcPr>
            <w:tcW w:w="478"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0.518</w:t>
            </w:r>
          </w:p>
        </w:tc>
        <w:tc>
          <w:tcPr>
            <w:tcW w:w="410"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0.510</w:t>
            </w:r>
          </w:p>
        </w:tc>
        <w:tc>
          <w:tcPr>
            <w:tcW w:w="376"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0.528</w:t>
            </w:r>
          </w:p>
        </w:tc>
        <w:tc>
          <w:tcPr>
            <w:tcW w:w="380"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0.520</w:t>
            </w:r>
          </w:p>
        </w:tc>
        <w:tc>
          <w:tcPr>
            <w:tcW w:w="376"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0.515</w:t>
            </w:r>
          </w:p>
        </w:tc>
        <w:tc>
          <w:tcPr>
            <w:tcW w:w="376"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0.526</w:t>
            </w:r>
          </w:p>
        </w:tc>
        <w:tc>
          <w:tcPr>
            <w:tcW w:w="376"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0.523</w:t>
            </w:r>
          </w:p>
        </w:tc>
        <w:tc>
          <w:tcPr>
            <w:tcW w:w="383"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0.512</w:t>
            </w:r>
          </w:p>
        </w:tc>
        <w:tc>
          <w:tcPr>
            <w:tcW w:w="338"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rPr>
            </w:pPr>
            <w:r>
              <w:rPr>
                <w:rFonts w:hint="eastAsia" w:ascii="Times New Roman" w:hAnsi="Times New Roman" w:cs="Times New Roman"/>
                <w:color w:val="auto"/>
                <w:sz w:val="18"/>
                <w:szCs w:val="18"/>
                <w:lang w:val="en-US" w:eastAsia="zh-CN"/>
              </w:rPr>
              <w:t>30</w:t>
            </w:r>
          </w:p>
        </w:tc>
        <w:tc>
          <w:tcPr>
            <w:tcW w:w="460" w:type="pct"/>
            <w:tcBorders>
              <w:tl2br w:val="nil"/>
              <w:tr2bl w:val="nil"/>
            </w:tcBorders>
            <w:vAlign w:val="center"/>
          </w:tcPr>
          <w:p>
            <w:pPr>
              <w:widowControl/>
              <w:jc w:val="center"/>
              <w:textAlignment w:val="center"/>
              <w:rPr>
                <w:rFonts w:ascii="Times New Roman" w:hAnsi="Times New Roman" w:cs="Times New Roman"/>
                <w:color w:val="auto"/>
                <w:sz w:val="18"/>
                <w:szCs w:val="18"/>
              </w:rPr>
            </w:pPr>
            <w:r>
              <w:rPr>
                <w:rFonts w:ascii="Times New Roman" w:hAnsi="Times New Roman" w:eastAsia="宋体" w:cs="Times New Roman"/>
                <w:color w:val="auto"/>
                <w:kern w:val="0"/>
                <w:sz w:val="18"/>
                <w:szCs w:val="18"/>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3" w:hRule="atLeast"/>
          <w:tblHeader/>
          <w:jc w:val="center"/>
        </w:trPr>
        <w:tc>
          <w:tcPr>
            <w:tcW w:w="447" w:type="pct"/>
            <w:vMerge w:val="continue"/>
            <w:tcBorders>
              <w:tl2br w:val="nil"/>
              <w:tr2bl w:val="nil"/>
            </w:tcBorders>
            <w:vAlign w:val="center"/>
          </w:tcPr>
          <w:p>
            <w:pPr>
              <w:jc w:val="center"/>
              <w:rPr>
                <w:rFonts w:ascii="Times New Roman" w:hAnsi="Times New Roman" w:cs="Times New Roman"/>
                <w:b/>
                <w:bCs/>
                <w:color w:val="auto"/>
                <w:sz w:val="18"/>
                <w:szCs w:val="18"/>
              </w:rPr>
            </w:pPr>
          </w:p>
        </w:tc>
        <w:tc>
          <w:tcPr>
            <w:tcW w:w="595"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悬浮物</w:t>
            </w:r>
          </w:p>
        </w:tc>
        <w:tc>
          <w:tcPr>
            <w:tcW w:w="478"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106</w:t>
            </w:r>
          </w:p>
        </w:tc>
        <w:tc>
          <w:tcPr>
            <w:tcW w:w="410"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103</w:t>
            </w:r>
          </w:p>
        </w:tc>
        <w:tc>
          <w:tcPr>
            <w:tcW w:w="376"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112</w:t>
            </w:r>
          </w:p>
        </w:tc>
        <w:tc>
          <w:tcPr>
            <w:tcW w:w="380"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109</w:t>
            </w:r>
          </w:p>
        </w:tc>
        <w:tc>
          <w:tcPr>
            <w:tcW w:w="376"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107</w:t>
            </w:r>
          </w:p>
        </w:tc>
        <w:tc>
          <w:tcPr>
            <w:tcW w:w="376"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109</w:t>
            </w:r>
          </w:p>
        </w:tc>
        <w:tc>
          <w:tcPr>
            <w:tcW w:w="376"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112</w:t>
            </w:r>
          </w:p>
        </w:tc>
        <w:tc>
          <w:tcPr>
            <w:tcW w:w="383"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115</w:t>
            </w:r>
          </w:p>
        </w:tc>
        <w:tc>
          <w:tcPr>
            <w:tcW w:w="338"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400</w:t>
            </w:r>
          </w:p>
        </w:tc>
        <w:tc>
          <w:tcPr>
            <w:tcW w:w="460" w:type="pct"/>
            <w:tcBorders>
              <w:tl2br w:val="nil"/>
              <w:tr2bl w:val="nil"/>
            </w:tcBorders>
            <w:vAlign w:val="center"/>
          </w:tcPr>
          <w:p>
            <w:pPr>
              <w:widowControl/>
              <w:jc w:val="center"/>
              <w:textAlignment w:val="center"/>
              <w:rPr>
                <w:rFonts w:ascii="Times New Roman" w:hAnsi="Times New Roman" w:cs="Times New Roman"/>
                <w:color w:val="auto"/>
                <w:sz w:val="18"/>
                <w:szCs w:val="18"/>
              </w:rPr>
            </w:pPr>
            <w:r>
              <w:rPr>
                <w:rFonts w:ascii="Times New Roman" w:hAnsi="Times New Roman" w:eastAsia="宋体" w:cs="Times New Roman"/>
                <w:color w:val="auto"/>
                <w:kern w:val="0"/>
                <w:sz w:val="18"/>
                <w:szCs w:val="18"/>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9" w:hRule="atLeast"/>
          <w:tblHeader/>
          <w:jc w:val="center"/>
        </w:trPr>
        <w:tc>
          <w:tcPr>
            <w:tcW w:w="447" w:type="pct"/>
            <w:vMerge w:val="continue"/>
            <w:tcBorders>
              <w:tl2br w:val="nil"/>
              <w:tr2bl w:val="nil"/>
            </w:tcBorders>
            <w:vAlign w:val="center"/>
          </w:tcPr>
          <w:p>
            <w:pPr>
              <w:jc w:val="center"/>
              <w:rPr>
                <w:rFonts w:ascii="Times New Roman" w:hAnsi="Times New Roman" w:cs="Times New Roman"/>
                <w:b/>
                <w:bCs/>
                <w:color w:val="auto"/>
                <w:sz w:val="18"/>
                <w:szCs w:val="18"/>
              </w:rPr>
            </w:pPr>
          </w:p>
        </w:tc>
        <w:tc>
          <w:tcPr>
            <w:tcW w:w="595"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动植物油</w:t>
            </w:r>
          </w:p>
        </w:tc>
        <w:tc>
          <w:tcPr>
            <w:tcW w:w="478"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42.1</w:t>
            </w:r>
          </w:p>
        </w:tc>
        <w:tc>
          <w:tcPr>
            <w:tcW w:w="410"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43.0</w:t>
            </w:r>
          </w:p>
        </w:tc>
        <w:tc>
          <w:tcPr>
            <w:tcW w:w="376"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41.7</w:t>
            </w:r>
          </w:p>
        </w:tc>
        <w:tc>
          <w:tcPr>
            <w:tcW w:w="380"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41.8</w:t>
            </w:r>
          </w:p>
        </w:tc>
        <w:tc>
          <w:tcPr>
            <w:tcW w:w="376"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42.7</w:t>
            </w:r>
          </w:p>
        </w:tc>
        <w:tc>
          <w:tcPr>
            <w:tcW w:w="376"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42.7</w:t>
            </w:r>
          </w:p>
        </w:tc>
        <w:tc>
          <w:tcPr>
            <w:tcW w:w="376"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42.4</w:t>
            </w:r>
          </w:p>
        </w:tc>
        <w:tc>
          <w:tcPr>
            <w:tcW w:w="383" w:type="pct"/>
            <w:tcBorders>
              <w:tl2br w:val="nil"/>
              <w:tr2bl w:val="nil"/>
            </w:tcBorders>
            <w:vAlign w:val="center"/>
          </w:tcPr>
          <w:p>
            <w:pPr>
              <w:jc w:val="center"/>
              <w:rPr>
                <w:rFonts w:hint="default" w:ascii="Times New Roman" w:hAnsi="Times New Roman" w:cs="Times New Roman" w:eastAsiaTheme="minorEastAsia"/>
                <w:color w:val="auto"/>
                <w:sz w:val="18"/>
                <w:szCs w:val="18"/>
                <w:lang w:val="en-US" w:eastAsia="zh-CN"/>
              </w:rPr>
            </w:pPr>
            <w:r>
              <w:rPr>
                <w:rFonts w:hint="eastAsia" w:ascii="Times New Roman" w:hAnsi="Times New Roman" w:cs="Times New Roman"/>
                <w:color w:val="auto"/>
                <w:sz w:val="18"/>
                <w:szCs w:val="18"/>
                <w:lang w:val="en-US" w:eastAsia="zh-CN"/>
              </w:rPr>
              <w:t>41.2</w:t>
            </w:r>
          </w:p>
        </w:tc>
        <w:tc>
          <w:tcPr>
            <w:tcW w:w="338"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100</w:t>
            </w:r>
          </w:p>
        </w:tc>
        <w:tc>
          <w:tcPr>
            <w:tcW w:w="460" w:type="pct"/>
            <w:tcBorders>
              <w:tl2br w:val="nil"/>
              <w:tr2bl w:val="nil"/>
            </w:tcBorders>
            <w:vAlign w:val="center"/>
          </w:tcPr>
          <w:p>
            <w:pPr>
              <w:widowControl/>
              <w:jc w:val="center"/>
              <w:textAlignment w:val="center"/>
              <w:rPr>
                <w:rFonts w:ascii="Times New Roman" w:hAnsi="Times New Roman" w:cs="Times New Roman"/>
                <w:color w:val="auto"/>
                <w:sz w:val="18"/>
                <w:szCs w:val="18"/>
              </w:rPr>
            </w:pPr>
            <w:r>
              <w:rPr>
                <w:rFonts w:ascii="Times New Roman" w:hAnsi="Times New Roman" w:eastAsia="宋体" w:cs="Times New Roman"/>
                <w:color w:val="auto"/>
                <w:kern w:val="0"/>
                <w:sz w:val="18"/>
                <w:szCs w:val="18"/>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9" w:hRule="atLeast"/>
          <w:tblHeader/>
          <w:jc w:val="center"/>
        </w:trPr>
        <w:tc>
          <w:tcPr>
            <w:tcW w:w="447" w:type="pct"/>
            <w:vMerge w:val="continue"/>
            <w:tcBorders>
              <w:tl2br w:val="nil"/>
              <w:tr2bl w:val="nil"/>
            </w:tcBorders>
            <w:vAlign w:val="center"/>
          </w:tcPr>
          <w:p>
            <w:pPr>
              <w:jc w:val="center"/>
              <w:rPr>
                <w:rFonts w:ascii="Times New Roman" w:hAnsi="Times New Roman" w:cs="Times New Roman"/>
                <w:b/>
                <w:bCs/>
                <w:color w:val="auto"/>
                <w:sz w:val="18"/>
                <w:szCs w:val="18"/>
              </w:rPr>
            </w:pPr>
          </w:p>
        </w:tc>
        <w:tc>
          <w:tcPr>
            <w:tcW w:w="595"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苯酚</w:t>
            </w:r>
          </w:p>
        </w:tc>
        <w:tc>
          <w:tcPr>
            <w:tcW w:w="478" w:type="pct"/>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ND</w:t>
            </w:r>
          </w:p>
        </w:tc>
        <w:tc>
          <w:tcPr>
            <w:tcW w:w="410" w:type="pct"/>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ND</w:t>
            </w:r>
          </w:p>
        </w:tc>
        <w:tc>
          <w:tcPr>
            <w:tcW w:w="376" w:type="pct"/>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ND</w:t>
            </w:r>
          </w:p>
        </w:tc>
        <w:tc>
          <w:tcPr>
            <w:tcW w:w="380" w:type="pct"/>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ND</w:t>
            </w:r>
          </w:p>
        </w:tc>
        <w:tc>
          <w:tcPr>
            <w:tcW w:w="376" w:type="pct"/>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ND</w:t>
            </w:r>
          </w:p>
        </w:tc>
        <w:tc>
          <w:tcPr>
            <w:tcW w:w="376" w:type="pct"/>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ND</w:t>
            </w:r>
          </w:p>
        </w:tc>
        <w:tc>
          <w:tcPr>
            <w:tcW w:w="376" w:type="pct"/>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ND</w:t>
            </w:r>
          </w:p>
        </w:tc>
        <w:tc>
          <w:tcPr>
            <w:tcW w:w="383" w:type="pct"/>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ND</w:t>
            </w:r>
          </w:p>
        </w:tc>
        <w:tc>
          <w:tcPr>
            <w:tcW w:w="338" w:type="pct"/>
            <w:tcBorders>
              <w:tl2br w:val="nil"/>
              <w:tr2bl w:val="nil"/>
            </w:tcBorders>
            <w:vAlign w:val="center"/>
          </w:tcPr>
          <w:p>
            <w:pPr>
              <w:jc w:val="center"/>
              <w:rPr>
                <w:rFonts w:hint="default" w:ascii="Times New Roman" w:hAnsi="Times New Roman" w:cs="Times New Roman" w:eastAsiaTheme="minorEastAsia"/>
                <w:color w:val="auto"/>
                <w:sz w:val="18"/>
                <w:szCs w:val="18"/>
              </w:rPr>
            </w:pPr>
            <w:r>
              <w:rPr>
                <w:rFonts w:hint="eastAsia" w:ascii="Times New Roman" w:hAnsi="Times New Roman" w:cs="Times New Roman"/>
                <w:color w:val="auto"/>
                <w:sz w:val="18"/>
                <w:szCs w:val="18"/>
                <w:lang w:eastAsia="zh-CN"/>
              </w:rPr>
              <w:t>0</w:t>
            </w:r>
            <w:r>
              <w:rPr>
                <w:rFonts w:hint="eastAsia" w:ascii="Times New Roman" w:hAnsi="Times New Roman" w:cs="Times New Roman"/>
                <w:color w:val="auto"/>
                <w:sz w:val="18"/>
                <w:szCs w:val="18"/>
                <w:lang w:val="en-US" w:eastAsia="zh-CN"/>
              </w:rPr>
              <w:t>.5</w:t>
            </w:r>
          </w:p>
        </w:tc>
        <w:tc>
          <w:tcPr>
            <w:tcW w:w="460"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eastAsia="宋体" w:cs="Times New Roman"/>
                <w:color w:val="auto"/>
                <w:kern w:val="0"/>
                <w:sz w:val="18"/>
                <w:szCs w:val="18"/>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9" w:hRule="atLeast"/>
          <w:tblHeader/>
          <w:jc w:val="center"/>
        </w:trPr>
        <w:tc>
          <w:tcPr>
            <w:tcW w:w="447" w:type="pct"/>
            <w:vMerge w:val="continue"/>
            <w:tcBorders>
              <w:tl2br w:val="nil"/>
              <w:tr2bl w:val="nil"/>
            </w:tcBorders>
            <w:vAlign w:val="center"/>
          </w:tcPr>
          <w:p>
            <w:pPr>
              <w:jc w:val="center"/>
              <w:rPr>
                <w:rFonts w:ascii="Times New Roman" w:hAnsi="Times New Roman" w:cs="Times New Roman"/>
                <w:b/>
                <w:bCs/>
                <w:color w:val="auto"/>
                <w:sz w:val="18"/>
                <w:szCs w:val="18"/>
              </w:rPr>
            </w:pPr>
          </w:p>
        </w:tc>
        <w:tc>
          <w:tcPr>
            <w:tcW w:w="595" w:type="pct"/>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甲醛</w:t>
            </w:r>
          </w:p>
        </w:tc>
        <w:tc>
          <w:tcPr>
            <w:tcW w:w="478" w:type="pct"/>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ND</w:t>
            </w:r>
          </w:p>
        </w:tc>
        <w:tc>
          <w:tcPr>
            <w:tcW w:w="410" w:type="pct"/>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ND</w:t>
            </w:r>
          </w:p>
        </w:tc>
        <w:tc>
          <w:tcPr>
            <w:tcW w:w="376" w:type="pct"/>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ND</w:t>
            </w:r>
          </w:p>
        </w:tc>
        <w:tc>
          <w:tcPr>
            <w:tcW w:w="380" w:type="pct"/>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ND</w:t>
            </w:r>
          </w:p>
        </w:tc>
        <w:tc>
          <w:tcPr>
            <w:tcW w:w="376" w:type="pct"/>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ND</w:t>
            </w:r>
          </w:p>
        </w:tc>
        <w:tc>
          <w:tcPr>
            <w:tcW w:w="376" w:type="pct"/>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ND</w:t>
            </w:r>
          </w:p>
        </w:tc>
        <w:tc>
          <w:tcPr>
            <w:tcW w:w="376" w:type="pct"/>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ND</w:t>
            </w:r>
          </w:p>
        </w:tc>
        <w:tc>
          <w:tcPr>
            <w:tcW w:w="383" w:type="pct"/>
            <w:tcBorders>
              <w:tl2br w:val="nil"/>
              <w:tr2bl w:val="nil"/>
            </w:tcBorders>
            <w:vAlign w:val="center"/>
          </w:tcPr>
          <w:p>
            <w:pPr>
              <w:jc w:val="center"/>
              <w:rPr>
                <w:rFonts w:ascii="Times New Roman" w:hAnsi="Times New Roman" w:cs="Times New Roman"/>
                <w:color w:val="auto"/>
                <w:sz w:val="18"/>
                <w:szCs w:val="18"/>
              </w:rPr>
            </w:pPr>
            <w:r>
              <w:rPr>
                <w:rFonts w:hint="default" w:ascii="Times New Roman" w:hAnsi="Times New Roman" w:cs="Times New Roman"/>
                <w:color w:val="auto"/>
                <w:sz w:val="18"/>
                <w:szCs w:val="18"/>
              </w:rPr>
              <w:t>ND</w:t>
            </w:r>
          </w:p>
        </w:tc>
        <w:tc>
          <w:tcPr>
            <w:tcW w:w="338"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5.0</w:t>
            </w:r>
          </w:p>
        </w:tc>
        <w:tc>
          <w:tcPr>
            <w:tcW w:w="460" w:type="pct"/>
            <w:tcBorders>
              <w:tl2br w:val="nil"/>
              <w:tr2bl w:val="nil"/>
            </w:tcBorders>
            <w:vAlign w:val="center"/>
          </w:tcPr>
          <w:p>
            <w:pPr>
              <w:jc w:val="center"/>
              <w:rPr>
                <w:rFonts w:ascii="Times New Roman" w:hAnsi="Times New Roman" w:cs="Times New Roman"/>
                <w:color w:val="auto"/>
                <w:sz w:val="18"/>
                <w:szCs w:val="18"/>
              </w:rPr>
            </w:pPr>
            <w:r>
              <w:rPr>
                <w:rFonts w:ascii="Times New Roman" w:hAnsi="Times New Roman" w:eastAsia="宋体" w:cs="Times New Roman"/>
                <w:color w:val="auto"/>
                <w:kern w:val="0"/>
                <w:sz w:val="18"/>
                <w:szCs w:val="18"/>
                <w:lang w:bidi="ar"/>
              </w:rPr>
              <w:t>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9" w:hRule="atLeast"/>
          <w:tblHeader/>
          <w:jc w:val="center"/>
        </w:trPr>
        <w:tc>
          <w:tcPr>
            <w:tcW w:w="447" w:type="pct"/>
            <w:tcBorders>
              <w:tl2br w:val="nil"/>
              <w:tr2bl w:val="nil"/>
            </w:tcBorders>
            <w:vAlign w:val="center"/>
          </w:tcPr>
          <w:p>
            <w:pPr>
              <w:jc w:val="center"/>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备注</w:t>
            </w:r>
          </w:p>
        </w:tc>
        <w:tc>
          <w:tcPr>
            <w:tcW w:w="4552" w:type="pct"/>
            <w:gridSpan w:val="11"/>
            <w:tcBorders>
              <w:tl2br w:val="nil"/>
              <w:tr2bl w:val="nil"/>
            </w:tcBorders>
            <w:vAlign w:val="center"/>
          </w:tcPr>
          <w:p>
            <w:pPr>
              <w:jc w:val="left"/>
              <w:rPr>
                <w:rFonts w:ascii="Times New Roman" w:hAnsi="Times New Roman" w:eastAsia="宋体" w:cs="Times New Roman"/>
                <w:color w:val="auto"/>
                <w:sz w:val="18"/>
                <w:szCs w:val="18"/>
              </w:rPr>
            </w:pPr>
            <w:r>
              <w:rPr>
                <w:rFonts w:hint="default" w:ascii="Times New Roman" w:hAnsi="Times New Roman" w:cs="Times New Roman"/>
                <w:color w:val="auto"/>
                <w:sz w:val="18"/>
                <w:szCs w:val="18"/>
              </w:rPr>
              <w:t>执行《合成树脂工业污染物排放标准》（GB 31572-2015）中）中表1的间接排放限值、云溪污水处理厂进水水质要求</w:t>
            </w:r>
          </w:p>
        </w:tc>
      </w:tr>
    </w:tbl>
    <w:p>
      <w:pPr>
        <w:spacing w:line="360" w:lineRule="auto"/>
        <w:ind w:firstLine="480" w:firstLineChars="200"/>
        <w:rPr>
          <w:rFonts w:ascii="Times New Roman" w:hAnsi="Times New Roman" w:cs="Times New Roman"/>
          <w:color w:val="auto"/>
          <w:kern w:val="0"/>
          <w:sz w:val="24"/>
          <w:szCs w:val="24"/>
        </w:rPr>
      </w:pPr>
      <w:r>
        <w:rPr>
          <w:rFonts w:hint="default" w:ascii="Times New Roman" w:hAnsi="Times New Roman" w:cs="Times New Roman"/>
          <w:color w:val="auto"/>
          <w:sz w:val="24"/>
          <w:szCs w:val="24"/>
        </w:rPr>
        <w:t>根据上表可知，项目废水各因子满足</w:t>
      </w:r>
      <w:r>
        <w:rPr>
          <w:rFonts w:hint="default" w:ascii="Times New Roman" w:hAnsi="Times New Roman" w:cs="Times New Roman"/>
          <w:color w:val="auto"/>
          <w:kern w:val="0"/>
          <w:sz w:val="24"/>
          <w:szCs w:val="24"/>
        </w:rPr>
        <w:t>《合成树脂工业污染物排放标准》（GB 31572-2015）中）中表1的间接排放限值、云溪污水处理厂进水水质要求。</w:t>
      </w:r>
    </w:p>
    <w:p>
      <w:pPr>
        <w:spacing w:line="360" w:lineRule="auto"/>
        <w:outlineLvl w:val="1"/>
        <w:rPr>
          <w:rFonts w:ascii="Times New Roman" w:hAnsi="Times New Roman" w:cs="Times New Roman"/>
          <w:b/>
          <w:color w:val="auto"/>
          <w:sz w:val="30"/>
          <w:szCs w:val="30"/>
        </w:rPr>
      </w:pPr>
      <w:bookmarkStart w:id="111" w:name="_Toc85120911"/>
      <w:bookmarkStart w:id="112" w:name="_Toc29697"/>
      <w:r>
        <w:rPr>
          <w:rFonts w:hint="default" w:ascii="Times New Roman" w:hAnsi="Times New Roman" w:cs="Times New Roman"/>
          <w:b/>
          <w:color w:val="auto"/>
          <w:sz w:val="30"/>
          <w:szCs w:val="30"/>
        </w:rPr>
        <w:t>9.6  固废处置情况调查</w:t>
      </w:r>
      <w:bookmarkEnd w:id="111"/>
      <w:bookmarkEnd w:id="112"/>
    </w:p>
    <w:p>
      <w:pPr>
        <w:pStyle w:val="41"/>
        <w:spacing w:line="240" w:lineRule="auto"/>
        <w:ind w:firstLine="0" w:firstLineChars="0"/>
        <w:rPr>
          <w:rFonts w:hAnsi="Times New Roman"/>
          <w:color w:val="auto"/>
          <w:spacing w:val="10"/>
          <w:kern w:val="24"/>
          <w:szCs w:val="21"/>
        </w:rPr>
      </w:pPr>
      <w:r>
        <w:rPr>
          <w:rFonts w:hAnsi="Times New Roman"/>
          <w:color w:val="auto"/>
          <w:spacing w:val="10"/>
          <w:kern w:val="24"/>
          <w:szCs w:val="21"/>
        </w:rPr>
        <w:t>表</w:t>
      </w:r>
      <w:r>
        <w:rPr>
          <w:rFonts w:hint="default" w:hAnsi="Times New Roman"/>
          <w:color w:val="auto"/>
          <w:spacing w:val="10"/>
          <w:kern w:val="24"/>
          <w:szCs w:val="21"/>
        </w:rPr>
        <w:t>9</w:t>
      </w:r>
      <w:r>
        <w:rPr>
          <w:rFonts w:hAnsi="Times New Roman"/>
          <w:color w:val="auto"/>
          <w:spacing w:val="10"/>
          <w:kern w:val="24"/>
          <w:szCs w:val="21"/>
        </w:rPr>
        <w:t>.</w:t>
      </w:r>
      <w:r>
        <w:rPr>
          <w:rFonts w:hint="default" w:hAnsi="Times New Roman"/>
          <w:color w:val="auto"/>
          <w:spacing w:val="10"/>
          <w:kern w:val="24"/>
          <w:szCs w:val="21"/>
        </w:rPr>
        <w:t>6</w:t>
      </w:r>
      <w:r>
        <w:rPr>
          <w:rFonts w:hAnsi="Times New Roman"/>
          <w:color w:val="auto"/>
          <w:spacing w:val="10"/>
          <w:kern w:val="24"/>
          <w:szCs w:val="21"/>
        </w:rPr>
        <w:t>-</w:t>
      </w:r>
      <w:r>
        <w:rPr>
          <w:rFonts w:hint="default" w:hAnsi="Times New Roman"/>
          <w:color w:val="auto"/>
          <w:spacing w:val="10"/>
          <w:kern w:val="24"/>
          <w:szCs w:val="21"/>
        </w:rPr>
        <w:t>1</w:t>
      </w:r>
      <w:r>
        <w:rPr>
          <w:rFonts w:hAnsi="Times New Roman"/>
          <w:color w:val="auto"/>
          <w:spacing w:val="10"/>
          <w:kern w:val="24"/>
          <w:szCs w:val="21"/>
        </w:rPr>
        <w:t>项目固废汇总表</w:t>
      </w:r>
    </w:p>
    <w:tbl>
      <w:tblPr>
        <w:tblStyle w:val="28"/>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37"/>
        <w:gridCol w:w="1730"/>
        <w:gridCol w:w="1331"/>
        <w:gridCol w:w="1996"/>
        <w:gridCol w:w="1861"/>
        <w:gridCol w:w="106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315" w:type="pct"/>
            <w:tcBorders>
              <w:tl2br w:val="nil"/>
              <w:tr2bl w:val="nil"/>
            </w:tcBorders>
            <w:noWrap/>
            <w:vAlign w:val="center"/>
          </w:tcPr>
          <w:p>
            <w:pPr>
              <w:ind w:left="-105" w:leftChars="-50" w:right="-105" w:rightChars="-50"/>
              <w:jc w:val="center"/>
              <w:rPr>
                <w:rFonts w:ascii="Times New Roman" w:hAnsi="Times New Roman" w:cs="Times New Roman"/>
                <w:b/>
                <w:color w:val="auto"/>
                <w:szCs w:val="21"/>
              </w:rPr>
            </w:pPr>
            <w:r>
              <w:rPr>
                <w:rFonts w:ascii="Times New Roman" w:hAnsi="Times New Roman" w:cs="Times New Roman"/>
                <w:b/>
                <w:color w:val="auto"/>
                <w:szCs w:val="21"/>
              </w:rPr>
              <w:t>序号</w:t>
            </w:r>
          </w:p>
        </w:tc>
        <w:tc>
          <w:tcPr>
            <w:tcW w:w="1015" w:type="pct"/>
            <w:tcBorders>
              <w:tl2br w:val="nil"/>
              <w:tr2bl w:val="nil"/>
            </w:tcBorders>
            <w:vAlign w:val="center"/>
          </w:tcPr>
          <w:p>
            <w:pPr>
              <w:jc w:val="center"/>
              <w:rPr>
                <w:rFonts w:ascii="Times New Roman" w:hAnsi="Times New Roman" w:cs="Times New Roman"/>
                <w:b/>
                <w:color w:val="auto"/>
                <w:szCs w:val="21"/>
              </w:rPr>
            </w:pPr>
            <w:r>
              <w:rPr>
                <w:rFonts w:ascii="Times New Roman" w:hAnsi="Times New Roman" w:cs="Times New Roman"/>
                <w:b/>
                <w:color w:val="auto"/>
                <w:szCs w:val="21"/>
              </w:rPr>
              <w:t>名称</w:t>
            </w:r>
          </w:p>
        </w:tc>
        <w:tc>
          <w:tcPr>
            <w:tcW w:w="781" w:type="pct"/>
            <w:tcBorders>
              <w:tl2br w:val="nil"/>
              <w:tr2bl w:val="nil"/>
            </w:tcBorders>
            <w:vAlign w:val="center"/>
          </w:tcPr>
          <w:p>
            <w:pPr>
              <w:jc w:val="center"/>
              <w:rPr>
                <w:rFonts w:ascii="Times New Roman" w:hAnsi="Times New Roman" w:cs="Times New Roman"/>
                <w:b/>
                <w:color w:val="auto"/>
                <w:szCs w:val="21"/>
              </w:rPr>
            </w:pPr>
            <w:r>
              <w:rPr>
                <w:rFonts w:ascii="Times New Roman" w:hAnsi="Times New Roman" w:cs="Times New Roman"/>
                <w:b/>
                <w:color w:val="auto"/>
                <w:szCs w:val="21"/>
              </w:rPr>
              <w:t>产生量t/a</w:t>
            </w:r>
          </w:p>
        </w:tc>
        <w:tc>
          <w:tcPr>
            <w:tcW w:w="1171" w:type="pct"/>
            <w:tcBorders>
              <w:tl2br w:val="nil"/>
              <w:tr2bl w:val="nil"/>
            </w:tcBorders>
            <w:vAlign w:val="center"/>
          </w:tcPr>
          <w:p>
            <w:pPr>
              <w:jc w:val="center"/>
              <w:rPr>
                <w:rFonts w:ascii="Times New Roman" w:hAnsi="Times New Roman" w:cs="Times New Roman"/>
                <w:b/>
                <w:color w:val="auto"/>
                <w:szCs w:val="21"/>
              </w:rPr>
            </w:pPr>
            <w:r>
              <w:rPr>
                <w:rFonts w:ascii="Times New Roman" w:hAnsi="Times New Roman" w:cs="Times New Roman"/>
                <w:b/>
                <w:color w:val="auto"/>
                <w:szCs w:val="21"/>
              </w:rPr>
              <w:t>属性</w:t>
            </w:r>
          </w:p>
        </w:tc>
        <w:tc>
          <w:tcPr>
            <w:tcW w:w="1092" w:type="pct"/>
            <w:tcBorders>
              <w:tl2br w:val="nil"/>
              <w:tr2bl w:val="nil"/>
            </w:tcBorders>
            <w:vAlign w:val="center"/>
          </w:tcPr>
          <w:p>
            <w:pPr>
              <w:jc w:val="center"/>
              <w:rPr>
                <w:rFonts w:ascii="Times New Roman" w:hAnsi="Times New Roman" w:cs="Times New Roman"/>
                <w:b/>
                <w:color w:val="auto"/>
                <w:szCs w:val="21"/>
              </w:rPr>
            </w:pPr>
            <w:r>
              <w:rPr>
                <w:rFonts w:ascii="Times New Roman" w:hAnsi="Times New Roman" w:cs="Times New Roman"/>
                <w:b/>
                <w:color w:val="auto"/>
                <w:szCs w:val="21"/>
              </w:rPr>
              <w:t>处理处置措施</w:t>
            </w:r>
          </w:p>
        </w:tc>
        <w:tc>
          <w:tcPr>
            <w:tcW w:w="624" w:type="pct"/>
            <w:tcBorders>
              <w:tl2br w:val="nil"/>
              <w:tr2bl w:val="nil"/>
            </w:tcBorders>
            <w:vAlign w:val="center"/>
          </w:tcPr>
          <w:p>
            <w:pPr>
              <w:jc w:val="center"/>
              <w:rPr>
                <w:rFonts w:ascii="Times New Roman" w:hAnsi="Times New Roman" w:cs="Times New Roman"/>
                <w:b/>
                <w:color w:val="auto"/>
                <w:szCs w:val="21"/>
              </w:rPr>
            </w:pPr>
            <w:r>
              <w:rPr>
                <w:rFonts w:ascii="Times New Roman" w:hAnsi="Times New Roman" w:cs="Times New Roman"/>
                <w:b/>
                <w:color w:val="auto"/>
                <w:szCs w:val="21"/>
              </w:rPr>
              <w:t>排放量t/a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5" w:type="pct"/>
            <w:tcBorders>
              <w:tl2br w:val="nil"/>
              <w:tr2bl w:val="nil"/>
            </w:tcBorders>
            <w:noWrap/>
            <w:vAlign w:val="center"/>
          </w:tcPr>
          <w:p>
            <w:pPr>
              <w:jc w:val="center"/>
              <w:rPr>
                <w:rFonts w:ascii="Times New Roman" w:hAnsi="Times New Roman" w:cs="Times New Roman"/>
                <w:color w:val="auto"/>
                <w:szCs w:val="21"/>
              </w:rPr>
            </w:pPr>
            <w:r>
              <w:rPr>
                <w:rFonts w:ascii="Times New Roman" w:hAnsi="Times New Roman" w:cs="Times New Roman"/>
                <w:color w:val="auto"/>
                <w:szCs w:val="21"/>
              </w:rPr>
              <w:t>1</w:t>
            </w:r>
          </w:p>
        </w:tc>
        <w:tc>
          <w:tcPr>
            <w:tcW w:w="1015" w:type="pct"/>
            <w:tcBorders>
              <w:tl2br w:val="nil"/>
              <w:tr2bl w:val="nil"/>
            </w:tcBorders>
            <w:vAlign w:val="center"/>
          </w:tcPr>
          <w:p>
            <w:pPr>
              <w:ind w:left="-105" w:leftChars="-50" w:right="-105" w:rightChars="-50"/>
              <w:jc w:val="center"/>
              <w:rPr>
                <w:rFonts w:ascii="Times New Roman" w:hAnsi="Times New Roman" w:cs="Times New Roman"/>
                <w:color w:val="auto"/>
                <w:szCs w:val="21"/>
              </w:rPr>
            </w:pPr>
            <w:r>
              <w:rPr>
                <w:rFonts w:ascii="Times New Roman" w:hAnsi="Times New Roman" w:cs="Times New Roman"/>
                <w:color w:val="auto"/>
                <w:szCs w:val="21"/>
              </w:rPr>
              <w:t>废包装、废包装桶、实验室废试剂瓶</w:t>
            </w:r>
          </w:p>
        </w:tc>
        <w:tc>
          <w:tcPr>
            <w:tcW w:w="781" w:type="pct"/>
            <w:tcBorders>
              <w:tl2br w:val="nil"/>
              <w:tr2bl w:val="nil"/>
            </w:tcBorders>
            <w:noWrap/>
            <w:vAlign w:val="center"/>
          </w:tcPr>
          <w:p>
            <w:pPr>
              <w:jc w:val="center"/>
              <w:rPr>
                <w:rFonts w:ascii="Times New Roman" w:hAnsi="Times New Roman" w:cs="Times New Roman"/>
                <w:color w:val="auto"/>
                <w:szCs w:val="21"/>
              </w:rPr>
            </w:pPr>
            <w:r>
              <w:rPr>
                <w:rFonts w:ascii="Times New Roman" w:hAnsi="Times New Roman" w:cs="Times New Roman"/>
                <w:color w:val="auto"/>
                <w:szCs w:val="21"/>
              </w:rPr>
              <w:t>2.03</w:t>
            </w:r>
          </w:p>
        </w:tc>
        <w:tc>
          <w:tcPr>
            <w:tcW w:w="117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危险固废</w:t>
            </w:r>
          </w:p>
        </w:tc>
        <w:tc>
          <w:tcPr>
            <w:tcW w:w="1092" w:type="pct"/>
            <w:tcBorders>
              <w:tl2br w:val="nil"/>
              <w:tr2bl w:val="nil"/>
            </w:tcBorders>
            <w:vAlign w:val="center"/>
          </w:tcPr>
          <w:p>
            <w:pPr>
              <w:jc w:val="center"/>
              <w:rPr>
                <w:rFonts w:ascii="Times New Roman" w:hAnsi="Times New Roman" w:cs="Times New Roman"/>
                <w:color w:val="auto"/>
                <w:szCs w:val="21"/>
              </w:rPr>
            </w:pPr>
            <w:r>
              <w:rPr>
                <w:rFonts w:hint="eastAsia" w:ascii="Times New Roman" w:hAnsi="Times New Roman" w:cs="Times New Roman"/>
                <w:color w:val="auto"/>
                <w:szCs w:val="21"/>
                <w:lang w:val="en-US" w:eastAsia="zh-CN"/>
              </w:rPr>
              <w:t>交由湖南瀚洋环保科技有限公司</w:t>
            </w:r>
            <w:r>
              <w:rPr>
                <w:rFonts w:ascii="Times New Roman" w:hAnsi="Times New Roman" w:cs="Times New Roman"/>
                <w:color w:val="auto"/>
                <w:szCs w:val="21"/>
              </w:rPr>
              <w:t>处置</w:t>
            </w:r>
          </w:p>
        </w:tc>
        <w:tc>
          <w:tcPr>
            <w:tcW w:w="624" w:type="pct"/>
            <w:tcBorders>
              <w:tl2br w:val="nil"/>
              <w:tr2bl w:val="nil"/>
            </w:tcBorders>
            <w:noWrap/>
            <w:vAlign w:val="center"/>
          </w:tcPr>
          <w:p>
            <w:pPr>
              <w:jc w:val="center"/>
              <w:rPr>
                <w:rFonts w:ascii="Times New Roman" w:hAnsi="Times New Roman" w:cs="Times New Roman"/>
                <w:color w:val="auto"/>
                <w:szCs w:val="21"/>
              </w:rPr>
            </w:pPr>
            <w:r>
              <w:rPr>
                <w:rFonts w:ascii="Times New Roman" w:hAnsi="Times New Roman" w:cs="Times New Roman"/>
                <w:color w:val="auto"/>
                <w:szCs w:val="21"/>
              </w:rPr>
              <w:t>2.03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5" w:type="pct"/>
            <w:tcBorders>
              <w:tl2br w:val="nil"/>
              <w:tr2bl w:val="nil"/>
            </w:tcBorders>
            <w:noWrap/>
            <w:vAlign w:val="center"/>
          </w:tcPr>
          <w:p>
            <w:pPr>
              <w:jc w:val="center"/>
              <w:rPr>
                <w:rFonts w:ascii="Times New Roman" w:hAnsi="Times New Roman" w:cs="Times New Roman"/>
                <w:color w:val="auto"/>
                <w:szCs w:val="21"/>
              </w:rPr>
            </w:pPr>
            <w:r>
              <w:rPr>
                <w:rFonts w:ascii="Times New Roman" w:hAnsi="Times New Roman" w:cs="Times New Roman"/>
                <w:color w:val="auto"/>
                <w:szCs w:val="21"/>
              </w:rPr>
              <w:t>2</w:t>
            </w:r>
          </w:p>
        </w:tc>
        <w:tc>
          <w:tcPr>
            <w:tcW w:w="1015" w:type="pct"/>
            <w:tcBorders>
              <w:tl2br w:val="nil"/>
              <w:tr2bl w:val="nil"/>
            </w:tcBorders>
            <w:vAlign w:val="center"/>
          </w:tcPr>
          <w:p>
            <w:pPr>
              <w:ind w:left="-105" w:leftChars="-50" w:right="-105" w:rightChars="-50"/>
              <w:jc w:val="center"/>
              <w:rPr>
                <w:rFonts w:ascii="Times New Roman" w:hAnsi="Times New Roman" w:cs="Times New Roman"/>
                <w:color w:val="auto"/>
                <w:szCs w:val="21"/>
              </w:rPr>
            </w:pPr>
            <w:r>
              <w:rPr>
                <w:rFonts w:ascii="Times New Roman" w:hAnsi="Times New Roman" w:cs="Times New Roman"/>
                <w:color w:val="auto"/>
                <w:szCs w:val="21"/>
              </w:rPr>
              <w:t>废过滤渣及滤网</w:t>
            </w:r>
          </w:p>
        </w:tc>
        <w:tc>
          <w:tcPr>
            <w:tcW w:w="781" w:type="pct"/>
            <w:tcBorders>
              <w:tl2br w:val="nil"/>
              <w:tr2bl w:val="nil"/>
            </w:tcBorders>
            <w:vAlign w:val="center"/>
          </w:tcPr>
          <w:p>
            <w:pPr>
              <w:ind w:left="-105" w:leftChars="-50" w:right="-105" w:rightChars="-50"/>
              <w:jc w:val="center"/>
              <w:rPr>
                <w:rFonts w:ascii="Times New Roman" w:hAnsi="Times New Roman" w:cs="Times New Roman"/>
                <w:color w:val="auto"/>
                <w:szCs w:val="21"/>
              </w:rPr>
            </w:pPr>
            <w:r>
              <w:rPr>
                <w:rFonts w:ascii="Times New Roman" w:hAnsi="Times New Roman" w:cs="Times New Roman"/>
                <w:color w:val="auto"/>
                <w:szCs w:val="21"/>
              </w:rPr>
              <w:t>0.5076</w:t>
            </w:r>
          </w:p>
        </w:tc>
        <w:tc>
          <w:tcPr>
            <w:tcW w:w="117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危险固废</w:t>
            </w:r>
          </w:p>
        </w:tc>
        <w:tc>
          <w:tcPr>
            <w:tcW w:w="1092" w:type="pct"/>
            <w:tcBorders>
              <w:tl2br w:val="nil"/>
              <w:tr2bl w:val="nil"/>
            </w:tcBorders>
            <w:vAlign w:val="center"/>
          </w:tcPr>
          <w:p>
            <w:pPr>
              <w:jc w:val="center"/>
              <w:rPr>
                <w:rFonts w:ascii="Times New Roman" w:hAnsi="Times New Roman" w:cs="Times New Roman"/>
                <w:color w:val="auto"/>
                <w:szCs w:val="21"/>
              </w:rPr>
            </w:pPr>
            <w:r>
              <w:rPr>
                <w:rFonts w:hint="eastAsia" w:ascii="Times New Roman" w:hAnsi="Times New Roman" w:cs="Times New Roman"/>
                <w:color w:val="auto"/>
                <w:szCs w:val="21"/>
                <w:lang w:val="en-US" w:eastAsia="zh-CN"/>
              </w:rPr>
              <w:t>交由</w:t>
            </w:r>
            <w:r>
              <w:rPr>
                <w:rFonts w:hint="eastAsia" w:ascii="Times New Roman" w:hAnsi="Times New Roman" w:cs="Times New Roman"/>
                <w:color w:val="auto"/>
                <w:szCs w:val="21"/>
              </w:rPr>
              <w:t>临湘海创环保科技有限责任公司</w:t>
            </w:r>
            <w:r>
              <w:rPr>
                <w:rFonts w:hint="eastAsia" w:ascii="Times New Roman" w:hAnsi="Times New Roman" w:cs="Times New Roman"/>
                <w:color w:val="auto"/>
                <w:szCs w:val="21"/>
                <w:lang w:val="en-US" w:eastAsia="zh-CN"/>
              </w:rPr>
              <w:t>处置</w:t>
            </w:r>
          </w:p>
        </w:tc>
        <w:tc>
          <w:tcPr>
            <w:tcW w:w="624" w:type="pct"/>
            <w:tcBorders>
              <w:tl2br w:val="nil"/>
              <w:tr2bl w:val="nil"/>
            </w:tcBorders>
            <w:noWrap/>
            <w:vAlign w:val="center"/>
          </w:tcPr>
          <w:p>
            <w:pPr>
              <w:ind w:left="-105" w:leftChars="-50" w:right="-105" w:rightChars="-50"/>
              <w:jc w:val="center"/>
              <w:rPr>
                <w:rFonts w:ascii="Times New Roman" w:hAnsi="Times New Roman" w:cs="Times New Roman"/>
                <w:color w:val="auto"/>
                <w:szCs w:val="21"/>
              </w:rPr>
            </w:pPr>
            <w:r>
              <w:rPr>
                <w:rFonts w:ascii="Times New Roman" w:hAnsi="Times New Roman" w:cs="Times New Roman"/>
                <w:color w:val="auto"/>
                <w:szCs w:val="21"/>
              </w:rPr>
              <w:t>0.5076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5" w:type="pct"/>
            <w:tcBorders>
              <w:tl2br w:val="nil"/>
              <w:tr2bl w:val="nil"/>
            </w:tcBorders>
            <w:noWrap/>
            <w:vAlign w:val="center"/>
          </w:tcPr>
          <w:p>
            <w:pPr>
              <w:jc w:val="center"/>
              <w:rPr>
                <w:rFonts w:ascii="Times New Roman" w:hAnsi="Times New Roman" w:cs="Times New Roman"/>
                <w:color w:val="auto"/>
                <w:szCs w:val="21"/>
              </w:rPr>
            </w:pPr>
            <w:r>
              <w:rPr>
                <w:rFonts w:ascii="Times New Roman" w:hAnsi="Times New Roman" w:cs="Times New Roman"/>
                <w:color w:val="auto"/>
                <w:szCs w:val="21"/>
              </w:rPr>
              <w:t>3</w:t>
            </w:r>
          </w:p>
        </w:tc>
        <w:tc>
          <w:tcPr>
            <w:tcW w:w="1015"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废水处理产生的</w:t>
            </w:r>
            <w:r>
              <w:rPr>
                <w:rFonts w:hint="default" w:ascii="Times New Roman" w:hAnsi="Times New Roman" w:cs="Times New Roman"/>
                <w:color w:val="auto"/>
                <w:szCs w:val="21"/>
              </w:rPr>
              <w:t>生化</w:t>
            </w:r>
            <w:r>
              <w:rPr>
                <w:rFonts w:ascii="Times New Roman" w:hAnsi="Times New Roman" w:cs="Times New Roman"/>
                <w:color w:val="auto"/>
                <w:szCs w:val="21"/>
              </w:rPr>
              <w:t>污泥</w:t>
            </w:r>
          </w:p>
        </w:tc>
        <w:tc>
          <w:tcPr>
            <w:tcW w:w="78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14</w:t>
            </w:r>
            <w:r>
              <w:rPr>
                <w:rFonts w:hint="default" w:ascii="Times New Roman" w:hAnsi="Times New Roman" w:cs="Times New Roman"/>
                <w:color w:val="auto"/>
                <w:szCs w:val="21"/>
              </w:rPr>
              <w:t>7</w:t>
            </w:r>
          </w:p>
        </w:tc>
        <w:tc>
          <w:tcPr>
            <w:tcW w:w="1171" w:type="pct"/>
            <w:tcBorders>
              <w:tl2br w:val="nil"/>
              <w:tr2bl w:val="nil"/>
            </w:tcBorders>
            <w:vAlign w:val="center"/>
          </w:tcPr>
          <w:p>
            <w:pPr>
              <w:jc w:val="center"/>
              <w:rPr>
                <w:rFonts w:ascii="Times New Roman" w:hAnsi="Times New Roman" w:eastAsia="宋体" w:cs="Times New Roman"/>
                <w:color w:val="auto"/>
                <w:szCs w:val="21"/>
              </w:rPr>
            </w:pPr>
            <w:r>
              <w:rPr>
                <w:rFonts w:hint="eastAsia" w:ascii="Times New Roman" w:hAnsi="Times New Roman" w:cs="Times New Roman"/>
                <w:color w:val="auto"/>
                <w:szCs w:val="21"/>
              </w:rPr>
              <w:t>危险固废</w:t>
            </w:r>
          </w:p>
        </w:tc>
        <w:tc>
          <w:tcPr>
            <w:tcW w:w="1092" w:type="pct"/>
            <w:tcBorders>
              <w:tl2br w:val="nil"/>
              <w:tr2bl w:val="nil"/>
            </w:tcBorders>
            <w:vAlign w:val="center"/>
          </w:tcPr>
          <w:p>
            <w:pPr>
              <w:jc w:val="center"/>
              <w:rPr>
                <w:rFonts w:ascii="Times New Roman" w:hAnsi="Times New Roman" w:cs="Times New Roman"/>
                <w:color w:val="auto"/>
                <w:szCs w:val="21"/>
              </w:rPr>
            </w:pPr>
            <w:r>
              <w:rPr>
                <w:rFonts w:hint="eastAsia" w:ascii="Times New Roman" w:hAnsi="Times New Roman" w:cs="Times New Roman"/>
                <w:color w:val="auto"/>
                <w:szCs w:val="21"/>
                <w:lang w:val="en-US" w:eastAsia="zh-CN"/>
              </w:rPr>
              <w:t>交由</w:t>
            </w:r>
            <w:r>
              <w:rPr>
                <w:rFonts w:hint="eastAsia" w:ascii="Times New Roman" w:hAnsi="Times New Roman" w:cs="Times New Roman"/>
                <w:color w:val="auto"/>
                <w:szCs w:val="21"/>
              </w:rPr>
              <w:t>临湘海创环保科技有限责任公司</w:t>
            </w:r>
            <w:r>
              <w:rPr>
                <w:rFonts w:hint="eastAsia" w:ascii="Times New Roman" w:hAnsi="Times New Roman" w:cs="Times New Roman"/>
                <w:color w:val="auto"/>
                <w:szCs w:val="21"/>
                <w:lang w:val="en-US" w:eastAsia="zh-CN"/>
              </w:rPr>
              <w:t>处置</w:t>
            </w:r>
          </w:p>
        </w:tc>
        <w:tc>
          <w:tcPr>
            <w:tcW w:w="624" w:type="pct"/>
            <w:tcBorders>
              <w:tl2br w:val="nil"/>
              <w:tr2bl w:val="nil"/>
            </w:tcBorders>
            <w:noWrap/>
            <w:vAlign w:val="center"/>
          </w:tcPr>
          <w:p>
            <w:pPr>
              <w:jc w:val="center"/>
              <w:rPr>
                <w:rFonts w:ascii="Times New Roman" w:hAnsi="Times New Roman" w:cs="Times New Roman"/>
                <w:color w:val="auto"/>
                <w:szCs w:val="21"/>
              </w:rPr>
            </w:pPr>
            <w:r>
              <w:rPr>
                <w:rFonts w:ascii="Times New Roman" w:hAnsi="Times New Roman" w:cs="Times New Roman"/>
                <w:color w:val="auto"/>
                <w:szCs w:val="21"/>
              </w:rPr>
              <w:t>14</w:t>
            </w:r>
            <w:r>
              <w:rPr>
                <w:rFonts w:hint="default" w:ascii="Times New Roman" w:hAnsi="Times New Roman" w:cs="Times New Roman"/>
                <w:color w:val="auto"/>
                <w:szCs w:val="21"/>
              </w:rPr>
              <w:t>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5" w:type="pct"/>
            <w:tcBorders>
              <w:tl2br w:val="nil"/>
              <w:tr2bl w:val="nil"/>
            </w:tcBorders>
            <w:noWrap/>
            <w:vAlign w:val="center"/>
          </w:tcPr>
          <w:p>
            <w:pPr>
              <w:jc w:val="center"/>
              <w:rPr>
                <w:rFonts w:ascii="Times New Roman" w:hAnsi="Times New Roman" w:cs="Times New Roman"/>
                <w:color w:val="auto"/>
                <w:szCs w:val="21"/>
              </w:rPr>
            </w:pPr>
            <w:r>
              <w:rPr>
                <w:rFonts w:ascii="Times New Roman" w:hAnsi="Times New Roman" w:cs="Times New Roman"/>
                <w:color w:val="auto"/>
                <w:szCs w:val="21"/>
              </w:rPr>
              <w:t>4</w:t>
            </w:r>
          </w:p>
        </w:tc>
        <w:tc>
          <w:tcPr>
            <w:tcW w:w="1015"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生活垃圾</w:t>
            </w:r>
          </w:p>
        </w:tc>
        <w:tc>
          <w:tcPr>
            <w:tcW w:w="78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9.99</w:t>
            </w:r>
          </w:p>
        </w:tc>
        <w:tc>
          <w:tcPr>
            <w:tcW w:w="117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生活垃圾</w:t>
            </w:r>
          </w:p>
        </w:tc>
        <w:tc>
          <w:tcPr>
            <w:tcW w:w="1092"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交环卫处理</w:t>
            </w:r>
          </w:p>
        </w:tc>
        <w:tc>
          <w:tcPr>
            <w:tcW w:w="624" w:type="pct"/>
            <w:tcBorders>
              <w:tl2br w:val="nil"/>
              <w:tr2bl w:val="nil"/>
            </w:tcBorders>
            <w:noWrap/>
            <w:vAlign w:val="center"/>
          </w:tcPr>
          <w:p>
            <w:pPr>
              <w:jc w:val="center"/>
              <w:rPr>
                <w:rFonts w:ascii="Times New Roman" w:hAnsi="Times New Roman" w:cs="Times New Roman"/>
                <w:color w:val="auto"/>
                <w:szCs w:val="21"/>
              </w:rPr>
            </w:pPr>
            <w:r>
              <w:rPr>
                <w:rFonts w:ascii="Times New Roman" w:hAnsi="Times New Roman" w:cs="Times New Roman"/>
                <w:color w:val="auto"/>
                <w:szCs w:val="21"/>
              </w:rPr>
              <w:t>9.99</w:t>
            </w:r>
          </w:p>
        </w:tc>
      </w:tr>
    </w:tbl>
    <w:p>
      <w:pPr>
        <w:spacing w:before="156" w:beforeLines="50" w:line="360" w:lineRule="auto"/>
        <w:ind w:firstLine="420" w:firstLineChars="200"/>
        <w:rPr>
          <w:rFonts w:ascii="Times New Roman" w:hAnsi="Times New Roman" w:cs="Times New Roman"/>
          <w:color w:val="auto"/>
        </w:rPr>
      </w:pPr>
      <w:r>
        <w:rPr>
          <w:rFonts w:ascii="Times New Roman" w:hAnsi="Times New Roman" w:cs="Times New Roman"/>
          <w:color w:val="auto"/>
        </w:rPr>
        <w:t>项目危险废物基本情况见下表。</w:t>
      </w:r>
    </w:p>
    <w:p>
      <w:pPr>
        <w:pStyle w:val="41"/>
        <w:spacing w:line="240" w:lineRule="auto"/>
        <w:ind w:firstLine="0" w:firstLineChars="0"/>
        <w:rPr>
          <w:rFonts w:hAnsi="Times New Roman"/>
          <w:color w:val="auto"/>
          <w:spacing w:val="10"/>
          <w:kern w:val="24"/>
          <w:szCs w:val="21"/>
        </w:rPr>
      </w:pPr>
      <w:r>
        <w:rPr>
          <w:rFonts w:hAnsi="Times New Roman"/>
          <w:color w:val="auto"/>
          <w:spacing w:val="10"/>
          <w:kern w:val="24"/>
          <w:szCs w:val="21"/>
        </w:rPr>
        <w:t>表</w:t>
      </w:r>
      <w:r>
        <w:rPr>
          <w:rFonts w:hint="default" w:hAnsi="Times New Roman"/>
          <w:color w:val="auto"/>
          <w:spacing w:val="10"/>
          <w:kern w:val="24"/>
          <w:szCs w:val="21"/>
        </w:rPr>
        <w:t>9</w:t>
      </w:r>
      <w:r>
        <w:rPr>
          <w:rFonts w:hAnsi="Times New Roman"/>
          <w:color w:val="auto"/>
          <w:spacing w:val="10"/>
          <w:kern w:val="24"/>
          <w:szCs w:val="21"/>
        </w:rPr>
        <w:t>.</w:t>
      </w:r>
      <w:r>
        <w:rPr>
          <w:rFonts w:hint="default" w:hAnsi="Times New Roman"/>
          <w:color w:val="auto"/>
          <w:spacing w:val="10"/>
          <w:kern w:val="24"/>
          <w:szCs w:val="21"/>
        </w:rPr>
        <w:t>6</w:t>
      </w:r>
      <w:r>
        <w:rPr>
          <w:rFonts w:hAnsi="Times New Roman"/>
          <w:color w:val="auto"/>
          <w:spacing w:val="10"/>
          <w:kern w:val="24"/>
          <w:szCs w:val="21"/>
        </w:rPr>
        <w:t>-</w:t>
      </w:r>
      <w:r>
        <w:rPr>
          <w:rFonts w:hint="default" w:hAnsi="Times New Roman"/>
          <w:color w:val="auto"/>
          <w:spacing w:val="10"/>
          <w:kern w:val="24"/>
          <w:szCs w:val="21"/>
        </w:rPr>
        <w:t>2危险废物</w:t>
      </w:r>
      <w:r>
        <w:rPr>
          <w:rFonts w:hAnsi="Times New Roman"/>
          <w:color w:val="auto"/>
          <w:spacing w:val="10"/>
          <w:kern w:val="24"/>
          <w:szCs w:val="21"/>
        </w:rPr>
        <w:t>汇总表</w:t>
      </w:r>
    </w:p>
    <w:tbl>
      <w:tblPr>
        <w:tblStyle w:val="28"/>
        <w:tblW w:w="4996"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83"/>
        <w:gridCol w:w="776"/>
        <w:gridCol w:w="1196"/>
        <w:gridCol w:w="794"/>
        <w:gridCol w:w="608"/>
        <w:gridCol w:w="488"/>
        <w:gridCol w:w="488"/>
        <w:gridCol w:w="836"/>
        <w:gridCol w:w="666"/>
        <w:gridCol w:w="940"/>
        <w:gridCol w:w="124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5" w:hRule="atLeast"/>
        </w:trPr>
        <w:tc>
          <w:tcPr>
            <w:tcW w:w="318"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名称</w:t>
            </w:r>
          </w:p>
        </w:tc>
        <w:tc>
          <w:tcPr>
            <w:tcW w:w="401"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危险废物类别</w:t>
            </w:r>
          </w:p>
        </w:tc>
        <w:tc>
          <w:tcPr>
            <w:tcW w:w="503"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危险废物代码</w:t>
            </w:r>
          </w:p>
        </w:tc>
        <w:tc>
          <w:tcPr>
            <w:tcW w:w="442"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产生量(t/a)</w:t>
            </w:r>
          </w:p>
        </w:tc>
        <w:tc>
          <w:tcPr>
            <w:tcW w:w="391"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产生工序及装置</w:t>
            </w:r>
          </w:p>
        </w:tc>
        <w:tc>
          <w:tcPr>
            <w:tcW w:w="321"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形态</w:t>
            </w:r>
          </w:p>
        </w:tc>
        <w:tc>
          <w:tcPr>
            <w:tcW w:w="321"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主要成分</w:t>
            </w:r>
          </w:p>
        </w:tc>
        <w:tc>
          <w:tcPr>
            <w:tcW w:w="525"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有害成分</w:t>
            </w:r>
          </w:p>
        </w:tc>
        <w:tc>
          <w:tcPr>
            <w:tcW w:w="425"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产废周期</w:t>
            </w:r>
          </w:p>
        </w:tc>
        <w:tc>
          <w:tcPr>
            <w:tcW w:w="586"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危险特性</w:t>
            </w:r>
          </w:p>
        </w:tc>
        <w:tc>
          <w:tcPr>
            <w:tcW w:w="762"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污染防治措施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318" w:type="pct"/>
            <w:tcBorders>
              <w:tl2br w:val="nil"/>
              <w:tr2bl w:val="nil"/>
            </w:tcBorders>
            <w:vAlign w:val="center"/>
          </w:tcPr>
          <w:p>
            <w:pPr>
              <w:ind w:left="-105" w:leftChars="-50" w:right="-105" w:rightChars="-50"/>
              <w:jc w:val="center"/>
              <w:rPr>
                <w:rFonts w:ascii="Times New Roman" w:hAnsi="Times New Roman" w:cs="Times New Roman"/>
                <w:color w:val="auto"/>
                <w:sz w:val="21"/>
                <w:szCs w:val="21"/>
              </w:rPr>
            </w:pPr>
            <w:r>
              <w:rPr>
                <w:rFonts w:ascii="Times New Roman" w:hAnsi="Times New Roman" w:cs="Times New Roman"/>
                <w:color w:val="auto"/>
                <w:sz w:val="21"/>
                <w:szCs w:val="21"/>
              </w:rPr>
              <w:t>废包装、废包装桶</w:t>
            </w:r>
          </w:p>
        </w:tc>
        <w:tc>
          <w:tcPr>
            <w:tcW w:w="401" w:type="pct"/>
            <w:vMerge w:val="restar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HW49</w:t>
            </w:r>
          </w:p>
        </w:tc>
        <w:tc>
          <w:tcPr>
            <w:tcW w:w="503" w:type="pct"/>
            <w:vMerge w:val="restar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900-041-49</w:t>
            </w:r>
          </w:p>
        </w:tc>
        <w:tc>
          <w:tcPr>
            <w:tcW w:w="442"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2</w:t>
            </w:r>
          </w:p>
        </w:tc>
        <w:tc>
          <w:tcPr>
            <w:tcW w:w="391"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物料投料</w:t>
            </w:r>
          </w:p>
        </w:tc>
        <w:tc>
          <w:tcPr>
            <w:tcW w:w="321"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固态</w:t>
            </w:r>
          </w:p>
        </w:tc>
        <w:tc>
          <w:tcPr>
            <w:tcW w:w="321" w:type="pct"/>
            <w:tcBorders>
              <w:tl2br w:val="nil"/>
              <w:tr2bl w:val="nil"/>
            </w:tcBorders>
            <w:vAlign w:val="center"/>
          </w:tcPr>
          <w:p>
            <w:pPr>
              <w:adjustRightInd w:val="0"/>
              <w:snapToGrid w:val="0"/>
              <w:ind w:left="-53" w:leftChars="-25" w:right="-53" w:rightChars="-25"/>
              <w:jc w:val="center"/>
              <w:rPr>
                <w:rFonts w:ascii="Times New Roman" w:hAnsi="Times New Roman" w:cs="Times New Roman"/>
                <w:color w:val="auto"/>
                <w:sz w:val="21"/>
                <w:szCs w:val="21"/>
              </w:rPr>
            </w:pPr>
            <w:r>
              <w:rPr>
                <w:rFonts w:ascii="Times New Roman" w:hAnsi="Times New Roman" w:cs="Times New Roman"/>
                <w:color w:val="auto"/>
                <w:sz w:val="21"/>
                <w:szCs w:val="21"/>
              </w:rPr>
              <w:t>有机物料</w:t>
            </w:r>
          </w:p>
        </w:tc>
        <w:tc>
          <w:tcPr>
            <w:tcW w:w="525" w:type="pct"/>
            <w:tcBorders>
              <w:tl2br w:val="nil"/>
              <w:tr2bl w:val="nil"/>
            </w:tcBorders>
            <w:vAlign w:val="center"/>
          </w:tcPr>
          <w:p>
            <w:pPr>
              <w:adjustRightInd w:val="0"/>
              <w:snapToGrid w:val="0"/>
              <w:ind w:left="-53" w:leftChars="-25" w:right="-53" w:rightChars="-25"/>
              <w:jc w:val="center"/>
              <w:rPr>
                <w:rFonts w:ascii="Times New Roman" w:hAnsi="Times New Roman" w:cs="Times New Roman"/>
                <w:color w:val="auto"/>
                <w:sz w:val="21"/>
                <w:szCs w:val="21"/>
              </w:rPr>
            </w:pPr>
            <w:r>
              <w:rPr>
                <w:rFonts w:ascii="Times New Roman" w:hAnsi="Times New Roman" w:cs="Times New Roman"/>
                <w:color w:val="auto"/>
                <w:sz w:val="21"/>
                <w:szCs w:val="21"/>
              </w:rPr>
              <w:t>危险化学品</w:t>
            </w:r>
          </w:p>
        </w:tc>
        <w:tc>
          <w:tcPr>
            <w:tcW w:w="425" w:type="pct"/>
            <w:vMerge w:val="restar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年</w:t>
            </w:r>
          </w:p>
        </w:tc>
        <w:tc>
          <w:tcPr>
            <w:tcW w:w="586" w:type="pct"/>
            <w:vMerge w:val="restar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T/In</w:t>
            </w:r>
          </w:p>
        </w:tc>
        <w:tc>
          <w:tcPr>
            <w:tcW w:w="762" w:type="pct"/>
            <w:vMerge w:val="restar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交</w:t>
            </w:r>
            <w:r>
              <w:rPr>
                <w:rFonts w:hint="eastAsia" w:ascii="Times New Roman" w:hAnsi="Times New Roman" w:cs="Times New Roman"/>
                <w:color w:val="auto"/>
                <w:sz w:val="21"/>
                <w:szCs w:val="21"/>
                <w:lang w:val="en-US" w:eastAsia="zh-CN"/>
              </w:rPr>
              <w:t>由湖南瀚洋环保科技有限公司</w:t>
            </w:r>
            <w:r>
              <w:rPr>
                <w:rFonts w:ascii="Times New Roman" w:hAnsi="Times New Roman" w:cs="Times New Roman"/>
                <w:color w:val="auto"/>
                <w:sz w:val="21"/>
                <w:szCs w:val="21"/>
              </w:rPr>
              <w:t>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318" w:type="pct"/>
            <w:tcBorders>
              <w:tl2br w:val="nil"/>
              <w:tr2bl w:val="nil"/>
            </w:tcBorders>
            <w:vAlign w:val="center"/>
          </w:tcPr>
          <w:p>
            <w:pPr>
              <w:ind w:left="-105" w:leftChars="-50" w:right="-105" w:rightChars="-50"/>
              <w:jc w:val="center"/>
              <w:rPr>
                <w:rFonts w:ascii="Times New Roman" w:hAnsi="Times New Roman" w:cs="Times New Roman"/>
                <w:color w:val="auto"/>
                <w:sz w:val="21"/>
                <w:szCs w:val="21"/>
              </w:rPr>
            </w:pPr>
            <w:r>
              <w:rPr>
                <w:rFonts w:ascii="Times New Roman" w:hAnsi="Times New Roman" w:cs="Times New Roman"/>
                <w:color w:val="auto"/>
                <w:sz w:val="21"/>
                <w:szCs w:val="21"/>
              </w:rPr>
              <w:t>实验室废试剂瓶</w:t>
            </w:r>
          </w:p>
        </w:tc>
        <w:tc>
          <w:tcPr>
            <w:tcW w:w="401" w:type="pct"/>
            <w:vMerge w:val="continue"/>
            <w:tcBorders>
              <w:tl2br w:val="nil"/>
              <w:tr2bl w:val="nil"/>
            </w:tcBorders>
            <w:vAlign w:val="center"/>
          </w:tcPr>
          <w:p>
            <w:pPr>
              <w:adjustRightInd w:val="0"/>
              <w:snapToGrid w:val="0"/>
              <w:jc w:val="center"/>
              <w:rPr>
                <w:rFonts w:ascii="Times New Roman" w:hAnsi="Times New Roman" w:cs="Times New Roman"/>
                <w:color w:val="auto"/>
                <w:sz w:val="21"/>
                <w:szCs w:val="21"/>
              </w:rPr>
            </w:pPr>
          </w:p>
        </w:tc>
        <w:tc>
          <w:tcPr>
            <w:tcW w:w="503" w:type="pct"/>
            <w:vMerge w:val="continue"/>
            <w:tcBorders>
              <w:tl2br w:val="nil"/>
              <w:tr2bl w:val="nil"/>
            </w:tcBorders>
            <w:vAlign w:val="center"/>
          </w:tcPr>
          <w:p>
            <w:pPr>
              <w:adjustRightInd w:val="0"/>
              <w:snapToGrid w:val="0"/>
              <w:jc w:val="center"/>
              <w:rPr>
                <w:rFonts w:ascii="Times New Roman" w:hAnsi="Times New Roman" w:cs="Times New Roman"/>
                <w:color w:val="auto"/>
                <w:sz w:val="21"/>
                <w:szCs w:val="21"/>
              </w:rPr>
            </w:pPr>
          </w:p>
        </w:tc>
        <w:tc>
          <w:tcPr>
            <w:tcW w:w="442"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0.03</w:t>
            </w:r>
          </w:p>
        </w:tc>
        <w:tc>
          <w:tcPr>
            <w:tcW w:w="391"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试验</w:t>
            </w:r>
          </w:p>
        </w:tc>
        <w:tc>
          <w:tcPr>
            <w:tcW w:w="321"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固态</w:t>
            </w:r>
          </w:p>
        </w:tc>
        <w:tc>
          <w:tcPr>
            <w:tcW w:w="321" w:type="pct"/>
            <w:tcBorders>
              <w:tl2br w:val="nil"/>
              <w:tr2bl w:val="nil"/>
            </w:tcBorders>
            <w:vAlign w:val="center"/>
          </w:tcPr>
          <w:p>
            <w:pPr>
              <w:adjustRightInd w:val="0"/>
              <w:snapToGrid w:val="0"/>
              <w:ind w:left="-53" w:leftChars="-25" w:right="-53" w:rightChars="-25"/>
              <w:jc w:val="center"/>
              <w:rPr>
                <w:rFonts w:ascii="Times New Roman" w:hAnsi="Times New Roman" w:cs="Times New Roman"/>
                <w:color w:val="auto"/>
                <w:sz w:val="21"/>
                <w:szCs w:val="21"/>
              </w:rPr>
            </w:pPr>
            <w:r>
              <w:rPr>
                <w:rFonts w:ascii="Times New Roman" w:hAnsi="Times New Roman" w:cs="Times New Roman"/>
                <w:color w:val="auto"/>
                <w:sz w:val="21"/>
                <w:szCs w:val="21"/>
              </w:rPr>
              <w:t>酸碱</w:t>
            </w:r>
          </w:p>
        </w:tc>
        <w:tc>
          <w:tcPr>
            <w:tcW w:w="525" w:type="pct"/>
            <w:tcBorders>
              <w:tl2br w:val="nil"/>
              <w:tr2bl w:val="nil"/>
            </w:tcBorders>
            <w:vAlign w:val="center"/>
          </w:tcPr>
          <w:p>
            <w:pPr>
              <w:adjustRightInd w:val="0"/>
              <w:snapToGrid w:val="0"/>
              <w:ind w:left="-53" w:leftChars="-25" w:right="-53" w:rightChars="-25"/>
              <w:jc w:val="center"/>
              <w:rPr>
                <w:rFonts w:ascii="Times New Roman" w:hAnsi="Times New Roman" w:cs="Times New Roman"/>
                <w:color w:val="auto"/>
                <w:sz w:val="21"/>
                <w:szCs w:val="21"/>
              </w:rPr>
            </w:pPr>
            <w:r>
              <w:rPr>
                <w:rFonts w:ascii="Times New Roman" w:hAnsi="Times New Roman" w:cs="Times New Roman"/>
                <w:color w:val="auto"/>
                <w:sz w:val="21"/>
                <w:szCs w:val="21"/>
              </w:rPr>
              <w:t>酸碱</w:t>
            </w:r>
          </w:p>
        </w:tc>
        <w:tc>
          <w:tcPr>
            <w:tcW w:w="425" w:type="pct"/>
            <w:vMerge w:val="continue"/>
            <w:tcBorders>
              <w:tl2br w:val="nil"/>
              <w:tr2bl w:val="nil"/>
            </w:tcBorders>
            <w:vAlign w:val="center"/>
          </w:tcPr>
          <w:p>
            <w:pPr>
              <w:adjustRightInd w:val="0"/>
              <w:snapToGrid w:val="0"/>
              <w:jc w:val="center"/>
              <w:rPr>
                <w:rFonts w:ascii="Times New Roman" w:hAnsi="Times New Roman" w:cs="Times New Roman"/>
                <w:color w:val="auto"/>
                <w:sz w:val="21"/>
                <w:szCs w:val="21"/>
              </w:rPr>
            </w:pPr>
          </w:p>
        </w:tc>
        <w:tc>
          <w:tcPr>
            <w:tcW w:w="586" w:type="pct"/>
            <w:vMerge w:val="continue"/>
            <w:tcBorders>
              <w:tl2br w:val="nil"/>
              <w:tr2bl w:val="nil"/>
            </w:tcBorders>
            <w:vAlign w:val="center"/>
          </w:tcPr>
          <w:p>
            <w:pPr>
              <w:adjustRightInd w:val="0"/>
              <w:snapToGrid w:val="0"/>
              <w:jc w:val="center"/>
              <w:rPr>
                <w:rFonts w:ascii="Times New Roman" w:hAnsi="Times New Roman" w:cs="Times New Roman"/>
                <w:color w:val="auto"/>
                <w:sz w:val="21"/>
                <w:szCs w:val="21"/>
              </w:rPr>
            </w:pPr>
          </w:p>
        </w:tc>
        <w:tc>
          <w:tcPr>
            <w:tcW w:w="762" w:type="pct"/>
            <w:vMerge w:val="continue"/>
            <w:tcBorders>
              <w:tl2br w:val="nil"/>
              <w:tr2bl w:val="nil"/>
            </w:tcBorders>
            <w:vAlign w:val="center"/>
          </w:tcPr>
          <w:p>
            <w:pPr>
              <w:adjustRightInd w:val="0"/>
              <w:snapToGrid w:val="0"/>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318" w:type="pct"/>
            <w:tcBorders>
              <w:tl2br w:val="nil"/>
              <w:tr2bl w:val="nil"/>
            </w:tcBorders>
            <w:vAlign w:val="center"/>
          </w:tcPr>
          <w:p>
            <w:pPr>
              <w:ind w:left="-105" w:leftChars="-50" w:right="-105" w:rightChars="-50"/>
              <w:jc w:val="center"/>
              <w:rPr>
                <w:rFonts w:ascii="Times New Roman" w:hAnsi="Times New Roman" w:cs="Times New Roman"/>
                <w:color w:val="auto"/>
                <w:sz w:val="21"/>
                <w:szCs w:val="21"/>
              </w:rPr>
            </w:pPr>
            <w:r>
              <w:rPr>
                <w:rFonts w:ascii="Times New Roman" w:hAnsi="Times New Roman" w:cs="Times New Roman"/>
                <w:color w:val="auto"/>
                <w:sz w:val="21"/>
                <w:szCs w:val="21"/>
              </w:rPr>
              <w:t>废过滤渣及滤网</w:t>
            </w:r>
          </w:p>
        </w:tc>
        <w:tc>
          <w:tcPr>
            <w:tcW w:w="401"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HW13有机树脂类废物</w:t>
            </w:r>
          </w:p>
        </w:tc>
        <w:tc>
          <w:tcPr>
            <w:tcW w:w="503"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265-103-13</w:t>
            </w:r>
          </w:p>
        </w:tc>
        <w:tc>
          <w:tcPr>
            <w:tcW w:w="442"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0.5076</w:t>
            </w:r>
          </w:p>
        </w:tc>
        <w:tc>
          <w:tcPr>
            <w:tcW w:w="391"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产品过滤</w:t>
            </w:r>
          </w:p>
        </w:tc>
        <w:tc>
          <w:tcPr>
            <w:tcW w:w="321"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固态</w:t>
            </w:r>
          </w:p>
        </w:tc>
        <w:tc>
          <w:tcPr>
            <w:tcW w:w="321" w:type="pct"/>
            <w:tcBorders>
              <w:tl2br w:val="nil"/>
              <w:tr2bl w:val="nil"/>
            </w:tcBorders>
            <w:vAlign w:val="center"/>
          </w:tcPr>
          <w:p>
            <w:pPr>
              <w:adjustRightInd w:val="0"/>
              <w:snapToGrid w:val="0"/>
              <w:ind w:left="-53" w:leftChars="-25" w:right="-53" w:rightChars="-25"/>
              <w:jc w:val="center"/>
              <w:rPr>
                <w:rFonts w:ascii="Times New Roman" w:hAnsi="Times New Roman" w:cs="Times New Roman"/>
                <w:color w:val="auto"/>
                <w:sz w:val="21"/>
                <w:szCs w:val="21"/>
              </w:rPr>
            </w:pPr>
            <w:r>
              <w:rPr>
                <w:rFonts w:ascii="Times New Roman" w:hAnsi="Times New Roman" w:cs="Times New Roman"/>
                <w:color w:val="auto"/>
                <w:sz w:val="21"/>
                <w:szCs w:val="21"/>
              </w:rPr>
              <w:t>/</w:t>
            </w:r>
          </w:p>
        </w:tc>
        <w:tc>
          <w:tcPr>
            <w:tcW w:w="525"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危险化学品</w:t>
            </w:r>
          </w:p>
        </w:tc>
        <w:tc>
          <w:tcPr>
            <w:tcW w:w="425"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半年</w:t>
            </w:r>
          </w:p>
        </w:tc>
        <w:tc>
          <w:tcPr>
            <w:tcW w:w="586"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T</w:t>
            </w:r>
          </w:p>
        </w:tc>
        <w:tc>
          <w:tcPr>
            <w:tcW w:w="762"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Cs w:val="21"/>
                <w:lang w:val="en-US" w:eastAsia="zh-CN"/>
              </w:rPr>
              <w:t>交由</w:t>
            </w:r>
            <w:r>
              <w:rPr>
                <w:rFonts w:hint="eastAsia" w:ascii="Times New Roman" w:hAnsi="Times New Roman" w:cs="Times New Roman"/>
                <w:color w:val="auto"/>
                <w:szCs w:val="21"/>
              </w:rPr>
              <w:t>临湘海创环保科技有限责任公司</w:t>
            </w:r>
            <w:r>
              <w:rPr>
                <w:rFonts w:hint="eastAsia" w:ascii="Times New Roman" w:hAnsi="Times New Roman" w:cs="Times New Roman"/>
                <w:color w:val="auto"/>
                <w:szCs w:val="21"/>
                <w:lang w:val="en-US" w:eastAsia="zh-CN"/>
              </w:rPr>
              <w:t>处置</w:t>
            </w:r>
          </w:p>
        </w:tc>
      </w:tr>
    </w:tbl>
    <w:p>
      <w:pPr>
        <w:widowControl/>
        <w:adjustRightInd/>
        <w:snapToGrid/>
        <w:spacing w:line="360" w:lineRule="auto"/>
        <w:ind w:firstLine="0" w:firstLineChars="0"/>
        <w:jc w:val="left"/>
        <w:outlineLvl w:val="1"/>
        <w:rPr>
          <w:rFonts w:ascii="Times New Roman" w:hAnsi="Times New Roman" w:cs="Times New Roman" w:eastAsiaTheme="minorEastAsia"/>
          <w:b/>
          <w:color w:val="auto"/>
          <w:sz w:val="30"/>
          <w:szCs w:val="30"/>
        </w:rPr>
      </w:pPr>
      <w:bookmarkStart w:id="113" w:name="_Toc7711"/>
      <w:r>
        <w:rPr>
          <w:rFonts w:hint="default" w:ascii="Times New Roman" w:hAnsi="Times New Roman" w:cs="Times New Roman" w:eastAsiaTheme="minorEastAsia"/>
          <w:b/>
          <w:color w:val="auto"/>
          <w:sz w:val="30"/>
          <w:szCs w:val="30"/>
          <w:lang w:val="en-US" w:eastAsia="zh-CN"/>
        </w:rPr>
        <w:t>9.7</w:t>
      </w:r>
      <w:r>
        <w:rPr>
          <w:rFonts w:hint="default" w:ascii="Times New Roman" w:hAnsi="Times New Roman" w:cs="Times New Roman" w:eastAsiaTheme="minorEastAsia"/>
          <w:b/>
          <w:color w:val="auto"/>
          <w:sz w:val="30"/>
          <w:szCs w:val="30"/>
        </w:rPr>
        <w:t>污染物排放总量核算</w:t>
      </w:r>
      <w:bookmarkEnd w:id="113"/>
    </w:p>
    <w:p>
      <w:pPr>
        <w:pStyle w:val="87"/>
        <w:ind w:firstLine="480"/>
        <w:jc w:val="both"/>
        <w:rPr>
          <w:color w:val="auto"/>
          <w:szCs w:val="20"/>
        </w:rPr>
      </w:pPr>
      <w:r>
        <w:rPr>
          <w:rFonts w:hint="eastAsia"/>
          <w:color w:val="auto"/>
          <w:szCs w:val="20"/>
          <w:lang w:val="en-US" w:eastAsia="zh-CN"/>
        </w:rPr>
        <w:t>1、</w:t>
      </w:r>
      <w:r>
        <w:rPr>
          <w:rFonts w:hint="eastAsia"/>
          <w:color w:val="auto"/>
          <w:szCs w:val="20"/>
        </w:rPr>
        <w:t>大气污染物排放量核算</w:t>
      </w:r>
    </w:p>
    <w:p>
      <w:pPr>
        <w:pStyle w:val="87"/>
        <w:ind w:firstLine="480"/>
        <w:jc w:val="both"/>
        <w:rPr>
          <w:color w:val="auto"/>
          <w:szCs w:val="20"/>
        </w:rPr>
      </w:pPr>
      <w:r>
        <w:rPr>
          <w:rFonts w:hint="eastAsia"/>
          <w:color w:val="auto"/>
          <w:szCs w:val="20"/>
        </w:rPr>
        <w:t>本项目</w:t>
      </w:r>
      <w:r>
        <w:rPr>
          <w:rFonts w:hint="eastAsia"/>
          <w:color w:val="auto"/>
          <w:szCs w:val="20"/>
          <w:lang w:val="en-US" w:eastAsia="zh-CN"/>
        </w:rPr>
        <w:t>中导热油锅炉由天然气改为电能加热，不再产生二氧化硫和氮氧化物，因此本项目大气污染物总量指标只有TVOC，</w:t>
      </w:r>
      <w:r>
        <w:rPr>
          <w:rFonts w:hint="eastAsia"/>
          <w:color w:val="auto"/>
          <w:szCs w:val="20"/>
        </w:rPr>
        <w:t>有组织大气污染物核算见表</w:t>
      </w:r>
      <w:r>
        <w:rPr>
          <w:rFonts w:hint="eastAsia"/>
          <w:color w:val="auto"/>
          <w:szCs w:val="20"/>
          <w:lang w:val="en-US" w:eastAsia="zh-CN"/>
        </w:rPr>
        <w:t>9.7-1</w:t>
      </w:r>
      <w:r>
        <w:rPr>
          <w:rFonts w:hint="eastAsia"/>
          <w:color w:val="auto"/>
          <w:szCs w:val="20"/>
        </w:rPr>
        <w:t>。</w:t>
      </w:r>
    </w:p>
    <w:p>
      <w:pPr>
        <w:pStyle w:val="88"/>
        <w:rPr>
          <w:color w:val="auto"/>
        </w:rPr>
      </w:pPr>
      <w:r>
        <w:rPr>
          <w:rFonts w:hint="eastAsia"/>
          <w:color w:val="auto"/>
        </w:rPr>
        <w:t>表</w:t>
      </w:r>
      <w:r>
        <w:rPr>
          <w:rFonts w:hint="eastAsia"/>
          <w:color w:val="auto"/>
          <w:lang w:val="en-US" w:eastAsia="zh-CN"/>
        </w:rPr>
        <w:t>9.7-1</w:t>
      </w:r>
      <w:r>
        <w:rPr>
          <w:color w:val="auto"/>
        </w:rPr>
        <w:t xml:space="preserve">  </w:t>
      </w:r>
      <w:r>
        <w:rPr>
          <w:rFonts w:hint="eastAsia"/>
          <w:color w:val="auto"/>
        </w:rPr>
        <w:t>有组织大气污染物核算一览表</w:t>
      </w:r>
    </w:p>
    <w:tbl>
      <w:tblPr>
        <w:tblStyle w:val="2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52"/>
        <w:gridCol w:w="1846"/>
        <w:gridCol w:w="2993"/>
        <w:gridCol w:w="213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911" w:type="pct"/>
            <w:tcBorders>
              <w:tl2br w:val="nil"/>
              <w:tr2bl w:val="nil"/>
            </w:tcBorders>
            <w:vAlign w:val="center"/>
          </w:tcPr>
          <w:p>
            <w:pPr>
              <w:pStyle w:val="54"/>
              <w:widowControl w:val="0"/>
              <w:rPr>
                <w:color w:val="auto"/>
                <w:sz w:val="21"/>
                <w:szCs w:val="21"/>
              </w:rPr>
            </w:pPr>
            <w:r>
              <w:rPr>
                <w:rFonts w:hint="eastAsia"/>
                <w:color w:val="auto"/>
                <w:sz w:val="21"/>
                <w:szCs w:val="21"/>
              </w:rPr>
              <w:t>名称</w:t>
            </w:r>
          </w:p>
        </w:tc>
        <w:tc>
          <w:tcPr>
            <w:tcW w:w="1083" w:type="pct"/>
            <w:tcBorders>
              <w:tl2br w:val="nil"/>
              <w:tr2bl w:val="nil"/>
            </w:tcBorders>
            <w:vAlign w:val="center"/>
          </w:tcPr>
          <w:p>
            <w:pPr>
              <w:pStyle w:val="54"/>
              <w:widowControl w:val="0"/>
              <w:rPr>
                <w:color w:val="auto"/>
                <w:sz w:val="21"/>
                <w:szCs w:val="21"/>
              </w:rPr>
            </w:pPr>
            <w:r>
              <w:rPr>
                <w:rFonts w:hint="eastAsia"/>
                <w:color w:val="auto"/>
                <w:sz w:val="21"/>
                <w:szCs w:val="21"/>
              </w:rPr>
              <w:t>废气量（</w:t>
            </w:r>
            <w:r>
              <w:rPr>
                <w:color w:val="auto"/>
                <w:sz w:val="21"/>
                <w:szCs w:val="21"/>
              </w:rPr>
              <w:t>m</w:t>
            </w:r>
            <w:r>
              <w:rPr>
                <w:color w:val="auto"/>
                <w:sz w:val="21"/>
                <w:szCs w:val="21"/>
                <w:vertAlign w:val="superscript"/>
              </w:rPr>
              <w:t>3</w:t>
            </w:r>
            <w:r>
              <w:rPr>
                <w:color w:val="auto"/>
                <w:sz w:val="21"/>
                <w:szCs w:val="21"/>
              </w:rPr>
              <w:t>/a</w:t>
            </w:r>
            <w:r>
              <w:rPr>
                <w:rFonts w:hint="eastAsia"/>
                <w:color w:val="auto"/>
                <w:sz w:val="21"/>
                <w:szCs w:val="21"/>
              </w:rPr>
              <w:t>）</w:t>
            </w:r>
          </w:p>
        </w:tc>
        <w:tc>
          <w:tcPr>
            <w:tcW w:w="1756" w:type="pct"/>
            <w:tcBorders>
              <w:tl2br w:val="nil"/>
              <w:tr2bl w:val="nil"/>
            </w:tcBorders>
            <w:vAlign w:val="center"/>
          </w:tcPr>
          <w:p>
            <w:pPr>
              <w:pStyle w:val="54"/>
              <w:widowControl w:val="0"/>
              <w:rPr>
                <w:color w:val="auto"/>
                <w:sz w:val="21"/>
                <w:szCs w:val="21"/>
              </w:rPr>
            </w:pPr>
            <w:r>
              <w:rPr>
                <w:rFonts w:hint="eastAsia"/>
                <w:color w:val="auto"/>
                <w:sz w:val="21"/>
                <w:szCs w:val="21"/>
                <w:lang w:val="en-US" w:eastAsia="zh-CN"/>
              </w:rPr>
              <w:t>TVOC</w:t>
            </w:r>
            <w:r>
              <w:rPr>
                <w:rFonts w:hint="eastAsia"/>
                <w:color w:val="auto"/>
                <w:sz w:val="21"/>
                <w:szCs w:val="21"/>
              </w:rPr>
              <w:t>最大</w:t>
            </w:r>
            <w:r>
              <w:rPr>
                <w:rFonts w:hint="eastAsia"/>
                <w:color w:val="auto"/>
                <w:sz w:val="21"/>
                <w:szCs w:val="21"/>
                <w:lang w:val="en-US" w:eastAsia="zh-CN"/>
              </w:rPr>
              <w:t>排放</w:t>
            </w:r>
            <w:r>
              <w:rPr>
                <w:rFonts w:hint="eastAsia"/>
                <w:color w:val="auto"/>
                <w:sz w:val="21"/>
                <w:szCs w:val="21"/>
              </w:rPr>
              <w:t>浓度（</w:t>
            </w:r>
            <w:r>
              <w:rPr>
                <w:color w:val="auto"/>
                <w:sz w:val="21"/>
                <w:szCs w:val="21"/>
              </w:rPr>
              <w:t>mg/m</w:t>
            </w:r>
            <w:r>
              <w:rPr>
                <w:color w:val="auto"/>
                <w:sz w:val="21"/>
                <w:szCs w:val="21"/>
                <w:vertAlign w:val="superscript"/>
              </w:rPr>
              <w:t>3</w:t>
            </w:r>
            <w:r>
              <w:rPr>
                <w:rFonts w:hint="eastAsia"/>
                <w:color w:val="auto"/>
                <w:sz w:val="21"/>
                <w:szCs w:val="21"/>
              </w:rPr>
              <w:t>）</w:t>
            </w:r>
          </w:p>
        </w:tc>
        <w:tc>
          <w:tcPr>
            <w:tcW w:w="1249" w:type="pct"/>
            <w:tcBorders>
              <w:tl2br w:val="nil"/>
              <w:tr2bl w:val="nil"/>
            </w:tcBorders>
            <w:vAlign w:val="center"/>
          </w:tcPr>
          <w:p>
            <w:pPr>
              <w:pStyle w:val="54"/>
              <w:widowControl w:val="0"/>
              <w:rPr>
                <w:color w:val="auto"/>
                <w:sz w:val="21"/>
                <w:szCs w:val="21"/>
              </w:rPr>
            </w:pPr>
            <w:r>
              <w:rPr>
                <w:rFonts w:hint="eastAsia"/>
                <w:color w:val="auto"/>
                <w:sz w:val="21"/>
                <w:szCs w:val="21"/>
                <w:lang w:val="en-US" w:eastAsia="zh-CN"/>
              </w:rPr>
              <w:t>TVOC</w:t>
            </w:r>
            <w:r>
              <w:rPr>
                <w:rFonts w:hint="eastAsia"/>
                <w:color w:val="auto"/>
                <w:sz w:val="21"/>
                <w:szCs w:val="21"/>
              </w:rPr>
              <w:t>排放量（</w:t>
            </w:r>
            <w:r>
              <w:rPr>
                <w:color w:val="auto"/>
                <w:sz w:val="21"/>
                <w:szCs w:val="21"/>
              </w:rPr>
              <w:t>t/a</w:t>
            </w:r>
            <w:r>
              <w:rPr>
                <w:rFonts w:hint="eastAsia"/>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911" w:type="pct"/>
            <w:tcBorders>
              <w:tl2br w:val="nil"/>
              <w:tr2bl w:val="nil"/>
            </w:tcBorders>
            <w:vAlign w:val="center"/>
          </w:tcPr>
          <w:p>
            <w:pPr>
              <w:pStyle w:val="54"/>
              <w:widowControl w:val="0"/>
              <w:rPr>
                <w:rFonts w:hint="eastAsia" w:eastAsiaTheme="minorEastAsia"/>
                <w:color w:val="auto"/>
                <w:sz w:val="21"/>
                <w:szCs w:val="21"/>
                <w:lang w:eastAsia="zh-CN"/>
              </w:rPr>
            </w:pPr>
            <w:r>
              <w:rPr>
                <w:rFonts w:hint="eastAsia"/>
                <w:color w:val="auto"/>
                <w:sz w:val="21"/>
                <w:szCs w:val="21"/>
              </w:rPr>
              <w:t>项目DA001排气筒出口</w:t>
            </w:r>
            <w:r>
              <w:rPr>
                <w:rFonts w:hint="eastAsia"/>
                <w:color w:val="auto"/>
                <w:sz w:val="21"/>
                <w:szCs w:val="21"/>
                <w:lang w:eastAsia="zh-CN"/>
              </w:rPr>
              <w:t>（</w:t>
            </w:r>
            <w:r>
              <w:rPr>
                <w:rFonts w:hint="eastAsia"/>
                <w:color w:val="auto"/>
                <w:sz w:val="21"/>
                <w:szCs w:val="21"/>
                <w:lang w:val="en-US" w:eastAsia="zh-CN"/>
              </w:rPr>
              <w:t>工艺废气</w:t>
            </w:r>
            <w:r>
              <w:rPr>
                <w:rFonts w:hint="eastAsia"/>
                <w:color w:val="auto"/>
                <w:sz w:val="21"/>
                <w:szCs w:val="21"/>
                <w:lang w:eastAsia="zh-CN"/>
              </w:rPr>
              <w:t>）</w:t>
            </w:r>
          </w:p>
        </w:tc>
        <w:tc>
          <w:tcPr>
            <w:tcW w:w="1083" w:type="pct"/>
            <w:tcBorders>
              <w:tl2br w:val="nil"/>
              <w:tr2bl w:val="nil"/>
            </w:tcBorders>
            <w:vAlign w:val="center"/>
          </w:tcPr>
          <w:p>
            <w:pPr>
              <w:pStyle w:val="54"/>
              <w:widowControl w:val="0"/>
              <w:rPr>
                <w:rFonts w:hint="default" w:eastAsiaTheme="minorEastAsia"/>
                <w:color w:val="auto"/>
                <w:sz w:val="21"/>
                <w:szCs w:val="21"/>
                <w:lang w:val="en-US" w:eastAsia="zh-CN"/>
              </w:rPr>
            </w:pPr>
            <w:r>
              <w:rPr>
                <w:rFonts w:hint="eastAsia"/>
                <w:color w:val="auto"/>
                <w:sz w:val="21"/>
                <w:szCs w:val="21"/>
                <w:lang w:val="en-US" w:eastAsia="zh-CN"/>
              </w:rPr>
              <w:t>3068928</w:t>
            </w:r>
          </w:p>
        </w:tc>
        <w:tc>
          <w:tcPr>
            <w:tcW w:w="1756" w:type="pct"/>
            <w:tcBorders>
              <w:tl2br w:val="nil"/>
              <w:tr2bl w:val="nil"/>
            </w:tcBorders>
            <w:vAlign w:val="center"/>
          </w:tcPr>
          <w:p>
            <w:pPr>
              <w:pStyle w:val="54"/>
              <w:widowControl w:val="0"/>
              <w:rPr>
                <w:rFonts w:hint="default" w:eastAsiaTheme="minorEastAsia"/>
                <w:color w:val="auto"/>
                <w:sz w:val="21"/>
                <w:szCs w:val="21"/>
                <w:lang w:val="en-US" w:eastAsia="zh-CN"/>
              </w:rPr>
            </w:pPr>
            <w:r>
              <w:rPr>
                <w:rFonts w:hint="eastAsia"/>
                <w:color w:val="auto"/>
                <w:sz w:val="21"/>
                <w:szCs w:val="21"/>
                <w:lang w:val="en-US" w:eastAsia="zh-CN"/>
              </w:rPr>
              <w:t>1.97</w:t>
            </w:r>
          </w:p>
        </w:tc>
        <w:tc>
          <w:tcPr>
            <w:tcW w:w="1249" w:type="pct"/>
            <w:tcBorders>
              <w:tl2br w:val="nil"/>
              <w:tr2bl w:val="nil"/>
            </w:tcBorders>
            <w:vAlign w:val="center"/>
          </w:tcPr>
          <w:p>
            <w:pPr>
              <w:pStyle w:val="54"/>
              <w:widowControl w:val="0"/>
              <w:rPr>
                <w:rFonts w:hint="default" w:eastAsiaTheme="minorEastAsia"/>
                <w:color w:val="auto"/>
                <w:sz w:val="21"/>
                <w:szCs w:val="21"/>
                <w:lang w:val="en-US" w:eastAsia="zh-CN"/>
              </w:rPr>
            </w:pPr>
            <w:r>
              <w:rPr>
                <w:rFonts w:hint="eastAsia"/>
                <w:color w:val="auto"/>
                <w:sz w:val="21"/>
                <w:szCs w:val="21"/>
              </w:rPr>
              <w:t>0.0</w:t>
            </w:r>
            <w:r>
              <w:rPr>
                <w:rFonts w:hint="eastAsia"/>
                <w:color w:val="auto"/>
                <w:sz w:val="21"/>
                <w:szCs w:val="21"/>
                <w:lang w:val="en-US" w:eastAsia="zh-CN"/>
              </w:rPr>
              <w:t>061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911" w:type="pct"/>
            <w:tcBorders>
              <w:tl2br w:val="nil"/>
              <w:tr2bl w:val="nil"/>
            </w:tcBorders>
            <w:vAlign w:val="center"/>
          </w:tcPr>
          <w:p>
            <w:pPr>
              <w:pStyle w:val="54"/>
              <w:widowControl w:val="0"/>
              <w:rPr>
                <w:rFonts w:hint="eastAsia" w:eastAsiaTheme="minorEastAsia"/>
                <w:color w:val="auto"/>
                <w:sz w:val="21"/>
                <w:szCs w:val="21"/>
                <w:lang w:eastAsia="zh-CN"/>
              </w:rPr>
            </w:pPr>
            <w:r>
              <w:rPr>
                <w:rFonts w:hint="eastAsia"/>
                <w:color w:val="auto"/>
                <w:sz w:val="21"/>
                <w:szCs w:val="21"/>
              </w:rPr>
              <w:t>项目DA002排气筒出口</w:t>
            </w:r>
            <w:r>
              <w:rPr>
                <w:rFonts w:hint="eastAsia"/>
                <w:color w:val="auto"/>
                <w:sz w:val="21"/>
                <w:szCs w:val="21"/>
                <w:lang w:eastAsia="zh-CN"/>
              </w:rPr>
              <w:t>（</w:t>
            </w:r>
            <w:r>
              <w:rPr>
                <w:rFonts w:hint="eastAsia"/>
                <w:color w:val="auto"/>
                <w:sz w:val="21"/>
                <w:szCs w:val="21"/>
                <w:lang w:val="en-US" w:eastAsia="zh-CN"/>
              </w:rPr>
              <w:t>污水处理站废气</w:t>
            </w:r>
            <w:r>
              <w:rPr>
                <w:rFonts w:hint="eastAsia"/>
                <w:color w:val="auto"/>
                <w:sz w:val="21"/>
                <w:szCs w:val="21"/>
                <w:lang w:eastAsia="zh-CN"/>
              </w:rPr>
              <w:t>）</w:t>
            </w:r>
          </w:p>
        </w:tc>
        <w:tc>
          <w:tcPr>
            <w:tcW w:w="1083" w:type="pct"/>
            <w:tcBorders>
              <w:tl2br w:val="nil"/>
              <w:tr2bl w:val="nil"/>
            </w:tcBorders>
            <w:vAlign w:val="center"/>
          </w:tcPr>
          <w:p>
            <w:pPr>
              <w:pStyle w:val="54"/>
              <w:widowControl w:val="0"/>
              <w:rPr>
                <w:rFonts w:hint="default" w:eastAsiaTheme="minorEastAsia"/>
                <w:color w:val="auto"/>
                <w:sz w:val="21"/>
                <w:szCs w:val="21"/>
                <w:lang w:val="en-US" w:eastAsia="zh-CN"/>
              </w:rPr>
            </w:pPr>
            <w:r>
              <w:rPr>
                <w:rFonts w:hint="eastAsia"/>
                <w:color w:val="auto"/>
                <w:sz w:val="21"/>
                <w:szCs w:val="21"/>
                <w:lang w:val="en-US" w:eastAsia="zh-CN"/>
              </w:rPr>
              <w:t>24151824</w:t>
            </w:r>
          </w:p>
        </w:tc>
        <w:tc>
          <w:tcPr>
            <w:tcW w:w="1756" w:type="pct"/>
            <w:tcBorders>
              <w:tl2br w:val="nil"/>
              <w:tr2bl w:val="nil"/>
            </w:tcBorders>
            <w:vAlign w:val="center"/>
          </w:tcPr>
          <w:p>
            <w:pPr>
              <w:pStyle w:val="54"/>
              <w:widowControl w:val="0"/>
              <w:rPr>
                <w:rFonts w:hint="default" w:eastAsiaTheme="minorEastAsia"/>
                <w:color w:val="auto"/>
                <w:sz w:val="21"/>
                <w:szCs w:val="21"/>
                <w:lang w:val="en-US" w:eastAsia="zh-CN"/>
              </w:rPr>
            </w:pPr>
            <w:r>
              <w:rPr>
                <w:rFonts w:hint="eastAsia"/>
                <w:color w:val="auto"/>
                <w:sz w:val="21"/>
                <w:szCs w:val="21"/>
                <w:lang w:val="en-US" w:eastAsia="zh-CN"/>
              </w:rPr>
              <w:t>2.73</w:t>
            </w:r>
          </w:p>
        </w:tc>
        <w:tc>
          <w:tcPr>
            <w:tcW w:w="1249" w:type="pct"/>
            <w:tcBorders>
              <w:tl2br w:val="nil"/>
              <w:tr2bl w:val="nil"/>
            </w:tcBorders>
            <w:vAlign w:val="center"/>
          </w:tcPr>
          <w:p>
            <w:pPr>
              <w:pStyle w:val="54"/>
              <w:widowControl w:val="0"/>
              <w:rPr>
                <w:rFonts w:hint="default" w:eastAsiaTheme="minorEastAsia"/>
                <w:color w:val="auto"/>
                <w:sz w:val="21"/>
                <w:szCs w:val="21"/>
                <w:lang w:val="en-US" w:eastAsia="zh-CN"/>
              </w:rPr>
            </w:pPr>
            <w:r>
              <w:rPr>
                <w:rFonts w:hint="eastAsia"/>
                <w:color w:val="auto"/>
                <w:sz w:val="21"/>
                <w:szCs w:val="21"/>
              </w:rPr>
              <w:t>0.0</w:t>
            </w:r>
            <w:r>
              <w:rPr>
                <w:rFonts w:hint="eastAsia"/>
                <w:color w:val="auto"/>
                <w:sz w:val="21"/>
                <w:szCs w:val="21"/>
                <w:lang w:val="en-US" w:eastAsia="zh-CN"/>
              </w:rPr>
              <w:t>66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911" w:type="pct"/>
            <w:tcBorders>
              <w:tl2br w:val="nil"/>
              <w:tr2bl w:val="nil"/>
            </w:tcBorders>
            <w:vAlign w:val="center"/>
          </w:tcPr>
          <w:p>
            <w:pPr>
              <w:pStyle w:val="54"/>
              <w:widowControl w:val="0"/>
              <w:rPr>
                <w:rFonts w:hint="default" w:eastAsiaTheme="minorEastAsia"/>
                <w:color w:val="auto"/>
                <w:sz w:val="21"/>
                <w:szCs w:val="21"/>
                <w:lang w:val="en-US" w:eastAsia="zh-CN"/>
              </w:rPr>
            </w:pPr>
            <w:r>
              <w:rPr>
                <w:rFonts w:hint="eastAsia"/>
                <w:color w:val="auto"/>
                <w:sz w:val="21"/>
                <w:szCs w:val="21"/>
                <w:lang w:val="en-US" w:eastAsia="zh-CN"/>
              </w:rPr>
              <w:t>实验室废气排放出口</w:t>
            </w:r>
          </w:p>
        </w:tc>
        <w:tc>
          <w:tcPr>
            <w:tcW w:w="1083" w:type="pct"/>
            <w:tcBorders>
              <w:tl2br w:val="nil"/>
              <w:tr2bl w:val="nil"/>
            </w:tcBorders>
            <w:vAlign w:val="center"/>
          </w:tcPr>
          <w:p>
            <w:pPr>
              <w:pStyle w:val="54"/>
              <w:widowControl w:val="0"/>
              <w:rPr>
                <w:rFonts w:hint="default"/>
                <w:color w:val="auto"/>
                <w:sz w:val="21"/>
                <w:szCs w:val="21"/>
                <w:lang w:val="en-US" w:eastAsia="zh-CN"/>
              </w:rPr>
            </w:pPr>
            <w:r>
              <w:rPr>
                <w:rFonts w:hint="eastAsia"/>
                <w:color w:val="auto"/>
                <w:sz w:val="21"/>
                <w:szCs w:val="21"/>
                <w:lang w:val="en-US" w:eastAsia="zh-CN"/>
              </w:rPr>
              <w:t>11436552</w:t>
            </w:r>
          </w:p>
        </w:tc>
        <w:tc>
          <w:tcPr>
            <w:tcW w:w="1756" w:type="pct"/>
            <w:tcBorders>
              <w:tl2br w:val="nil"/>
              <w:tr2bl w:val="nil"/>
            </w:tcBorders>
            <w:vAlign w:val="center"/>
          </w:tcPr>
          <w:p>
            <w:pPr>
              <w:pStyle w:val="54"/>
              <w:widowControl w:val="0"/>
              <w:rPr>
                <w:rFonts w:hint="default" w:eastAsiaTheme="minorEastAsia"/>
                <w:color w:val="auto"/>
                <w:sz w:val="21"/>
                <w:szCs w:val="21"/>
                <w:lang w:val="en-US" w:eastAsia="zh-CN"/>
              </w:rPr>
            </w:pPr>
            <w:r>
              <w:rPr>
                <w:rFonts w:hint="eastAsia"/>
                <w:color w:val="auto"/>
                <w:sz w:val="21"/>
                <w:szCs w:val="21"/>
                <w:lang w:val="en-US" w:eastAsia="zh-CN"/>
              </w:rPr>
              <w:t>2.36</w:t>
            </w:r>
          </w:p>
        </w:tc>
        <w:tc>
          <w:tcPr>
            <w:tcW w:w="1249" w:type="pct"/>
            <w:tcBorders>
              <w:tl2br w:val="nil"/>
              <w:tr2bl w:val="nil"/>
            </w:tcBorders>
            <w:vAlign w:val="center"/>
          </w:tcPr>
          <w:p>
            <w:pPr>
              <w:pStyle w:val="54"/>
              <w:widowControl w:val="0"/>
              <w:rPr>
                <w:rFonts w:hint="default" w:eastAsiaTheme="minorEastAsia"/>
                <w:color w:val="auto"/>
                <w:sz w:val="21"/>
                <w:szCs w:val="21"/>
                <w:lang w:val="en-US" w:eastAsia="zh-CN"/>
              </w:rPr>
            </w:pPr>
            <w:r>
              <w:rPr>
                <w:rFonts w:hint="eastAsia"/>
                <w:color w:val="auto"/>
                <w:sz w:val="21"/>
                <w:szCs w:val="21"/>
                <w:lang w:val="en-US" w:eastAsia="zh-CN"/>
              </w:rPr>
              <w:t>0.027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911" w:type="pct"/>
            <w:tcBorders>
              <w:tl2br w:val="nil"/>
              <w:tr2bl w:val="nil"/>
            </w:tcBorders>
            <w:vAlign w:val="center"/>
          </w:tcPr>
          <w:p>
            <w:pPr>
              <w:pStyle w:val="54"/>
              <w:widowControl w:val="0"/>
              <w:rPr>
                <w:color w:val="auto"/>
                <w:sz w:val="21"/>
                <w:szCs w:val="21"/>
              </w:rPr>
            </w:pPr>
            <w:r>
              <w:rPr>
                <w:rFonts w:hint="eastAsia"/>
                <w:color w:val="auto"/>
                <w:sz w:val="21"/>
                <w:szCs w:val="21"/>
              </w:rPr>
              <w:t>合计</w:t>
            </w:r>
          </w:p>
        </w:tc>
        <w:tc>
          <w:tcPr>
            <w:tcW w:w="1083" w:type="pct"/>
            <w:tcBorders>
              <w:tl2br w:val="nil"/>
              <w:tr2bl w:val="nil"/>
            </w:tcBorders>
            <w:vAlign w:val="center"/>
          </w:tcPr>
          <w:p>
            <w:pPr>
              <w:pStyle w:val="54"/>
              <w:widowControl w:val="0"/>
              <w:rPr>
                <w:color w:val="auto"/>
                <w:sz w:val="21"/>
                <w:szCs w:val="21"/>
              </w:rPr>
            </w:pPr>
            <w:r>
              <w:rPr>
                <w:rFonts w:hint="eastAsia"/>
                <w:color w:val="auto"/>
                <w:sz w:val="21"/>
                <w:szCs w:val="21"/>
              </w:rPr>
              <w:t>/</w:t>
            </w:r>
          </w:p>
        </w:tc>
        <w:tc>
          <w:tcPr>
            <w:tcW w:w="1756" w:type="pct"/>
            <w:tcBorders>
              <w:tl2br w:val="nil"/>
              <w:tr2bl w:val="nil"/>
            </w:tcBorders>
            <w:vAlign w:val="center"/>
          </w:tcPr>
          <w:p>
            <w:pPr>
              <w:pStyle w:val="54"/>
              <w:widowControl w:val="0"/>
              <w:rPr>
                <w:color w:val="auto"/>
                <w:sz w:val="21"/>
                <w:szCs w:val="21"/>
              </w:rPr>
            </w:pPr>
            <w:r>
              <w:rPr>
                <w:rFonts w:hint="eastAsia"/>
                <w:color w:val="auto"/>
                <w:sz w:val="21"/>
                <w:szCs w:val="21"/>
              </w:rPr>
              <w:t>/</w:t>
            </w:r>
          </w:p>
        </w:tc>
        <w:tc>
          <w:tcPr>
            <w:tcW w:w="1249" w:type="pct"/>
            <w:tcBorders>
              <w:tl2br w:val="nil"/>
              <w:tr2bl w:val="nil"/>
            </w:tcBorders>
            <w:vAlign w:val="center"/>
          </w:tcPr>
          <w:p>
            <w:pPr>
              <w:pStyle w:val="54"/>
              <w:widowControl w:val="0"/>
              <w:rPr>
                <w:rFonts w:hint="default" w:eastAsiaTheme="minorEastAsia"/>
                <w:color w:val="auto"/>
                <w:sz w:val="21"/>
                <w:szCs w:val="21"/>
                <w:lang w:val="en-US" w:eastAsia="zh-CN"/>
              </w:rPr>
            </w:pPr>
            <w:r>
              <w:rPr>
                <w:rFonts w:hint="eastAsia"/>
                <w:color w:val="auto"/>
                <w:sz w:val="21"/>
                <w:szCs w:val="21"/>
                <w:lang w:val="en-US" w:eastAsia="zh-CN"/>
              </w:rPr>
              <w:t>0.0991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2" w:hRule="atLeast"/>
          <w:jc w:val="center"/>
        </w:trPr>
        <w:tc>
          <w:tcPr>
            <w:tcW w:w="5000" w:type="pct"/>
            <w:gridSpan w:val="4"/>
            <w:tcBorders>
              <w:tl2br w:val="nil"/>
              <w:tr2bl w:val="nil"/>
            </w:tcBorders>
            <w:vAlign w:val="center"/>
          </w:tcPr>
          <w:p>
            <w:pPr>
              <w:pStyle w:val="54"/>
              <w:widowControl w:val="0"/>
              <w:jc w:val="both"/>
              <w:rPr>
                <w:color w:val="auto"/>
                <w:sz w:val="21"/>
                <w:szCs w:val="21"/>
              </w:rPr>
            </w:pPr>
            <w:r>
              <w:rPr>
                <w:rFonts w:hint="eastAsia"/>
                <w:color w:val="auto"/>
                <w:sz w:val="21"/>
                <w:szCs w:val="21"/>
              </w:rPr>
              <w:t>注：</w:t>
            </w:r>
            <w:r>
              <w:rPr>
                <w:color w:val="auto"/>
                <w:sz w:val="21"/>
                <w:szCs w:val="21"/>
              </w:rPr>
              <w:t>1</w:t>
            </w:r>
            <w:r>
              <w:rPr>
                <w:rFonts w:hint="eastAsia"/>
                <w:color w:val="auto"/>
                <w:sz w:val="21"/>
                <w:szCs w:val="21"/>
              </w:rPr>
              <w:t>、废气量（</w:t>
            </w:r>
            <w:r>
              <w:rPr>
                <w:color w:val="auto"/>
                <w:sz w:val="21"/>
                <w:szCs w:val="21"/>
              </w:rPr>
              <w:t>m</w:t>
            </w:r>
            <w:r>
              <w:rPr>
                <w:color w:val="auto"/>
                <w:sz w:val="21"/>
                <w:szCs w:val="21"/>
                <w:vertAlign w:val="superscript"/>
              </w:rPr>
              <w:t>3</w:t>
            </w:r>
            <w:r>
              <w:rPr>
                <w:color w:val="auto"/>
                <w:sz w:val="21"/>
                <w:szCs w:val="21"/>
              </w:rPr>
              <w:t>/a</w:t>
            </w:r>
            <w:r>
              <w:rPr>
                <w:rFonts w:hint="eastAsia"/>
                <w:color w:val="auto"/>
                <w:sz w:val="21"/>
                <w:szCs w:val="21"/>
              </w:rPr>
              <w:t>）</w:t>
            </w:r>
            <w:r>
              <w:rPr>
                <w:color w:val="auto"/>
                <w:sz w:val="21"/>
                <w:szCs w:val="21"/>
              </w:rPr>
              <w:t>=</w:t>
            </w:r>
            <w:r>
              <w:rPr>
                <w:rFonts w:hint="eastAsia"/>
                <w:color w:val="auto"/>
                <w:sz w:val="21"/>
                <w:szCs w:val="21"/>
              </w:rPr>
              <w:t>标干浓度值（</w:t>
            </w:r>
            <w:r>
              <w:rPr>
                <w:color w:val="auto"/>
                <w:sz w:val="21"/>
                <w:szCs w:val="21"/>
              </w:rPr>
              <w:t>m³/h</w:t>
            </w:r>
            <w:r>
              <w:rPr>
                <w:rFonts w:hint="eastAsia"/>
                <w:color w:val="auto"/>
                <w:sz w:val="21"/>
                <w:szCs w:val="21"/>
              </w:rPr>
              <w:t>）×年生产时间（</w:t>
            </w:r>
            <w:r>
              <w:rPr>
                <w:color w:val="auto"/>
                <w:sz w:val="21"/>
                <w:szCs w:val="21"/>
              </w:rPr>
              <w:t>h</w:t>
            </w:r>
            <w:r>
              <w:rPr>
                <w:rFonts w:hint="eastAsia"/>
                <w:color w:val="auto"/>
                <w:sz w:val="21"/>
                <w:szCs w:val="21"/>
              </w:rPr>
              <w:t>）；年工作时间</w:t>
            </w:r>
            <w:r>
              <w:rPr>
                <w:rFonts w:hint="eastAsia"/>
                <w:color w:val="auto"/>
                <w:sz w:val="21"/>
                <w:szCs w:val="21"/>
                <w:lang w:val="en-US" w:eastAsia="zh-CN"/>
              </w:rPr>
              <w:t>7992</w:t>
            </w:r>
            <w:r>
              <w:rPr>
                <w:rFonts w:hint="eastAsia"/>
                <w:color w:val="auto"/>
                <w:sz w:val="21"/>
                <w:szCs w:val="21"/>
              </w:rPr>
              <w:t>h</w:t>
            </w:r>
          </w:p>
          <w:p>
            <w:pPr>
              <w:pStyle w:val="54"/>
              <w:widowControl w:val="0"/>
              <w:jc w:val="both"/>
              <w:rPr>
                <w:color w:val="auto"/>
                <w:sz w:val="21"/>
                <w:szCs w:val="21"/>
              </w:rPr>
            </w:pPr>
            <w:r>
              <w:rPr>
                <w:color w:val="auto"/>
                <w:sz w:val="21"/>
                <w:szCs w:val="21"/>
              </w:rPr>
              <w:t>2</w:t>
            </w:r>
            <w:r>
              <w:rPr>
                <w:rFonts w:hint="eastAsia"/>
                <w:color w:val="auto"/>
                <w:sz w:val="21"/>
                <w:szCs w:val="21"/>
              </w:rPr>
              <w:t>、排放量（</w:t>
            </w:r>
            <w:r>
              <w:rPr>
                <w:color w:val="auto"/>
                <w:sz w:val="21"/>
                <w:szCs w:val="21"/>
              </w:rPr>
              <w:t>t/a</w:t>
            </w:r>
            <w:r>
              <w:rPr>
                <w:rFonts w:hint="eastAsia"/>
                <w:color w:val="auto"/>
                <w:sz w:val="21"/>
                <w:szCs w:val="21"/>
              </w:rPr>
              <w:t>）</w:t>
            </w:r>
            <w:r>
              <w:rPr>
                <w:color w:val="auto"/>
                <w:sz w:val="21"/>
                <w:szCs w:val="21"/>
              </w:rPr>
              <w:t>=</w:t>
            </w:r>
            <w:r>
              <w:rPr>
                <w:rFonts w:hint="eastAsia"/>
                <w:color w:val="auto"/>
                <w:sz w:val="21"/>
                <w:szCs w:val="21"/>
              </w:rPr>
              <w:t>最大</w:t>
            </w:r>
            <w:r>
              <w:rPr>
                <w:rFonts w:hint="eastAsia"/>
                <w:color w:val="auto"/>
                <w:sz w:val="21"/>
                <w:szCs w:val="21"/>
                <w:lang w:val="en-US" w:eastAsia="zh-CN"/>
              </w:rPr>
              <w:t>排放</w:t>
            </w:r>
            <w:r>
              <w:rPr>
                <w:rFonts w:hint="eastAsia"/>
                <w:color w:val="auto"/>
                <w:sz w:val="21"/>
                <w:szCs w:val="21"/>
              </w:rPr>
              <w:t>浓度（</w:t>
            </w:r>
            <w:r>
              <w:rPr>
                <w:color w:val="auto"/>
                <w:sz w:val="21"/>
                <w:szCs w:val="21"/>
              </w:rPr>
              <w:t>mg/m</w:t>
            </w:r>
            <w:r>
              <w:rPr>
                <w:color w:val="auto"/>
                <w:sz w:val="21"/>
                <w:szCs w:val="21"/>
                <w:vertAlign w:val="superscript"/>
              </w:rPr>
              <w:t>3</w:t>
            </w:r>
            <w:r>
              <w:rPr>
                <w:rFonts w:hint="eastAsia"/>
                <w:color w:val="auto"/>
                <w:sz w:val="21"/>
                <w:szCs w:val="21"/>
              </w:rPr>
              <w:t>）×废气量（</w:t>
            </w:r>
            <w:r>
              <w:rPr>
                <w:color w:val="auto"/>
                <w:sz w:val="21"/>
                <w:szCs w:val="21"/>
              </w:rPr>
              <w:t>m</w:t>
            </w:r>
            <w:r>
              <w:rPr>
                <w:color w:val="auto"/>
                <w:sz w:val="21"/>
                <w:szCs w:val="21"/>
                <w:vertAlign w:val="superscript"/>
              </w:rPr>
              <w:t>3</w:t>
            </w:r>
            <w:r>
              <w:rPr>
                <w:color w:val="auto"/>
                <w:sz w:val="21"/>
                <w:szCs w:val="21"/>
              </w:rPr>
              <w:t>/a</w:t>
            </w:r>
            <w:r>
              <w:rPr>
                <w:rFonts w:hint="eastAsia"/>
                <w:color w:val="auto"/>
                <w:sz w:val="21"/>
                <w:szCs w:val="21"/>
              </w:rPr>
              <w:t>）×</w:t>
            </w:r>
            <w:r>
              <w:rPr>
                <w:color w:val="auto"/>
                <w:sz w:val="21"/>
                <w:szCs w:val="21"/>
              </w:rPr>
              <w:t>10</w:t>
            </w:r>
            <w:r>
              <w:rPr>
                <w:color w:val="auto"/>
                <w:sz w:val="21"/>
                <w:szCs w:val="21"/>
                <w:vertAlign w:val="superscript"/>
              </w:rPr>
              <w:t>-9</w:t>
            </w:r>
            <w:r>
              <w:rPr>
                <w:rFonts w:hint="eastAsia"/>
                <w:color w:val="auto"/>
                <w:sz w:val="21"/>
                <w:szCs w:val="21"/>
              </w:rPr>
              <w:t>。</w:t>
            </w:r>
          </w:p>
        </w:tc>
      </w:tr>
    </w:tbl>
    <w:p>
      <w:pPr>
        <w:numPr>
          <w:ilvl w:val="0"/>
          <w:numId w:val="3"/>
        </w:numPr>
        <w:spacing w:line="360" w:lineRule="auto"/>
        <w:ind w:left="0" w:leftChars="0" w:firstLine="0" w:firstLineChars="0"/>
        <w:outlineLvl w:val="0"/>
        <w:rPr>
          <w:rFonts w:hint="eastAsia" w:ascii="Times New Roman" w:hAnsi="Times New Roman" w:cs="Times New Roman"/>
          <w:b w:val="0"/>
          <w:bCs/>
          <w:color w:val="auto"/>
          <w:sz w:val="24"/>
          <w:szCs w:val="24"/>
          <w:lang w:val="en-US" w:eastAsia="zh-CN"/>
        </w:rPr>
      </w:pPr>
      <w:r>
        <w:rPr>
          <w:rFonts w:hint="eastAsia" w:ascii="Times New Roman" w:hAnsi="Times New Roman" w:cs="Times New Roman"/>
          <w:b w:val="0"/>
          <w:bCs/>
          <w:color w:val="auto"/>
          <w:sz w:val="24"/>
          <w:szCs w:val="24"/>
          <w:lang w:val="en-US" w:eastAsia="zh-CN"/>
        </w:rPr>
        <w:t>废水污染物排放总量核算</w:t>
      </w:r>
    </w:p>
    <w:p>
      <w:pPr>
        <w:pStyle w:val="4"/>
        <w:ind w:left="0" w:leftChars="0" w:firstLine="480" w:firstLineChars="200"/>
        <w:rPr>
          <w:rFonts w:hint="default" w:ascii="宋体" w:hAnsi="宋体" w:eastAsia="宋体" w:cs="宋体"/>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ascii="宋体" w:hAnsi="宋体" w:eastAsia="宋体" w:cs="宋体"/>
          <w:lang w:val="en-US" w:eastAsia="zh-CN"/>
        </w:rPr>
        <w:t>本项目产生的废水属间接排放，排入污水市政管网后由云溪污水处理厂进一步深度处理，达到《城镇污水处理厂污染物排放标准》GB18918-2002一级A标准后排入河体，本项目属间接排放，不直接排入地表水体，COD排放量按一级A标准50mg/L计算，排放量按环评预计排放量计算，本项目COD排放总量与环评一致，COD总量为0.7t/a。</w:t>
      </w:r>
    </w:p>
    <w:p>
      <w:pPr>
        <w:spacing w:line="360" w:lineRule="auto"/>
        <w:outlineLvl w:val="0"/>
        <w:rPr>
          <w:rFonts w:hint="default" w:ascii="Times New Roman" w:hAnsi="Times New Roman" w:cs="Times New Roman"/>
          <w:b/>
          <w:color w:val="auto"/>
          <w:sz w:val="32"/>
          <w:szCs w:val="32"/>
        </w:rPr>
      </w:pPr>
      <w:bookmarkStart w:id="114" w:name="_Toc11976"/>
      <w:bookmarkStart w:id="115" w:name="_Toc85120912"/>
      <w:r>
        <w:rPr>
          <w:rFonts w:hint="default" w:ascii="Times New Roman" w:hAnsi="Times New Roman" w:cs="Times New Roman"/>
          <w:b/>
          <w:color w:val="auto"/>
          <w:sz w:val="32"/>
          <w:szCs w:val="32"/>
        </w:rPr>
        <w:t>10</w:t>
      </w:r>
      <w:r>
        <w:rPr>
          <w:rFonts w:hint="eastAsia" w:ascii="Times New Roman" w:hAnsi="Times New Roman" w:cs="Times New Roman"/>
          <w:b/>
          <w:color w:val="auto"/>
          <w:sz w:val="32"/>
          <w:szCs w:val="32"/>
          <w:lang w:eastAsia="zh-CN"/>
        </w:rPr>
        <w:t>、</w:t>
      </w:r>
      <w:r>
        <w:rPr>
          <w:rFonts w:hint="default" w:ascii="Times New Roman" w:hAnsi="Times New Roman" w:cs="Times New Roman"/>
          <w:b/>
          <w:color w:val="auto"/>
          <w:sz w:val="30"/>
          <w:szCs w:val="30"/>
        </w:rPr>
        <w:t>环保管理机构及环保管理制度建立情况</w:t>
      </w:r>
      <w:bookmarkEnd w:id="114"/>
    </w:p>
    <w:p>
      <w:pPr>
        <w:spacing w:line="360" w:lineRule="auto"/>
        <w:outlineLvl w:val="1"/>
        <w:rPr>
          <w:rFonts w:hint="default" w:ascii="Times New Roman" w:hAnsi="Times New Roman" w:cs="Times New Roman"/>
          <w:b/>
          <w:color w:val="auto"/>
          <w:sz w:val="30"/>
          <w:szCs w:val="30"/>
        </w:rPr>
      </w:pPr>
      <w:bookmarkStart w:id="116" w:name="_Toc22512"/>
      <w:r>
        <w:rPr>
          <w:rFonts w:hint="default" w:ascii="Times New Roman" w:hAnsi="Times New Roman" w:cs="Times New Roman"/>
          <w:b/>
          <w:color w:val="auto"/>
          <w:sz w:val="30"/>
          <w:szCs w:val="30"/>
        </w:rPr>
        <w:t>10.</w:t>
      </w:r>
      <w:r>
        <w:rPr>
          <w:rFonts w:hint="eastAsia" w:ascii="Times New Roman" w:hAnsi="Times New Roman" w:cs="Times New Roman"/>
          <w:b/>
          <w:color w:val="auto"/>
          <w:sz w:val="30"/>
          <w:szCs w:val="30"/>
          <w:lang w:val="en-US" w:eastAsia="zh-CN"/>
        </w:rPr>
        <w:t>1</w:t>
      </w:r>
      <w:r>
        <w:rPr>
          <w:rFonts w:hint="default" w:ascii="Times New Roman" w:hAnsi="Times New Roman" w:cs="Times New Roman"/>
          <w:b/>
          <w:color w:val="auto"/>
          <w:sz w:val="30"/>
          <w:szCs w:val="30"/>
        </w:rPr>
        <w:t xml:space="preserve"> </w:t>
      </w:r>
      <w:r>
        <w:rPr>
          <w:rFonts w:hint="default" w:ascii="Times New Roman" w:hAnsi="Times New Roman" w:cs="Times New Roman"/>
          <w:b/>
          <w:color w:val="auto"/>
          <w:sz w:val="30"/>
          <w:szCs w:val="30"/>
          <w:lang w:val="en-US" w:eastAsia="zh-CN"/>
        </w:rPr>
        <w:t xml:space="preserve"> </w:t>
      </w:r>
      <w:r>
        <w:rPr>
          <w:rFonts w:hint="default" w:ascii="Times New Roman" w:hAnsi="Times New Roman" w:cs="Times New Roman"/>
          <w:b/>
          <w:color w:val="auto"/>
          <w:sz w:val="30"/>
          <w:szCs w:val="30"/>
        </w:rPr>
        <w:t>环保管理机构及环保管理制度建立情况</w:t>
      </w:r>
      <w:bookmarkEnd w:id="116"/>
    </w:p>
    <w:p>
      <w:pPr>
        <w:spacing w:line="360" w:lineRule="auto"/>
        <w:ind w:firstLine="480" w:firstLineChars="200"/>
        <w:outlineLvl w:val="9"/>
        <w:rPr>
          <w:rFonts w:hint="default" w:ascii="Times New Roman" w:hAnsi="Times New Roman" w:cs="Times New Roman"/>
          <w:color w:val="auto"/>
          <w:kern w:val="0"/>
          <w:sz w:val="24"/>
          <w:szCs w:val="24"/>
        </w:rPr>
      </w:pPr>
      <w:r>
        <w:rPr>
          <w:rFonts w:hint="eastAsia" w:ascii="Times New Roman" w:hAnsi="Times New Roman" w:cs="Times New Roman"/>
          <w:color w:val="auto"/>
          <w:kern w:val="0"/>
          <w:sz w:val="24"/>
          <w:szCs w:val="24"/>
          <w:lang w:val="en-US" w:eastAsia="zh-CN"/>
        </w:rPr>
        <w:t>1、</w:t>
      </w:r>
      <w:r>
        <w:rPr>
          <w:rFonts w:hint="default" w:ascii="Times New Roman" w:hAnsi="Times New Roman" w:cs="Times New Roman"/>
          <w:color w:val="auto"/>
          <w:kern w:val="0"/>
          <w:sz w:val="24"/>
          <w:szCs w:val="24"/>
        </w:rPr>
        <w:t>环境管理机构</w:t>
      </w:r>
    </w:p>
    <w:p>
      <w:pPr>
        <w:spacing w:line="360" w:lineRule="auto"/>
        <w:ind w:firstLine="480" w:firstLineChars="200"/>
        <w:outlineLvl w:val="9"/>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根据各级文件精神，</w:t>
      </w:r>
      <w:r>
        <w:rPr>
          <w:rFonts w:hint="default" w:ascii="Times New Roman" w:hAnsi="Times New Roman" w:cs="Times New Roman"/>
          <w:color w:val="auto"/>
          <w:kern w:val="0"/>
          <w:sz w:val="24"/>
          <w:szCs w:val="24"/>
          <w:lang w:val="en-US" w:eastAsia="zh-CN"/>
        </w:rPr>
        <w:t>岳阳中展科技</w:t>
      </w:r>
      <w:r>
        <w:rPr>
          <w:rFonts w:hint="default" w:ascii="Times New Roman" w:hAnsi="Times New Roman" w:cs="Times New Roman"/>
          <w:color w:val="auto"/>
          <w:kern w:val="0"/>
          <w:sz w:val="24"/>
          <w:szCs w:val="24"/>
        </w:rPr>
        <w:t>有限公司结合自身风险特点和各部门职能分工，设</w:t>
      </w:r>
      <w:r>
        <w:rPr>
          <w:rFonts w:hint="eastAsia" w:ascii="Times New Roman" w:hAnsi="Times New Roman" w:cs="Times New Roman"/>
          <w:color w:val="auto"/>
          <w:kern w:val="0"/>
          <w:sz w:val="24"/>
          <w:szCs w:val="24"/>
          <w:lang w:val="en-US" w:eastAsia="zh-CN"/>
        </w:rPr>
        <w:t>安环部3人，</w:t>
      </w:r>
      <w:r>
        <w:rPr>
          <w:rFonts w:hint="default" w:ascii="Times New Roman" w:hAnsi="Times New Roman" w:cs="Times New Roman"/>
          <w:color w:val="auto"/>
          <w:kern w:val="0"/>
          <w:sz w:val="24"/>
          <w:szCs w:val="24"/>
        </w:rPr>
        <w:t>配备专职人员负责开展企业环保工作，包括厂区日常环境管理和污染源监控，同时配合地区环保部门做好定期监测抽查工作。公司的环境管理由总经理负责领导，车间设立兼职环境保护监督员。环境管理机构主要职能是研究决策本公司环保工作的重大事宜，并负责公司环境保护的规划和管理以及污染防治设施管理、维修、操作。</w:t>
      </w:r>
    </w:p>
    <w:p>
      <w:pPr>
        <w:spacing w:line="360" w:lineRule="auto"/>
        <w:ind w:firstLine="480" w:firstLineChars="200"/>
        <w:outlineLvl w:val="9"/>
        <w:rPr>
          <w:rFonts w:hint="default" w:ascii="Times New Roman" w:hAnsi="Times New Roman" w:cs="Times New Roman"/>
          <w:color w:val="auto"/>
          <w:kern w:val="0"/>
          <w:sz w:val="24"/>
          <w:szCs w:val="24"/>
        </w:rPr>
      </w:pPr>
      <w:r>
        <w:rPr>
          <w:rFonts w:hint="eastAsia" w:ascii="Times New Roman" w:hAnsi="Times New Roman" w:cs="Times New Roman"/>
          <w:color w:val="auto"/>
          <w:kern w:val="0"/>
          <w:sz w:val="24"/>
          <w:szCs w:val="24"/>
          <w:lang w:val="en-US" w:eastAsia="zh-CN"/>
        </w:rPr>
        <w:t>2、</w:t>
      </w:r>
      <w:r>
        <w:rPr>
          <w:rFonts w:hint="default" w:ascii="Times New Roman" w:hAnsi="Times New Roman" w:cs="Times New Roman"/>
          <w:color w:val="auto"/>
          <w:kern w:val="0"/>
          <w:sz w:val="24"/>
          <w:szCs w:val="24"/>
        </w:rPr>
        <w:t>环境管理机构主要职责</w:t>
      </w:r>
    </w:p>
    <w:p>
      <w:pPr>
        <w:spacing w:line="360" w:lineRule="auto"/>
        <w:ind w:firstLine="480" w:firstLineChars="200"/>
        <w:outlineLvl w:val="9"/>
        <w:rPr>
          <w:rFonts w:hint="default" w:ascii="Times New Roman" w:hAnsi="Times New Roman" w:cs="Times New Roman"/>
          <w:color w:val="auto"/>
          <w:kern w:val="0"/>
          <w:sz w:val="24"/>
          <w:szCs w:val="24"/>
        </w:rPr>
      </w:pPr>
      <w:r>
        <w:rPr>
          <w:rFonts w:hint="eastAsia" w:ascii="Times New Roman" w:hAnsi="Times New Roman" w:cs="Times New Roman"/>
          <w:color w:val="auto"/>
          <w:kern w:val="0"/>
          <w:sz w:val="24"/>
          <w:szCs w:val="24"/>
          <w:lang w:eastAsia="zh-CN"/>
        </w:rPr>
        <w:t>（</w:t>
      </w:r>
      <w:r>
        <w:rPr>
          <w:rFonts w:hint="eastAsia" w:ascii="Times New Roman" w:hAnsi="Times New Roman" w:cs="Times New Roman"/>
          <w:color w:val="auto"/>
          <w:kern w:val="0"/>
          <w:sz w:val="24"/>
          <w:szCs w:val="24"/>
          <w:lang w:val="en-US" w:eastAsia="zh-CN"/>
        </w:rPr>
        <w:t>1</w:t>
      </w:r>
      <w:r>
        <w:rPr>
          <w:rFonts w:hint="eastAsia" w:ascii="Times New Roman" w:hAnsi="Times New Roman" w:cs="Times New Roman"/>
          <w:color w:val="auto"/>
          <w:kern w:val="0"/>
          <w:sz w:val="24"/>
          <w:szCs w:val="24"/>
          <w:lang w:eastAsia="zh-CN"/>
        </w:rPr>
        <w:t>）</w:t>
      </w:r>
      <w:r>
        <w:rPr>
          <w:rFonts w:hint="default" w:ascii="Times New Roman" w:hAnsi="Times New Roman" w:cs="Times New Roman"/>
          <w:color w:val="auto"/>
          <w:kern w:val="0"/>
          <w:sz w:val="24"/>
          <w:szCs w:val="24"/>
        </w:rPr>
        <w:t>贯彻执行国家和地方的环境保护政策、法规及环境保护标准；</w:t>
      </w:r>
    </w:p>
    <w:p>
      <w:pPr>
        <w:spacing w:line="360" w:lineRule="auto"/>
        <w:ind w:firstLine="480" w:firstLineChars="200"/>
        <w:outlineLvl w:val="9"/>
        <w:rPr>
          <w:rFonts w:hint="default" w:ascii="Times New Roman" w:hAnsi="Times New Roman" w:cs="Times New Roman"/>
          <w:color w:val="auto"/>
          <w:kern w:val="0"/>
          <w:sz w:val="24"/>
          <w:szCs w:val="24"/>
        </w:rPr>
      </w:pPr>
      <w:r>
        <w:rPr>
          <w:rFonts w:hint="eastAsia" w:ascii="Times New Roman" w:hAnsi="Times New Roman" w:cs="Times New Roman"/>
          <w:color w:val="auto"/>
          <w:kern w:val="0"/>
          <w:sz w:val="24"/>
          <w:szCs w:val="24"/>
          <w:lang w:eastAsia="zh-CN"/>
        </w:rPr>
        <w:t>（</w:t>
      </w:r>
      <w:r>
        <w:rPr>
          <w:rFonts w:hint="eastAsia" w:ascii="Times New Roman" w:hAnsi="Times New Roman" w:cs="Times New Roman"/>
          <w:color w:val="auto"/>
          <w:kern w:val="0"/>
          <w:sz w:val="24"/>
          <w:szCs w:val="24"/>
          <w:lang w:val="en-US" w:eastAsia="zh-CN"/>
        </w:rPr>
        <w:t>2</w:t>
      </w:r>
      <w:r>
        <w:rPr>
          <w:rFonts w:hint="eastAsia" w:ascii="Times New Roman" w:hAnsi="Times New Roman" w:cs="Times New Roman"/>
          <w:color w:val="auto"/>
          <w:kern w:val="0"/>
          <w:sz w:val="24"/>
          <w:szCs w:val="24"/>
          <w:lang w:eastAsia="zh-CN"/>
        </w:rPr>
        <w:t>）</w:t>
      </w:r>
      <w:r>
        <w:rPr>
          <w:rFonts w:hint="default" w:ascii="Times New Roman" w:hAnsi="Times New Roman" w:cs="Times New Roman"/>
          <w:color w:val="auto"/>
          <w:kern w:val="0"/>
          <w:sz w:val="24"/>
          <w:szCs w:val="24"/>
        </w:rPr>
        <w:t>建立并完善企业环境保护管理制度，经常督促检查落实情况；</w:t>
      </w:r>
    </w:p>
    <w:p>
      <w:pPr>
        <w:spacing w:line="360" w:lineRule="auto"/>
        <w:ind w:firstLine="480" w:firstLineChars="200"/>
        <w:outlineLvl w:val="9"/>
        <w:rPr>
          <w:rFonts w:hint="default" w:ascii="Times New Roman" w:hAnsi="Times New Roman" w:cs="Times New Roman"/>
          <w:color w:val="auto"/>
          <w:kern w:val="0"/>
          <w:sz w:val="24"/>
          <w:szCs w:val="24"/>
        </w:rPr>
      </w:pPr>
      <w:r>
        <w:rPr>
          <w:rFonts w:hint="eastAsia" w:ascii="Times New Roman" w:hAnsi="Times New Roman" w:cs="Times New Roman"/>
          <w:color w:val="auto"/>
          <w:kern w:val="0"/>
          <w:sz w:val="24"/>
          <w:szCs w:val="24"/>
          <w:lang w:eastAsia="zh-CN"/>
        </w:rPr>
        <w:t>（</w:t>
      </w:r>
      <w:r>
        <w:rPr>
          <w:rFonts w:hint="eastAsia" w:ascii="Times New Roman" w:hAnsi="Times New Roman" w:cs="Times New Roman"/>
          <w:color w:val="auto"/>
          <w:kern w:val="0"/>
          <w:sz w:val="24"/>
          <w:szCs w:val="24"/>
          <w:lang w:val="en-US" w:eastAsia="zh-CN"/>
        </w:rPr>
        <w:t>3</w:t>
      </w:r>
      <w:r>
        <w:rPr>
          <w:rFonts w:hint="eastAsia" w:ascii="Times New Roman" w:hAnsi="Times New Roman" w:cs="Times New Roman"/>
          <w:color w:val="auto"/>
          <w:kern w:val="0"/>
          <w:sz w:val="24"/>
          <w:szCs w:val="24"/>
          <w:lang w:eastAsia="zh-CN"/>
        </w:rPr>
        <w:t>）</w:t>
      </w:r>
      <w:r>
        <w:rPr>
          <w:rFonts w:hint="default" w:ascii="Times New Roman" w:hAnsi="Times New Roman" w:cs="Times New Roman"/>
          <w:color w:val="auto"/>
          <w:kern w:val="0"/>
          <w:sz w:val="24"/>
          <w:szCs w:val="24"/>
        </w:rPr>
        <w:t>编制并组织实施本企业的环境保护规划和计划；</w:t>
      </w:r>
    </w:p>
    <w:p>
      <w:pPr>
        <w:spacing w:line="360" w:lineRule="auto"/>
        <w:ind w:firstLine="480" w:firstLineChars="200"/>
        <w:outlineLvl w:val="9"/>
        <w:rPr>
          <w:rFonts w:hint="default" w:ascii="Times New Roman" w:hAnsi="Times New Roman" w:cs="Times New Roman"/>
          <w:color w:val="auto"/>
          <w:kern w:val="0"/>
          <w:sz w:val="24"/>
          <w:szCs w:val="24"/>
        </w:rPr>
      </w:pPr>
      <w:r>
        <w:rPr>
          <w:rFonts w:hint="eastAsia" w:ascii="Times New Roman" w:hAnsi="Times New Roman" w:cs="Times New Roman"/>
          <w:color w:val="auto"/>
          <w:kern w:val="0"/>
          <w:sz w:val="24"/>
          <w:szCs w:val="24"/>
          <w:lang w:eastAsia="zh-CN"/>
        </w:rPr>
        <w:t>（</w:t>
      </w:r>
      <w:r>
        <w:rPr>
          <w:rFonts w:hint="eastAsia" w:ascii="Times New Roman" w:hAnsi="Times New Roman" w:cs="Times New Roman"/>
          <w:color w:val="auto"/>
          <w:kern w:val="0"/>
          <w:sz w:val="24"/>
          <w:szCs w:val="24"/>
          <w:lang w:val="en-US" w:eastAsia="zh-CN"/>
        </w:rPr>
        <w:t>4</w:t>
      </w:r>
      <w:r>
        <w:rPr>
          <w:rFonts w:hint="eastAsia" w:ascii="Times New Roman" w:hAnsi="Times New Roman" w:cs="Times New Roman"/>
          <w:color w:val="auto"/>
          <w:kern w:val="0"/>
          <w:sz w:val="24"/>
          <w:szCs w:val="24"/>
          <w:lang w:eastAsia="zh-CN"/>
        </w:rPr>
        <w:t>）</w:t>
      </w:r>
      <w:r>
        <w:rPr>
          <w:rFonts w:hint="default" w:ascii="Times New Roman" w:hAnsi="Times New Roman" w:cs="Times New Roman"/>
          <w:color w:val="auto"/>
          <w:kern w:val="0"/>
          <w:sz w:val="24"/>
          <w:szCs w:val="24"/>
        </w:rPr>
        <w:t>搞好环境保护宣传和教育，不断提高职工的环境保护意识；</w:t>
      </w:r>
    </w:p>
    <w:p>
      <w:pPr>
        <w:spacing w:line="360" w:lineRule="auto"/>
        <w:ind w:firstLine="480" w:firstLineChars="200"/>
        <w:outlineLvl w:val="9"/>
        <w:rPr>
          <w:rFonts w:hint="default" w:ascii="Times New Roman" w:hAnsi="Times New Roman" w:cs="Times New Roman"/>
          <w:color w:val="auto"/>
          <w:kern w:val="0"/>
          <w:sz w:val="24"/>
          <w:szCs w:val="24"/>
        </w:rPr>
      </w:pPr>
      <w:r>
        <w:rPr>
          <w:rFonts w:hint="eastAsia" w:ascii="Times New Roman" w:hAnsi="Times New Roman" w:cs="Times New Roman"/>
          <w:color w:val="auto"/>
          <w:kern w:val="0"/>
          <w:sz w:val="24"/>
          <w:szCs w:val="24"/>
          <w:lang w:val="en-US" w:eastAsia="zh-CN"/>
        </w:rPr>
        <w:t>（5）组</w:t>
      </w:r>
      <w:r>
        <w:rPr>
          <w:rFonts w:hint="default" w:ascii="Times New Roman" w:hAnsi="Times New Roman" w:cs="Times New Roman"/>
          <w:color w:val="auto"/>
          <w:kern w:val="0"/>
          <w:sz w:val="24"/>
          <w:szCs w:val="24"/>
        </w:rPr>
        <w:t>织对基层环保人员的培训，提高工作素质；</w:t>
      </w:r>
    </w:p>
    <w:p>
      <w:pPr>
        <w:spacing w:line="360" w:lineRule="auto"/>
        <w:ind w:firstLine="480" w:firstLineChars="200"/>
        <w:outlineLvl w:val="9"/>
        <w:rPr>
          <w:rFonts w:hint="default" w:ascii="Times New Roman" w:hAnsi="Times New Roman" w:cs="Times New Roman"/>
          <w:color w:val="auto"/>
          <w:kern w:val="0"/>
          <w:sz w:val="24"/>
          <w:szCs w:val="24"/>
        </w:rPr>
      </w:pPr>
      <w:r>
        <w:rPr>
          <w:rFonts w:hint="eastAsia" w:ascii="Times New Roman" w:hAnsi="Times New Roman" w:cs="Times New Roman"/>
          <w:color w:val="auto"/>
          <w:kern w:val="0"/>
          <w:sz w:val="24"/>
          <w:szCs w:val="24"/>
          <w:lang w:eastAsia="zh-CN"/>
        </w:rPr>
        <w:t>（</w:t>
      </w:r>
      <w:r>
        <w:rPr>
          <w:rFonts w:hint="eastAsia" w:ascii="Times New Roman" w:hAnsi="Times New Roman" w:cs="Times New Roman"/>
          <w:color w:val="auto"/>
          <w:kern w:val="0"/>
          <w:sz w:val="24"/>
          <w:szCs w:val="24"/>
          <w:lang w:val="en-US" w:eastAsia="zh-CN"/>
        </w:rPr>
        <w:t>6</w:t>
      </w:r>
      <w:r>
        <w:rPr>
          <w:rFonts w:hint="eastAsia" w:ascii="Times New Roman" w:hAnsi="Times New Roman" w:cs="Times New Roman"/>
          <w:color w:val="auto"/>
          <w:kern w:val="0"/>
          <w:sz w:val="24"/>
          <w:szCs w:val="24"/>
          <w:lang w:eastAsia="zh-CN"/>
        </w:rPr>
        <w:t>）</w:t>
      </w:r>
      <w:r>
        <w:rPr>
          <w:rFonts w:hint="default" w:ascii="Times New Roman" w:hAnsi="Times New Roman" w:cs="Times New Roman"/>
          <w:color w:val="auto"/>
          <w:kern w:val="0"/>
          <w:sz w:val="24"/>
          <w:szCs w:val="24"/>
        </w:rPr>
        <w:t>领导并组织企业的环境监测工作，建立环境监控档案；</w:t>
      </w:r>
    </w:p>
    <w:p>
      <w:pPr>
        <w:spacing w:line="360" w:lineRule="auto"/>
        <w:ind w:firstLine="480" w:firstLineChars="200"/>
        <w:outlineLvl w:val="9"/>
        <w:rPr>
          <w:rFonts w:hint="default" w:ascii="Times New Roman" w:hAnsi="Times New Roman" w:cs="Times New Roman"/>
          <w:color w:val="auto"/>
          <w:kern w:val="0"/>
          <w:sz w:val="24"/>
          <w:szCs w:val="24"/>
        </w:rPr>
      </w:pPr>
      <w:r>
        <w:rPr>
          <w:rFonts w:hint="eastAsia" w:ascii="Times New Roman" w:hAnsi="Times New Roman" w:cs="Times New Roman"/>
          <w:color w:val="auto"/>
          <w:kern w:val="0"/>
          <w:sz w:val="24"/>
          <w:szCs w:val="24"/>
          <w:lang w:eastAsia="zh-CN"/>
        </w:rPr>
        <w:t>（</w:t>
      </w:r>
      <w:r>
        <w:rPr>
          <w:rFonts w:hint="eastAsia" w:ascii="Times New Roman" w:hAnsi="Times New Roman" w:cs="Times New Roman"/>
          <w:color w:val="auto"/>
          <w:kern w:val="0"/>
          <w:sz w:val="24"/>
          <w:szCs w:val="24"/>
          <w:lang w:val="en-US" w:eastAsia="zh-CN"/>
        </w:rPr>
        <w:t>7</w:t>
      </w:r>
      <w:r>
        <w:rPr>
          <w:rFonts w:hint="eastAsia" w:ascii="Times New Roman" w:hAnsi="Times New Roman" w:cs="Times New Roman"/>
          <w:color w:val="auto"/>
          <w:kern w:val="0"/>
          <w:sz w:val="24"/>
          <w:szCs w:val="24"/>
          <w:lang w:eastAsia="zh-CN"/>
        </w:rPr>
        <w:t>）</w:t>
      </w:r>
      <w:r>
        <w:rPr>
          <w:rFonts w:hint="default" w:ascii="Times New Roman" w:hAnsi="Times New Roman" w:cs="Times New Roman"/>
          <w:color w:val="auto"/>
          <w:kern w:val="0"/>
          <w:sz w:val="24"/>
          <w:szCs w:val="24"/>
        </w:rPr>
        <w:t>制定本企业污染治理设施设备操作规程和检修计划，检查、记录污染治理设施运行及检修情况，确保治理设施常年正常运行；</w:t>
      </w:r>
    </w:p>
    <w:p>
      <w:pPr>
        <w:numPr>
          <w:ilvl w:val="-1"/>
          <w:numId w:val="0"/>
        </w:numPr>
        <w:spacing w:line="360" w:lineRule="auto"/>
        <w:ind w:firstLine="480" w:firstLineChars="200"/>
        <w:outlineLvl w:val="9"/>
        <w:rPr>
          <w:rFonts w:hint="eastAsia" w:ascii="Times New Roman" w:hAnsi="Times New Roman" w:cs="Times New Roman"/>
          <w:color w:val="auto"/>
          <w:kern w:val="0"/>
          <w:sz w:val="24"/>
          <w:szCs w:val="24"/>
        </w:rPr>
      </w:pPr>
      <w:r>
        <w:rPr>
          <w:rFonts w:hint="eastAsia" w:ascii="Times New Roman" w:hAnsi="Times New Roman" w:cs="Times New Roman"/>
          <w:color w:val="auto"/>
          <w:kern w:val="0"/>
          <w:sz w:val="24"/>
          <w:szCs w:val="24"/>
          <w:lang w:eastAsia="zh-CN"/>
        </w:rPr>
        <w:t>（</w:t>
      </w:r>
      <w:r>
        <w:rPr>
          <w:rFonts w:hint="eastAsia" w:ascii="Times New Roman" w:hAnsi="Times New Roman" w:cs="Times New Roman"/>
          <w:color w:val="auto"/>
          <w:kern w:val="0"/>
          <w:sz w:val="24"/>
          <w:szCs w:val="24"/>
          <w:lang w:val="en-US" w:eastAsia="zh-CN"/>
        </w:rPr>
        <w:t>8</w:t>
      </w:r>
      <w:r>
        <w:rPr>
          <w:rFonts w:hint="eastAsia" w:ascii="Times New Roman" w:hAnsi="Times New Roman" w:cs="Times New Roman"/>
          <w:color w:val="auto"/>
          <w:kern w:val="0"/>
          <w:sz w:val="24"/>
          <w:szCs w:val="24"/>
          <w:lang w:eastAsia="zh-CN"/>
        </w:rPr>
        <w:t>）</w:t>
      </w:r>
      <w:r>
        <w:rPr>
          <w:rFonts w:hint="eastAsia" w:ascii="Times New Roman" w:hAnsi="Times New Roman" w:cs="Times New Roman"/>
          <w:color w:val="auto"/>
          <w:kern w:val="0"/>
          <w:sz w:val="24"/>
          <w:szCs w:val="24"/>
        </w:rPr>
        <w:t>制定本项目的污染物排放指标，定时考核和统计，确保全厂污染物排放达到国家排放标准</w:t>
      </w:r>
    </w:p>
    <w:p>
      <w:pPr>
        <w:pStyle w:val="6"/>
        <w:rPr>
          <w:rFonts w:hint="eastAsia" w:ascii="宋体" w:hAnsi="宋体" w:eastAsia="宋体" w:cs="宋体"/>
          <w:b/>
          <w:bCs w:val="0"/>
          <w:sz w:val="30"/>
          <w:szCs w:val="30"/>
          <w:lang w:eastAsia="zh-CN"/>
        </w:rPr>
      </w:pPr>
      <w:bookmarkStart w:id="117" w:name="_Toc21602"/>
      <w:r>
        <w:rPr>
          <w:rFonts w:hint="eastAsia" w:ascii="宋体" w:hAnsi="宋体" w:eastAsia="宋体" w:cs="宋体"/>
          <w:b/>
          <w:bCs w:val="0"/>
          <w:color w:val="auto"/>
          <w:sz w:val="30"/>
          <w:szCs w:val="30"/>
          <w:shd w:val="clear" w:color="auto" w:fill="auto"/>
          <w:lang w:val="en-US" w:eastAsia="zh-CN"/>
        </w:rPr>
        <w:t>10.2</w:t>
      </w:r>
      <w:bookmarkStart w:id="118" w:name="_Toc24154"/>
      <w:bookmarkStart w:id="119" w:name="_Toc16982"/>
      <w:r>
        <w:rPr>
          <w:rFonts w:hint="eastAsia" w:ascii="宋体" w:hAnsi="宋体" w:eastAsia="宋体" w:cs="宋体"/>
          <w:b/>
          <w:bCs w:val="0"/>
          <w:sz w:val="30"/>
          <w:szCs w:val="30"/>
          <w:lang w:eastAsia="zh-CN"/>
        </w:rPr>
        <w:t>工程建设对环境的影响</w:t>
      </w:r>
      <w:bookmarkEnd w:id="117"/>
      <w:bookmarkEnd w:id="118"/>
      <w:bookmarkEnd w:id="119"/>
    </w:p>
    <w:p>
      <w:pPr>
        <w:pStyle w:val="13"/>
        <w:numPr>
          <w:ilvl w:val="0"/>
          <w:numId w:val="0"/>
        </w:numPr>
        <w:rPr>
          <w:rFonts w:hint="default" w:eastAsiaTheme="minorEastAsia"/>
          <w:color w:val="auto"/>
          <w:sz w:val="24"/>
          <w:szCs w:val="24"/>
          <w:lang w:val="en-US" w:eastAsia="zh-CN"/>
        </w:rPr>
      </w:pPr>
      <w:r>
        <w:rPr>
          <w:rFonts w:hint="eastAsia"/>
          <w:color w:val="auto"/>
          <w:sz w:val="24"/>
          <w:szCs w:val="24"/>
          <w:lang w:val="en-US" w:eastAsia="zh-CN"/>
        </w:rPr>
        <w:t xml:space="preserve">10.2.1废水 </w:t>
      </w:r>
    </w:p>
    <w:p>
      <w:pPr>
        <w:pStyle w:val="13"/>
        <w:numPr>
          <w:ilvl w:val="0"/>
          <w:numId w:val="0"/>
        </w:numPr>
        <w:spacing w:line="360" w:lineRule="auto"/>
        <w:ind w:firstLine="480" w:firstLineChars="200"/>
        <w:rPr>
          <w:rFonts w:hint="default" w:eastAsiaTheme="minorEastAsia"/>
          <w:color w:val="auto"/>
          <w:lang w:val="en-US" w:eastAsia="zh-CN"/>
        </w:rPr>
      </w:pPr>
      <w:r>
        <w:rPr>
          <w:rFonts w:hint="eastAsia"/>
          <w:color w:val="auto"/>
          <w:sz w:val="24"/>
          <w:szCs w:val="24"/>
          <w:lang w:val="en-US" w:eastAsia="zh-CN"/>
        </w:rPr>
        <w:t>生产废水经废水处理站处理后，COD、BOD5、悬浮物、氨氮等主要污染物指标符合</w:t>
      </w:r>
      <w:r>
        <w:rPr>
          <w:rFonts w:hint="default" w:ascii="Times New Roman" w:hAnsi="Times New Roman" w:cs="Times New Roman"/>
          <w:color w:val="auto"/>
          <w:kern w:val="0"/>
          <w:sz w:val="24"/>
          <w:szCs w:val="24"/>
        </w:rPr>
        <w:t>《合成树脂工业污染物排放标准》（GB 31572-2015）中）中表1的间接排放限值、云溪污水处理厂进水水质要求</w:t>
      </w:r>
      <w:r>
        <w:rPr>
          <w:rFonts w:hint="eastAsia" w:ascii="Times New Roman" w:hAnsi="Times New Roman" w:cs="Times New Roman"/>
          <w:color w:val="auto"/>
          <w:kern w:val="0"/>
          <w:sz w:val="24"/>
          <w:szCs w:val="24"/>
          <w:lang w:eastAsia="zh-CN"/>
        </w:rPr>
        <w:t>。</w:t>
      </w:r>
      <w:r>
        <w:rPr>
          <w:rFonts w:hint="eastAsia" w:ascii="Times New Roman" w:hAnsi="Times New Roman" w:cs="Times New Roman"/>
          <w:color w:val="auto"/>
          <w:kern w:val="0"/>
          <w:sz w:val="24"/>
          <w:szCs w:val="24"/>
          <w:lang w:val="en-US" w:eastAsia="zh-CN"/>
        </w:rPr>
        <w:t>废水不直接外排，对周边环境影响很小。生活污水通过隔油池、化粪池初步处理后进入污水处理站，再通过市政管网进入云溪污水处理厂进一步处理，不外排，对周边环境影响很小。</w:t>
      </w:r>
    </w:p>
    <w:p>
      <w:pPr>
        <w:pStyle w:val="13"/>
        <w:numPr>
          <w:ilvl w:val="0"/>
          <w:numId w:val="0"/>
        </w:numPr>
        <w:spacing w:line="360" w:lineRule="auto"/>
        <w:rPr>
          <w:rFonts w:hint="default" w:eastAsiaTheme="minorEastAsia"/>
          <w:color w:val="auto"/>
          <w:sz w:val="24"/>
          <w:szCs w:val="24"/>
          <w:lang w:val="en-US" w:eastAsia="zh-CN"/>
        </w:rPr>
      </w:pPr>
      <w:r>
        <w:rPr>
          <w:rFonts w:hint="eastAsia"/>
          <w:color w:val="auto"/>
          <w:sz w:val="24"/>
          <w:szCs w:val="24"/>
          <w:lang w:val="en-US" w:eastAsia="zh-CN"/>
        </w:rPr>
        <w:t>10.2.2 废气</w:t>
      </w:r>
    </w:p>
    <w:p>
      <w:pPr>
        <w:pStyle w:val="13"/>
        <w:adjustRightInd w:val="0"/>
        <w:snapToGrid w:val="0"/>
        <w:spacing w:after="0" w:line="360" w:lineRule="auto"/>
        <w:ind w:firstLine="480" w:firstLineChars="200"/>
        <w:rPr>
          <w:rFonts w:hint="default" w:ascii="Times New Roman" w:hAnsi="Times New Roman" w:cs="Times New Roman" w:eastAsiaTheme="minorEastAsia"/>
          <w:color w:val="auto"/>
          <w:sz w:val="24"/>
          <w:szCs w:val="24"/>
          <w:lang w:val="en-US" w:eastAsia="zh-CN"/>
        </w:rPr>
      </w:pPr>
      <w:r>
        <w:rPr>
          <w:rFonts w:hint="eastAsia"/>
          <w:color w:val="auto"/>
          <w:sz w:val="24"/>
          <w:szCs w:val="24"/>
          <w:lang w:val="en-US" w:eastAsia="zh-CN"/>
        </w:rPr>
        <w:t>生产废气主要是</w:t>
      </w:r>
      <w:r>
        <w:rPr>
          <w:rFonts w:ascii="Times New Roman" w:hAnsi="Times New Roman" w:cs="Times New Roman"/>
          <w:color w:val="auto"/>
          <w:sz w:val="24"/>
          <w:szCs w:val="24"/>
        </w:rPr>
        <w:t>反应釜、回收釜、高位槽、包装、储罐区</w:t>
      </w:r>
      <w:r>
        <w:rPr>
          <w:rFonts w:hint="eastAsia" w:ascii="Times New Roman" w:hAnsi="Times New Roman" w:cs="Times New Roman"/>
          <w:color w:val="auto"/>
          <w:sz w:val="24"/>
          <w:szCs w:val="24"/>
          <w:lang w:val="en-US" w:eastAsia="zh-CN"/>
        </w:rPr>
        <w:t>产生</w:t>
      </w:r>
      <w:r>
        <w:rPr>
          <w:rFonts w:ascii="Times New Roman" w:hAnsi="Times New Roman" w:cs="Times New Roman"/>
          <w:color w:val="auto"/>
          <w:sz w:val="24"/>
          <w:szCs w:val="24"/>
        </w:rPr>
        <w:t>废气</w:t>
      </w:r>
      <w:r>
        <w:rPr>
          <w:rFonts w:hint="eastAsia" w:ascii="Times New Roman" w:hAnsi="Times New Roman" w:cs="Times New Roman"/>
          <w:color w:val="auto"/>
          <w:sz w:val="24"/>
          <w:szCs w:val="24"/>
          <w:lang w:eastAsia="zh-CN"/>
        </w:rPr>
        <w:t>，</w:t>
      </w:r>
      <w:r>
        <w:rPr>
          <w:rFonts w:ascii="Times New Roman" w:hAnsi="Times New Roman" w:cs="Times New Roman"/>
          <w:color w:val="auto"/>
          <w:sz w:val="24"/>
          <w:szCs w:val="24"/>
        </w:rPr>
        <w:t>采取强</w:t>
      </w:r>
      <w:r>
        <w:rPr>
          <w:rFonts w:hint="eastAsia" w:ascii="Times New Roman" w:hAnsi="Times New Roman" w:cs="Times New Roman"/>
          <w:color w:val="auto"/>
          <w:sz w:val="24"/>
          <w:szCs w:val="24"/>
        </w:rPr>
        <w:t>制冷凝+水吸收+酸吸收+酸吸收+除雾板+酸吸收+活性炭吸附+30m排气筒排气筒</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污水处理站废气采用</w:t>
      </w:r>
      <w:r>
        <w:rPr>
          <w:rFonts w:hint="eastAsia" w:ascii="Times New Roman" w:hAnsi="Times New Roman" w:cs="Times New Roman"/>
          <w:color w:val="auto"/>
          <w:sz w:val="24"/>
          <w:szCs w:val="24"/>
        </w:rPr>
        <w:t>水吸收+酸吸收+</w:t>
      </w:r>
      <w:r>
        <w:rPr>
          <w:rFonts w:hint="eastAsia" w:ascii="Times New Roman" w:hAnsi="Times New Roman" w:cs="Times New Roman"/>
          <w:color w:val="auto"/>
          <w:sz w:val="24"/>
          <w:szCs w:val="24"/>
          <w:lang w:val="en-US" w:eastAsia="zh-CN"/>
        </w:rPr>
        <w:t>生物喷淋除臭装置+15m排气筒，</w:t>
      </w:r>
      <w:r>
        <w:rPr>
          <w:rFonts w:ascii="Times New Roman" w:hAnsi="Times New Roman" w:cs="Times New Roman"/>
          <w:color w:val="auto"/>
          <w:sz w:val="24"/>
          <w:szCs w:val="24"/>
        </w:rPr>
        <w:t>食堂饮食油烟通过油烟净化器处理后引至楼顶</w:t>
      </w:r>
      <w:r>
        <w:rPr>
          <w:rFonts w:hint="eastAsia" w:ascii="Times New Roman" w:hAnsi="Times New Roman" w:cs="Times New Roman"/>
          <w:color w:val="auto"/>
          <w:sz w:val="24"/>
          <w:szCs w:val="24"/>
          <w:lang w:val="en-US" w:eastAsia="zh-CN"/>
        </w:rPr>
        <w:t>烟囱</w:t>
      </w:r>
      <w:r>
        <w:rPr>
          <w:rFonts w:ascii="Times New Roman" w:hAnsi="Times New Roman" w:cs="Times New Roman"/>
          <w:color w:val="auto"/>
          <w:sz w:val="24"/>
          <w:szCs w:val="24"/>
        </w:rPr>
        <w:t>排放。</w:t>
      </w:r>
      <w:r>
        <w:rPr>
          <w:rFonts w:hint="eastAsia" w:ascii="Times New Roman" w:hAnsi="Times New Roman" w:cs="Times New Roman"/>
          <w:color w:val="auto"/>
          <w:sz w:val="24"/>
          <w:szCs w:val="24"/>
          <w:lang w:val="en-US" w:eastAsia="zh-CN"/>
        </w:rPr>
        <w:t>化验室产生废气通过酸液喷淋，污染物氯化氢和VOCs均能达标排放。通过以上措施，</w:t>
      </w:r>
      <w:r>
        <w:rPr>
          <w:rFonts w:hint="eastAsia" w:ascii="Times New Roman" w:hAnsi="Times New Roman" w:cs="Times New Roman"/>
          <w:color w:val="auto"/>
          <w:sz w:val="24"/>
          <w:szCs w:val="24"/>
        </w:rPr>
        <w:t>本项目有组织工艺废气中苯酚、甲醛、氨气满足《合成树脂工业污染物排放标准》（GB31572-2015）表5大气污染物特别排放限值；甲醇、TVOC满足《工业企业挥发性有机物排放控制标准》（DB/524-2020）</w:t>
      </w:r>
      <w:r>
        <w:rPr>
          <w:rFonts w:hint="eastAsia" w:ascii="Times New Roman" w:hAnsi="Times New Roman" w:cs="Times New Roman"/>
          <w:color w:val="auto"/>
          <w:sz w:val="24"/>
          <w:szCs w:val="24"/>
          <w:lang w:val="en-US" w:eastAsia="zh-CN"/>
        </w:rPr>
        <w:t>其他行业</w:t>
      </w:r>
      <w:r>
        <w:rPr>
          <w:rFonts w:hint="eastAsia" w:ascii="Times New Roman" w:hAnsi="Times New Roman" w:cs="Times New Roman"/>
          <w:color w:val="auto"/>
          <w:sz w:val="24"/>
          <w:szCs w:val="24"/>
        </w:rPr>
        <w:t>标准限值。有组织污水处理站废气中TVOC满足《工业企业挥发性有机物排放控制标准》（DB/524-2014）标准限值；氨气、硫化氢、臭气浓度满足《恶臭污染物排放标准》（GB14554-93）标准限值。</w:t>
      </w:r>
      <w:r>
        <w:rPr>
          <w:rFonts w:hint="eastAsia" w:ascii="Times New Roman" w:hAnsi="Times New Roman" w:cs="Times New Roman"/>
          <w:color w:val="auto"/>
          <w:sz w:val="24"/>
          <w:szCs w:val="24"/>
          <w:lang w:val="en-US" w:eastAsia="zh-CN"/>
        </w:rPr>
        <w:t>实验室废气中氯化氢满足《大气污染物综合排放标准》（GB16297-1996）标准限值。</w:t>
      </w:r>
      <w:r>
        <w:rPr>
          <w:rFonts w:hint="eastAsia" w:ascii="Times New Roman" w:hAnsi="Times New Roman" w:cs="Times New Roman"/>
          <w:color w:val="auto"/>
          <w:sz w:val="24"/>
          <w:szCs w:val="24"/>
        </w:rPr>
        <w:t>VOC满足《工业企业挥发性有机物排放控制标准》（DB/524-2020）标准限值</w:t>
      </w:r>
    </w:p>
    <w:p>
      <w:pPr>
        <w:pStyle w:val="13"/>
        <w:adjustRightInd w:val="0"/>
        <w:snapToGrid w:val="0"/>
        <w:spacing w:after="0" w:line="360" w:lineRule="auto"/>
        <w:rPr>
          <w:rFonts w:hint="default" w:ascii="Times New Roman" w:hAnsi="Times New Roman" w:cs="Times New Roman" w:eastAsiaTheme="minorEastAsia"/>
          <w:color w:val="auto"/>
          <w:sz w:val="24"/>
          <w:szCs w:val="24"/>
          <w:lang w:val="en-US" w:eastAsia="zh-CN"/>
        </w:rPr>
      </w:pPr>
      <w:r>
        <w:rPr>
          <w:rFonts w:hint="eastAsia" w:ascii="Times New Roman" w:hAnsi="Times New Roman" w:cs="Times New Roman"/>
          <w:color w:val="auto"/>
          <w:sz w:val="24"/>
          <w:szCs w:val="24"/>
        </w:rPr>
        <w:t>厂界四个无组织硫化氢、氨气、臭气浓度满足《恶臭污染物排放标准》（GB14554-93）标准限值，非甲烷总烃、苯酚、甲醇、甲醛满足《挥发性有机物无组织排放控制标准》（GB37822-2019）</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废气对周边环境影响可以接受。</w:t>
      </w:r>
    </w:p>
    <w:p>
      <w:pPr>
        <w:pStyle w:val="13"/>
        <w:numPr>
          <w:ilvl w:val="0"/>
          <w:numId w:val="0"/>
        </w:numPr>
        <w:ind w:firstLine="480" w:firstLineChars="200"/>
        <w:rPr>
          <w:rFonts w:hint="default" w:eastAsiaTheme="minorEastAsia"/>
          <w:color w:val="auto"/>
          <w:lang w:val="en-US" w:eastAsia="zh-CN"/>
        </w:rPr>
      </w:pPr>
      <w:r>
        <w:rPr>
          <w:rFonts w:hint="eastAsia"/>
          <w:color w:val="auto"/>
          <w:sz w:val="24"/>
          <w:szCs w:val="24"/>
          <w:lang w:val="en-US" w:eastAsia="zh-CN"/>
        </w:rPr>
        <w:t>10.2.3 噪声</w:t>
      </w:r>
    </w:p>
    <w:p>
      <w:pPr>
        <w:pStyle w:val="13"/>
        <w:numPr>
          <w:ilvl w:val="0"/>
          <w:numId w:val="0"/>
        </w:numPr>
        <w:spacing w:line="360" w:lineRule="auto"/>
        <w:ind w:firstLine="480" w:firstLineChars="200"/>
        <w:rPr>
          <w:rFonts w:hint="default" w:eastAsiaTheme="minorEastAsia"/>
          <w:color w:val="auto"/>
          <w:sz w:val="24"/>
          <w:szCs w:val="24"/>
          <w:lang w:val="en-US" w:eastAsia="zh-CN"/>
        </w:rPr>
      </w:pPr>
      <w:r>
        <w:rPr>
          <w:rFonts w:ascii="Times New Roman" w:hAnsi="Times New Roman" w:cs="Times New Roman"/>
          <w:color w:val="auto"/>
          <w:sz w:val="24"/>
          <w:szCs w:val="24"/>
        </w:rPr>
        <w:t>采用低噪声设备，合理安排工作时间，对产生噪声的设备和工序进行合理布局，确保厂界噪声达到《工业企业厂界环境噪声排放标准》(GB12348-2008)中的3类标准要求。</w:t>
      </w:r>
      <w:r>
        <w:rPr>
          <w:rFonts w:hint="eastAsia" w:ascii="Times New Roman" w:hAnsi="Times New Roman" w:cs="Times New Roman"/>
          <w:color w:val="auto"/>
          <w:sz w:val="24"/>
          <w:szCs w:val="24"/>
          <w:lang w:val="en-US" w:eastAsia="zh-CN"/>
        </w:rPr>
        <w:t>噪声对周边环境影响较小。</w:t>
      </w:r>
    </w:p>
    <w:p>
      <w:pPr>
        <w:spacing w:line="360" w:lineRule="auto"/>
        <w:outlineLvl w:val="0"/>
        <w:rPr>
          <w:rFonts w:ascii="Times New Roman" w:hAnsi="Times New Roman" w:cs="Times New Roman"/>
          <w:b/>
          <w:color w:val="auto"/>
          <w:sz w:val="32"/>
          <w:szCs w:val="32"/>
        </w:rPr>
      </w:pPr>
      <w:bookmarkStart w:id="120" w:name="_Toc29309"/>
      <w:r>
        <w:rPr>
          <w:rFonts w:hint="default" w:ascii="Times New Roman" w:hAnsi="Times New Roman" w:cs="Times New Roman"/>
          <w:b/>
          <w:color w:val="auto"/>
          <w:sz w:val="32"/>
          <w:szCs w:val="32"/>
        </w:rPr>
        <w:t>1</w:t>
      </w:r>
      <w:r>
        <w:rPr>
          <w:rFonts w:hint="eastAsia" w:ascii="Times New Roman" w:hAnsi="Times New Roman" w:cs="Times New Roman"/>
          <w:b/>
          <w:color w:val="auto"/>
          <w:sz w:val="32"/>
          <w:szCs w:val="32"/>
          <w:lang w:val="en-US" w:eastAsia="zh-CN"/>
        </w:rPr>
        <w:t>1</w:t>
      </w:r>
      <w:r>
        <w:rPr>
          <w:rFonts w:hint="default" w:ascii="Times New Roman" w:hAnsi="Times New Roman" w:cs="Times New Roman"/>
          <w:b/>
          <w:color w:val="auto"/>
          <w:sz w:val="32"/>
          <w:szCs w:val="32"/>
        </w:rPr>
        <w:t>、验收监测结论及改进措施</w:t>
      </w:r>
      <w:bookmarkEnd w:id="115"/>
      <w:bookmarkEnd w:id="120"/>
    </w:p>
    <w:p>
      <w:pPr>
        <w:spacing w:line="360" w:lineRule="auto"/>
        <w:outlineLvl w:val="1"/>
        <w:rPr>
          <w:rFonts w:ascii="Times New Roman" w:hAnsi="Times New Roman" w:cs="Times New Roman"/>
          <w:b/>
          <w:color w:val="auto"/>
          <w:sz w:val="30"/>
          <w:szCs w:val="30"/>
        </w:rPr>
      </w:pPr>
      <w:bookmarkStart w:id="121" w:name="_Toc10867"/>
      <w:bookmarkStart w:id="122" w:name="_Toc85120913"/>
      <w:r>
        <w:rPr>
          <w:rFonts w:hint="default" w:ascii="Times New Roman" w:hAnsi="Times New Roman" w:cs="Times New Roman"/>
          <w:b/>
          <w:color w:val="auto"/>
          <w:sz w:val="30"/>
          <w:szCs w:val="30"/>
        </w:rPr>
        <w:t>1</w:t>
      </w:r>
      <w:r>
        <w:rPr>
          <w:rFonts w:hint="eastAsia" w:ascii="Times New Roman" w:hAnsi="Times New Roman" w:cs="Times New Roman"/>
          <w:b/>
          <w:color w:val="auto"/>
          <w:sz w:val="30"/>
          <w:szCs w:val="30"/>
          <w:lang w:eastAsia="zh-CN"/>
        </w:rPr>
        <w:t>1</w:t>
      </w:r>
      <w:r>
        <w:rPr>
          <w:rFonts w:hint="default" w:ascii="Times New Roman" w:hAnsi="Times New Roman" w:cs="Times New Roman"/>
          <w:b/>
          <w:color w:val="auto"/>
          <w:sz w:val="30"/>
          <w:szCs w:val="30"/>
        </w:rPr>
        <w:t xml:space="preserve">.1  </w:t>
      </w:r>
      <w:r>
        <w:rPr>
          <w:rFonts w:hint="default" w:ascii="Times New Roman" w:hAnsi="Times New Roman" w:cs="Times New Roman"/>
          <w:b/>
          <w:color w:val="auto"/>
          <w:sz w:val="28"/>
          <w:szCs w:val="28"/>
        </w:rPr>
        <w:t>验收监测结论</w:t>
      </w:r>
      <w:bookmarkEnd w:id="121"/>
      <w:bookmarkEnd w:id="122"/>
    </w:p>
    <w:p>
      <w:pPr>
        <w:spacing w:line="360" w:lineRule="auto"/>
        <w:ind w:firstLine="480" w:firstLineChars="200"/>
        <w:rPr>
          <w:rFonts w:ascii="Times New Roman" w:hAnsi="Times New Roman" w:cs="Times New Roman"/>
          <w:color w:val="auto"/>
          <w:sz w:val="24"/>
          <w:szCs w:val="24"/>
        </w:rPr>
      </w:pPr>
      <w:r>
        <w:rPr>
          <w:rFonts w:hint="default" w:ascii="Times New Roman" w:hAnsi="Times New Roman" w:cs="Times New Roman"/>
          <w:color w:val="auto"/>
          <w:kern w:val="0"/>
          <w:sz w:val="24"/>
          <w:szCs w:val="24"/>
        </w:rPr>
        <w:t>岳阳中展科技有限公司12.6kt/a特种胺项目</w:t>
      </w:r>
      <w:r>
        <w:rPr>
          <w:rFonts w:hint="default" w:ascii="Times New Roman" w:hAnsi="Times New Roman" w:cs="Times New Roman"/>
          <w:color w:val="auto"/>
          <w:sz w:val="24"/>
          <w:szCs w:val="24"/>
        </w:rPr>
        <w:t>的建设执行了国家环境保护竣工验收的要求，各项环保设施运行正常，公司内都有健全的环保制度</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见附件13</w:t>
      </w:r>
      <w:r>
        <w:rPr>
          <w:rFonts w:hint="default" w:ascii="Times New Roman" w:hAnsi="Times New Roman" w:cs="Times New Roman"/>
          <w:color w:val="auto"/>
          <w:sz w:val="24"/>
          <w:szCs w:val="24"/>
        </w:rPr>
        <w:t>。</w:t>
      </w:r>
    </w:p>
    <w:p>
      <w:pPr>
        <w:spacing w:line="360" w:lineRule="auto"/>
        <w:ind w:firstLine="480" w:firstLineChars="200"/>
        <w:rPr>
          <w:rFonts w:ascii="Times New Roman" w:hAnsi="Times New Roman" w:cs="Times New Roman"/>
          <w:color w:val="auto"/>
          <w:sz w:val="24"/>
          <w:szCs w:val="24"/>
        </w:rPr>
      </w:pPr>
      <w:r>
        <w:rPr>
          <w:rFonts w:hint="default" w:ascii="Times New Roman" w:hAnsi="Times New Roman" w:cs="Times New Roman"/>
          <w:color w:val="auto"/>
          <w:sz w:val="24"/>
          <w:szCs w:val="24"/>
        </w:rPr>
        <w:t>验收监测期间生产工况情况符合验收监测要求，无不良天气等因素影响，验收监测工作严格按有关规定进行，验收监测结果可以反映实际排放情况。</w:t>
      </w:r>
    </w:p>
    <w:p>
      <w:pPr>
        <w:spacing w:line="360" w:lineRule="auto"/>
        <w:outlineLvl w:val="2"/>
        <w:rPr>
          <w:rFonts w:ascii="Times New Roman" w:hAnsi="Times New Roman" w:cs="Times New Roman"/>
          <w:b/>
          <w:color w:val="auto"/>
          <w:sz w:val="28"/>
          <w:szCs w:val="28"/>
        </w:rPr>
      </w:pPr>
      <w:bookmarkStart w:id="123" w:name="_Toc20143"/>
      <w:bookmarkStart w:id="124" w:name="_Toc85120914"/>
      <w:r>
        <w:rPr>
          <w:rFonts w:hint="default" w:ascii="Times New Roman" w:hAnsi="Times New Roman" w:cs="Times New Roman"/>
          <w:b/>
          <w:color w:val="auto"/>
          <w:sz w:val="28"/>
          <w:szCs w:val="28"/>
        </w:rPr>
        <w:t>1</w:t>
      </w:r>
      <w:r>
        <w:rPr>
          <w:rFonts w:hint="eastAsia" w:ascii="Times New Roman" w:hAnsi="Times New Roman" w:cs="Times New Roman"/>
          <w:b/>
          <w:color w:val="auto"/>
          <w:sz w:val="28"/>
          <w:szCs w:val="28"/>
          <w:lang w:eastAsia="zh-CN"/>
        </w:rPr>
        <w:t>1</w:t>
      </w:r>
      <w:r>
        <w:rPr>
          <w:rFonts w:hint="default" w:ascii="Times New Roman" w:hAnsi="Times New Roman" w:cs="Times New Roman"/>
          <w:b/>
          <w:color w:val="auto"/>
          <w:sz w:val="28"/>
          <w:szCs w:val="28"/>
        </w:rPr>
        <w:t>.1.1  废气排放验收监测结论</w:t>
      </w:r>
      <w:bookmarkEnd w:id="123"/>
      <w:bookmarkEnd w:id="124"/>
    </w:p>
    <w:p>
      <w:pPr>
        <w:spacing w:line="360" w:lineRule="auto"/>
        <w:ind w:firstLine="480" w:firstLineChars="200"/>
        <w:rPr>
          <w:rFonts w:hint="default" w:ascii="Times New Roman" w:hAnsi="Times New Roman" w:cs="Times New Roman" w:eastAsiaTheme="minorEastAsia"/>
          <w:color w:val="auto"/>
          <w:sz w:val="24"/>
          <w:szCs w:val="24"/>
          <w:lang w:val="en-US" w:eastAsia="zh-CN"/>
        </w:rPr>
      </w:pPr>
      <w:bookmarkStart w:id="125" w:name="_Hlk92353339"/>
      <w:r>
        <w:rPr>
          <w:rFonts w:hint="default" w:ascii="Times New Roman" w:hAnsi="Times New Roman" w:cs="Times New Roman"/>
          <w:color w:val="auto"/>
          <w:sz w:val="24"/>
          <w:szCs w:val="24"/>
        </w:rPr>
        <w:t>本项目本次验收期间，</w:t>
      </w:r>
      <w:r>
        <w:rPr>
          <w:rFonts w:ascii="Times New Roman" w:hAnsi="Times New Roman" w:cs="Times New Roman"/>
          <w:color w:val="auto"/>
          <w:sz w:val="24"/>
          <w:szCs w:val="24"/>
        </w:rPr>
        <w:t>根据检测报告</w:t>
      </w:r>
      <w:r>
        <w:rPr>
          <w:rFonts w:hint="default" w:ascii="Times New Roman" w:hAnsi="Times New Roman" w:cs="Times New Roman"/>
          <w:color w:val="auto"/>
          <w:sz w:val="24"/>
          <w:szCs w:val="24"/>
        </w:rPr>
        <w:t>，</w:t>
      </w:r>
      <w:r>
        <w:rPr>
          <w:rFonts w:ascii="Times New Roman" w:hAnsi="Times New Roman" w:cs="Times New Roman"/>
          <w:color w:val="auto"/>
          <w:sz w:val="24"/>
          <w:szCs w:val="24"/>
        </w:rPr>
        <w:t>本项目</w:t>
      </w:r>
      <w:r>
        <w:rPr>
          <w:rFonts w:hint="default" w:ascii="Times New Roman" w:hAnsi="Times New Roman" w:cs="Times New Roman"/>
          <w:color w:val="auto"/>
          <w:sz w:val="24"/>
          <w:szCs w:val="24"/>
        </w:rPr>
        <w:t>有组织工艺废气中苯酚、甲醛、氨气满足《合成树脂工业污染物排放标准》（GB31572-2015）表5大气污染物特别排放限值；甲醇、TVOC满足《工业企业挥发性有机物排放控制标准》（DB</w:t>
      </w:r>
      <w:r>
        <w:rPr>
          <w:rFonts w:hint="eastAsia" w:ascii="Times New Roman" w:hAnsi="Times New Roman" w:cs="Times New Roman"/>
          <w:color w:val="auto"/>
          <w:sz w:val="24"/>
          <w:szCs w:val="24"/>
          <w:lang w:val="en-US" w:eastAsia="zh-CN"/>
        </w:rPr>
        <w:t>12</w:t>
      </w:r>
      <w:r>
        <w:rPr>
          <w:rFonts w:hint="default" w:ascii="Times New Roman" w:hAnsi="Times New Roman" w:cs="Times New Roman"/>
          <w:color w:val="auto"/>
          <w:sz w:val="24"/>
          <w:szCs w:val="24"/>
        </w:rPr>
        <w:t>/524-20</w:t>
      </w:r>
      <w:r>
        <w:rPr>
          <w:rFonts w:hint="eastAsia" w:ascii="Times New Roman" w:hAnsi="Times New Roman" w:cs="Times New Roman"/>
          <w:color w:val="auto"/>
          <w:sz w:val="24"/>
          <w:szCs w:val="24"/>
          <w:lang w:eastAsia="zh-CN"/>
        </w:rPr>
        <w:t>2</w:t>
      </w:r>
      <w:r>
        <w:rPr>
          <w:rFonts w:hint="eastAsia" w:ascii="Times New Roman" w:hAnsi="Times New Roman" w:cs="Times New Roman"/>
          <w:color w:val="auto"/>
          <w:sz w:val="24"/>
          <w:szCs w:val="24"/>
          <w:lang w:val="en-US" w:eastAsia="zh-CN"/>
        </w:rPr>
        <w:t>0</w:t>
      </w:r>
      <w:r>
        <w:rPr>
          <w:rFonts w:hint="default" w:ascii="Times New Roman" w:hAnsi="Times New Roman" w:cs="Times New Roman"/>
          <w:color w:val="auto"/>
          <w:sz w:val="24"/>
          <w:szCs w:val="24"/>
        </w:rPr>
        <w:t>）</w:t>
      </w:r>
      <w:r>
        <w:rPr>
          <w:rFonts w:hint="eastAsia" w:ascii="Times New Roman" w:hAnsi="Times New Roman" w:cs="Times New Roman"/>
          <w:color w:val="auto"/>
          <w:sz w:val="24"/>
          <w:szCs w:val="24"/>
          <w:lang w:val="en-US" w:eastAsia="zh-CN"/>
        </w:rPr>
        <w:t>其他行业</w:t>
      </w:r>
      <w:r>
        <w:rPr>
          <w:rFonts w:hint="default" w:ascii="Times New Roman" w:hAnsi="Times New Roman" w:cs="Times New Roman"/>
          <w:color w:val="auto"/>
          <w:sz w:val="24"/>
          <w:szCs w:val="24"/>
        </w:rPr>
        <w:t>标准限值。有组织污水处理站废气中TVOC满足《工业企业挥发性有机物排放控制标准》（DB/524-20</w:t>
      </w:r>
      <w:r>
        <w:rPr>
          <w:rFonts w:hint="eastAsia" w:ascii="Times New Roman" w:hAnsi="Times New Roman" w:cs="Times New Roman"/>
          <w:color w:val="auto"/>
          <w:sz w:val="24"/>
          <w:szCs w:val="24"/>
          <w:lang w:eastAsia="zh-CN"/>
        </w:rPr>
        <w:t>2</w:t>
      </w:r>
      <w:r>
        <w:rPr>
          <w:rFonts w:hint="eastAsia" w:ascii="Times New Roman" w:hAnsi="Times New Roman" w:cs="Times New Roman"/>
          <w:color w:val="auto"/>
          <w:sz w:val="24"/>
          <w:szCs w:val="24"/>
          <w:lang w:val="en-US" w:eastAsia="zh-CN"/>
        </w:rPr>
        <w:t>0</w:t>
      </w:r>
      <w:r>
        <w:rPr>
          <w:rFonts w:hint="default" w:ascii="Times New Roman" w:hAnsi="Times New Roman" w:cs="Times New Roman"/>
          <w:color w:val="auto"/>
          <w:sz w:val="24"/>
          <w:szCs w:val="24"/>
        </w:rPr>
        <w:t>）标准限值；氨气、硫化氢、臭气浓度满足《恶臭污染物排放标准》（GB14554-93）标准限值。</w:t>
      </w:r>
      <w:r>
        <w:rPr>
          <w:rFonts w:hint="eastAsia" w:ascii="Times New Roman" w:hAnsi="Times New Roman" w:cs="Times New Roman"/>
          <w:color w:val="auto"/>
          <w:sz w:val="24"/>
          <w:szCs w:val="24"/>
          <w:lang w:val="en-US" w:eastAsia="zh-CN"/>
        </w:rPr>
        <w:t>实验室废气氯化氢满足《大气污染物综合排放标准》GB16297-1996标准限值。</w:t>
      </w:r>
    </w:p>
    <w:p>
      <w:pPr>
        <w:spacing w:line="360" w:lineRule="auto"/>
        <w:ind w:firstLine="480" w:firstLineChars="200"/>
        <w:rPr>
          <w:rFonts w:ascii="Times New Roman" w:hAnsi="Times New Roman" w:cs="Times New Roman"/>
          <w:color w:val="auto"/>
          <w:sz w:val="24"/>
          <w:szCs w:val="24"/>
          <w:highlight w:val="cyan"/>
        </w:rPr>
      </w:pPr>
      <w:r>
        <w:rPr>
          <w:rFonts w:hint="default" w:ascii="Times New Roman" w:hAnsi="Times New Roman" w:cs="Times New Roman"/>
          <w:color w:val="auto"/>
          <w:sz w:val="24"/>
          <w:szCs w:val="24"/>
        </w:rPr>
        <w:t>厂界四个</w:t>
      </w:r>
      <w:r>
        <w:rPr>
          <w:rFonts w:ascii="Times New Roman" w:hAnsi="Times New Roman" w:cs="Times New Roman"/>
          <w:color w:val="auto"/>
          <w:sz w:val="24"/>
          <w:szCs w:val="24"/>
        </w:rPr>
        <w:t>无组织</w:t>
      </w:r>
      <w:r>
        <w:rPr>
          <w:rFonts w:hint="default" w:ascii="Times New Roman" w:hAnsi="Times New Roman" w:cs="Times New Roman"/>
          <w:color w:val="auto"/>
          <w:sz w:val="24"/>
          <w:szCs w:val="24"/>
        </w:rPr>
        <w:t>硫化氢、氨气、臭气浓度满足《恶臭污染物排放标准》（GB14554-93）标准限值</w:t>
      </w:r>
      <w:r>
        <w:rPr>
          <w:rFonts w:hint="default" w:ascii="Times New Roman" w:hAnsi="Times New Roman" w:cs="Times New Roman"/>
          <w:color w:val="auto"/>
          <w:kern w:val="0"/>
          <w:sz w:val="24"/>
          <w:szCs w:val="24"/>
        </w:rPr>
        <w:t>，</w:t>
      </w:r>
      <w:r>
        <w:rPr>
          <w:rFonts w:hint="eastAsia" w:ascii="Times New Roman" w:hAnsi="Times New Roman" w:cs="Times New Roman"/>
          <w:color w:val="auto"/>
          <w:kern w:val="0"/>
          <w:sz w:val="24"/>
          <w:szCs w:val="24"/>
          <w:lang w:val="en-US" w:eastAsia="zh-CN"/>
        </w:rPr>
        <w:t>项目上风向、下风向、</w:t>
      </w:r>
      <w:r>
        <w:rPr>
          <w:rFonts w:hint="eastAsia" w:ascii="Times New Roman" w:hAnsi="Times New Roman" w:cs="Times New Roman"/>
          <w:color w:val="auto"/>
          <w:kern w:val="0"/>
          <w:sz w:val="24"/>
          <w:szCs w:val="24"/>
        </w:rPr>
        <w:t>车间一（生产车间）外1m</w:t>
      </w:r>
      <w:r>
        <w:rPr>
          <w:rFonts w:hint="eastAsia" w:ascii="Times New Roman" w:hAnsi="Times New Roman" w:cs="Times New Roman"/>
          <w:color w:val="auto"/>
          <w:kern w:val="0"/>
          <w:sz w:val="24"/>
          <w:szCs w:val="24"/>
          <w:lang w:eastAsia="zh-CN"/>
        </w:rPr>
        <w:t>的</w:t>
      </w:r>
      <w:r>
        <w:rPr>
          <w:rFonts w:hint="eastAsia" w:ascii="Times New Roman" w:hAnsi="Times New Roman" w:cs="Times New Roman"/>
          <w:color w:val="auto"/>
          <w:kern w:val="0"/>
          <w:sz w:val="24"/>
          <w:szCs w:val="24"/>
          <w:lang w:val="en-US" w:eastAsia="zh-CN"/>
        </w:rPr>
        <w:t>无组织</w:t>
      </w:r>
      <w:r>
        <w:rPr>
          <w:rFonts w:hint="default" w:ascii="Times New Roman" w:hAnsi="Times New Roman" w:cs="Times New Roman"/>
          <w:color w:val="auto"/>
          <w:kern w:val="0"/>
          <w:sz w:val="24"/>
          <w:szCs w:val="24"/>
        </w:rPr>
        <w:t>非甲烷总烃、苯酚、甲醇、甲醛</w:t>
      </w:r>
      <w:r>
        <w:rPr>
          <w:rFonts w:hint="eastAsia" w:ascii="Times New Roman" w:hAnsi="Times New Roman" w:cs="Times New Roman"/>
          <w:color w:val="auto"/>
          <w:kern w:val="0"/>
          <w:sz w:val="24"/>
          <w:szCs w:val="24"/>
          <w:lang w:val="en-US" w:eastAsia="zh-CN"/>
        </w:rPr>
        <w:t>均</w:t>
      </w:r>
      <w:r>
        <w:rPr>
          <w:rFonts w:hint="default" w:ascii="Times New Roman" w:hAnsi="Times New Roman" w:cs="Times New Roman"/>
          <w:color w:val="auto"/>
          <w:kern w:val="0"/>
          <w:sz w:val="24"/>
          <w:szCs w:val="24"/>
        </w:rPr>
        <w:t>满足《挥发性有机物无组织排放控制标准》（GB37822-2019）。</w:t>
      </w:r>
    </w:p>
    <w:bookmarkEnd w:id="125"/>
    <w:p>
      <w:pPr>
        <w:spacing w:line="360" w:lineRule="auto"/>
        <w:outlineLvl w:val="2"/>
        <w:rPr>
          <w:rFonts w:ascii="Times New Roman" w:hAnsi="Times New Roman" w:cs="Times New Roman"/>
          <w:b/>
          <w:color w:val="auto"/>
          <w:sz w:val="28"/>
          <w:szCs w:val="28"/>
        </w:rPr>
      </w:pPr>
      <w:bookmarkStart w:id="126" w:name="_Toc5335"/>
      <w:bookmarkStart w:id="127" w:name="_Toc85120915"/>
      <w:r>
        <w:rPr>
          <w:rFonts w:hint="default" w:ascii="Times New Roman" w:hAnsi="Times New Roman" w:cs="Times New Roman"/>
          <w:b/>
          <w:color w:val="auto"/>
          <w:sz w:val="28"/>
          <w:szCs w:val="28"/>
        </w:rPr>
        <w:t>1</w:t>
      </w:r>
      <w:r>
        <w:rPr>
          <w:rFonts w:hint="eastAsia" w:ascii="Times New Roman" w:hAnsi="Times New Roman" w:cs="Times New Roman"/>
          <w:b/>
          <w:color w:val="auto"/>
          <w:sz w:val="28"/>
          <w:szCs w:val="28"/>
          <w:lang w:eastAsia="zh-CN"/>
        </w:rPr>
        <w:t>1</w:t>
      </w:r>
      <w:r>
        <w:rPr>
          <w:rFonts w:hint="default" w:ascii="Times New Roman" w:hAnsi="Times New Roman" w:cs="Times New Roman"/>
          <w:b/>
          <w:color w:val="auto"/>
          <w:sz w:val="28"/>
          <w:szCs w:val="28"/>
        </w:rPr>
        <w:t>.1.2  废水排放验收监测结论</w:t>
      </w:r>
      <w:bookmarkEnd w:id="126"/>
      <w:bookmarkEnd w:id="127"/>
    </w:p>
    <w:p>
      <w:pPr>
        <w:spacing w:line="360" w:lineRule="auto"/>
        <w:ind w:firstLine="480" w:firstLineChars="200"/>
        <w:rPr>
          <w:rFonts w:ascii="Times New Roman" w:hAnsi="Times New Roman" w:cs="Times New Roman"/>
          <w:color w:val="auto"/>
          <w:sz w:val="24"/>
          <w:szCs w:val="24"/>
        </w:rPr>
      </w:pPr>
      <w:bookmarkStart w:id="128" w:name="_Hlk92353343"/>
      <w:r>
        <w:rPr>
          <w:rFonts w:hint="default" w:ascii="Times New Roman" w:hAnsi="Times New Roman" w:cs="Times New Roman"/>
          <w:color w:val="auto"/>
          <w:sz w:val="24"/>
          <w:szCs w:val="24"/>
        </w:rPr>
        <w:t>本项目本次验收期间，</w:t>
      </w:r>
      <w:r>
        <w:rPr>
          <w:rFonts w:ascii="Times New Roman" w:hAnsi="Times New Roman" w:cs="Times New Roman"/>
          <w:color w:val="auto"/>
          <w:sz w:val="24"/>
          <w:szCs w:val="24"/>
        </w:rPr>
        <w:t>根据检测报告</w:t>
      </w:r>
      <w:r>
        <w:rPr>
          <w:rFonts w:hint="default" w:ascii="Times New Roman" w:hAnsi="Times New Roman" w:cs="Times New Roman"/>
          <w:color w:val="auto"/>
          <w:sz w:val="24"/>
          <w:szCs w:val="24"/>
        </w:rPr>
        <w:t>，项目废水各因子满足</w:t>
      </w:r>
      <w:r>
        <w:rPr>
          <w:rFonts w:hint="default" w:ascii="Times New Roman" w:hAnsi="Times New Roman" w:cs="Times New Roman"/>
          <w:color w:val="auto"/>
          <w:kern w:val="0"/>
          <w:sz w:val="24"/>
          <w:szCs w:val="24"/>
        </w:rPr>
        <w:t>《合成树脂工业污染物排放标准》（GB 31572-2015）中）中表1的间接排放限值、云溪污水处理厂进水水质要求。</w:t>
      </w:r>
    </w:p>
    <w:bookmarkEnd w:id="128"/>
    <w:p>
      <w:pPr>
        <w:spacing w:line="360" w:lineRule="auto"/>
        <w:outlineLvl w:val="2"/>
        <w:rPr>
          <w:rFonts w:ascii="Times New Roman" w:hAnsi="Times New Roman" w:cs="Times New Roman"/>
          <w:b/>
          <w:color w:val="auto"/>
          <w:sz w:val="28"/>
          <w:szCs w:val="28"/>
        </w:rPr>
      </w:pPr>
      <w:bookmarkStart w:id="129" w:name="_Toc9275"/>
      <w:bookmarkStart w:id="130" w:name="_Toc85120916"/>
      <w:r>
        <w:rPr>
          <w:rFonts w:hint="default" w:ascii="Times New Roman" w:hAnsi="Times New Roman" w:cs="Times New Roman"/>
          <w:b/>
          <w:color w:val="auto"/>
          <w:sz w:val="28"/>
          <w:szCs w:val="28"/>
        </w:rPr>
        <w:t>1</w:t>
      </w:r>
      <w:r>
        <w:rPr>
          <w:rFonts w:hint="eastAsia" w:ascii="Times New Roman" w:hAnsi="Times New Roman" w:cs="Times New Roman"/>
          <w:b/>
          <w:color w:val="auto"/>
          <w:sz w:val="28"/>
          <w:szCs w:val="28"/>
          <w:lang w:eastAsia="zh-CN"/>
        </w:rPr>
        <w:t>1</w:t>
      </w:r>
      <w:r>
        <w:rPr>
          <w:rFonts w:hint="default" w:ascii="Times New Roman" w:hAnsi="Times New Roman" w:cs="Times New Roman"/>
          <w:b/>
          <w:color w:val="auto"/>
          <w:sz w:val="28"/>
          <w:szCs w:val="28"/>
        </w:rPr>
        <w:t>.1.3  噪声验收监测结论</w:t>
      </w:r>
      <w:bookmarkEnd w:id="129"/>
      <w:bookmarkEnd w:id="130"/>
    </w:p>
    <w:p>
      <w:pPr>
        <w:spacing w:line="360" w:lineRule="auto"/>
        <w:ind w:firstLine="480" w:firstLineChars="200"/>
        <w:rPr>
          <w:rFonts w:ascii="Times New Roman" w:hAnsi="Times New Roman" w:cs="Times New Roman"/>
          <w:color w:val="auto"/>
          <w:sz w:val="24"/>
        </w:rPr>
      </w:pPr>
      <w:bookmarkStart w:id="131" w:name="_Hlk92353349"/>
      <w:r>
        <w:rPr>
          <w:rFonts w:hint="default" w:ascii="Times New Roman" w:hAnsi="Times New Roman" w:cs="Times New Roman"/>
          <w:color w:val="auto"/>
          <w:sz w:val="24"/>
          <w:szCs w:val="24"/>
        </w:rPr>
        <w:t>验收监测期间，</w:t>
      </w:r>
      <w:r>
        <w:rPr>
          <w:rFonts w:ascii="Times New Roman" w:hAnsi="Times New Roman" w:cs="Times New Roman"/>
          <w:color w:val="auto"/>
          <w:sz w:val="24"/>
          <w:szCs w:val="24"/>
        </w:rPr>
        <w:t>根据检测报告</w:t>
      </w:r>
      <w:r>
        <w:rPr>
          <w:rFonts w:hint="default" w:ascii="Times New Roman" w:hAnsi="Times New Roman" w:cs="Times New Roman"/>
          <w:color w:val="auto"/>
          <w:sz w:val="24"/>
          <w:szCs w:val="24"/>
        </w:rPr>
        <w:t>，本项目</w:t>
      </w:r>
      <w:r>
        <w:rPr>
          <w:rFonts w:ascii="Times New Roman" w:hAnsi="Times New Roman" w:cs="Times New Roman"/>
          <w:color w:val="auto"/>
          <w:sz w:val="24"/>
        </w:rPr>
        <w:t>厂界噪声满足《工业企业厂界环境噪声排放标准》（GB12348-2008）中3类标准要求</w:t>
      </w:r>
      <w:r>
        <w:rPr>
          <w:rFonts w:hint="default" w:ascii="Times New Roman" w:hAnsi="Times New Roman" w:cs="Times New Roman"/>
          <w:color w:val="auto"/>
          <w:spacing w:val="6"/>
          <w:sz w:val="24"/>
        </w:rPr>
        <w:t>。</w:t>
      </w:r>
    </w:p>
    <w:bookmarkEnd w:id="131"/>
    <w:p>
      <w:pPr>
        <w:spacing w:line="360" w:lineRule="auto"/>
        <w:outlineLvl w:val="2"/>
        <w:rPr>
          <w:rFonts w:ascii="Times New Roman" w:hAnsi="Times New Roman" w:cs="Times New Roman"/>
          <w:b/>
          <w:color w:val="auto"/>
          <w:sz w:val="28"/>
          <w:szCs w:val="28"/>
        </w:rPr>
      </w:pPr>
      <w:bookmarkStart w:id="132" w:name="_Toc8489"/>
      <w:bookmarkStart w:id="133" w:name="_Toc85120917"/>
      <w:r>
        <w:rPr>
          <w:rFonts w:hint="default" w:ascii="Times New Roman" w:hAnsi="Times New Roman" w:cs="Times New Roman"/>
          <w:b/>
          <w:color w:val="auto"/>
          <w:sz w:val="28"/>
          <w:szCs w:val="28"/>
        </w:rPr>
        <w:t>1</w:t>
      </w:r>
      <w:r>
        <w:rPr>
          <w:rFonts w:hint="eastAsia" w:ascii="Times New Roman" w:hAnsi="Times New Roman" w:cs="Times New Roman"/>
          <w:b/>
          <w:color w:val="auto"/>
          <w:sz w:val="28"/>
          <w:szCs w:val="28"/>
          <w:lang w:eastAsia="zh-CN"/>
        </w:rPr>
        <w:t>1</w:t>
      </w:r>
      <w:r>
        <w:rPr>
          <w:rFonts w:hint="default" w:ascii="Times New Roman" w:hAnsi="Times New Roman" w:cs="Times New Roman"/>
          <w:b/>
          <w:color w:val="auto"/>
          <w:sz w:val="28"/>
          <w:szCs w:val="28"/>
        </w:rPr>
        <w:t>.1.4  固体废物处置情况调查结论</w:t>
      </w:r>
      <w:bookmarkEnd w:id="132"/>
      <w:bookmarkEnd w:id="133"/>
    </w:p>
    <w:p>
      <w:pPr>
        <w:spacing w:line="360" w:lineRule="auto"/>
        <w:ind w:firstLine="504" w:firstLineChars="200"/>
        <w:rPr>
          <w:rFonts w:ascii="Times New Roman" w:hAnsi="Times New Roman" w:cs="Times New Roman"/>
          <w:bCs/>
          <w:color w:val="auto"/>
          <w:sz w:val="24"/>
          <w:szCs w:val="24"/>
        </w:rPr>
      </w:pPr>
      <w:bookmarkStart w:id="134" w:name="_Hlk92353354"/>
      <w:r>
        <w:rPr>
          <w:rFonts w:hint="default" w:ascii="Times New Roman" w:hAnsi="Times New Roman" w:cs="Times New Roman"/>
          <w:color w:val="auto"/>
          <w:spacing w:val="6"/>
          <w:sz w:val="24"/>
          <w:szCs w:val="24"/>
        </w:rPr>
        <w:t>本项目</w:t>
      </w:r>
      <w:r>
        <w:rPr>
          <w:rFonts w:hint="default" w:ascii="Times New Roman" w:hAnsi="Times New Roman" w:cs="Times New Roman"/>
          <w:bCs/>
          <w:color w:val="auto"/>
          <w:sz w:val="24"/>
          <w:szCs w:val="24"/>
        </w:rPr>
        <w:t>生活垃圾由当地环卫部门统一处理；</w:t>
      </w:r>
      <w:r>
        <w:rPr>
          <w:rFonts w:hint="default" w:ascii="Times New Roman" w:hAnsi="Times New Roman" w:cs="Times New Roman"/>
          <w:color w:val="auto"/>
          <w:sz w:val="24"/>
          <w:szCs w:val="24"/>
        </w:rPr>
        <w:t>废水处理产生的生化污泥废过滤渣及滤网交由临湘海创环保科技有限责任公司处置</w:t>
      </w:r>
      <w:r>
        <w:rPr>
          <w:rFonts w:hint="eastAsia" w:ascii="Times New Roman" w:hAnsi="Times New Roman" w:cs="Times New Roman"/>
          <w:color w:val="auto"/>
          <w:sz w:val="24"/>
          <w:szCs w:val="24"/>
          <w:lang w:eastAsia="zh-CN"/>
        </w:rPr>
        <w:t>；</w:t>
      </w:r>
      <w:r>
        <w:rPr>
          <w:rFonts w:hint="default" w:ascii="Times New Roman" w:hAnsi="Times New Roman" w:cs="Times New Roman"/>
          <w:color w:val="auto"/>
          <w:sz w:val="24"/>
          <w:szCs w:val="24"/>
        </w:rPr>
        <w:t>废包装、废包装桶、实验室废试剂瓶</w:t>
      </w:r>
      <w:r>
        <w:rPr>
          <w:rFonts w:hint="eastAsia" w:ascii="Times New Roman" w:hAnsi="Times New Roman" w:cs="Times New Roman"/>
          <w:color w:val="auto"/>
          <w:sz w:val="24"/>
          <w:szCs w:val="24"/>
          <w:lang w:val="en-US" w:eastAsia="zh-CN"/>
        </w:rPr>
        <w:t>交由湖南瀚洋环保科技有限公司处置</w:t>
      </w:r>
      <w:r>
        <w:rPr>
          <w:rFonts w:hint="default" w:ascii="Times New Roman" w:hAnsi="Times New Roman" w:cs="Times New Roman"/>
          <w:color w:val="auto"/>
          <w:sz w:val="24"/>
          <w:szCs w:val="24"/>
        </w:rPr>
        <w:t>。</w:t>
      </w:r>
    </w:p>
    <w:bookmarkEnd w:id="134"/>
    <w:p>
      <w:pPr>
        <w:spacing w:line="360" w:lineRule="auto"/>
        <w:outlineLvl w:val="2"/>
        <w:rPr>
          <w:rFonts w:ascii="Times New Roman" w:hAnsi="Times New Roman" w:cs="Times New Roman"/>
          <w:b/>
          <w:color w:val="auto"/>
          <w:sz w:val="28"/>
          <w:szCs w:val="28"/>
        </w:rPr>
      </w:pPr>
      <w:bookmarkStart w:id="135" w:name="_Toc30462"/>
      <w:bookmarkStart w:id="136" w:name="_Toc85120918"/>
      <w:r>
        <w:rPr>
          <w:rFonts w:hint="default" w:ascii="Times New Roman" w:hAnsi="Times New Roman" w:cs="Times New Roman"/>
          <w:b/>
          <w:color w:val="auto"/>
          <w:sz w:val="28"/>
          <w:szCs w:val="28"/>
        </w:rPr>
        <w:t>1</w:t>
      </w:r>
      <w:r>
        <w:rPr>
          <w:rFonts w:hint="eastAsia" w:ascii="Times New Roman" w:hAnsi="Times New Roman" w:cs="Times New Roman"/>
          <w:b/>
          <w:color w:val="auto"/>
          <w:sz w:val="28"/>
          <w:szCs w:val="28"/>
          <w:lang w:eastAsia="zh-CN"/>
        </w:rPr>
        <w:t>1</w:t>
      </w:r>
      <w:r>
        <w:rPr>
          <w:rFonts w:hint="default" w:ascii="Times New Roman" w:hAnsi="Times New Roman" w:cs="Times New Roman"/>
          <w:b/>
          <w:color w:val="auto"/>
          <w:sz w:val="28"/>
          <w:szCs w:val="28"/>
        </w:rPr>
        <w:t>.1.5  环境管理检查结论</w:t>
      </w:r>
      <w:bookmarkEnd w:id="135"/>
      <w:bookmarkEnd w:id="136"/>
    </w:p>
    <w:p>
      <w:pPr>
        <w:spacing w:line="360" w:lineRule="auto"/>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color w:val="auto"/>
          <w:sz w:val="24"/>
          <w:szCs w:val="24"/>
        </w:rPr>
        <w:t>1</w:t>
      </w:r>
      <w:r>
        <w:rPr>
          <w:rFonts w:hint="eastAsia" w:ascii="Times New Roman" w:hAnsi="Times New Roman" w:cs="Times New Roman"/>
          <w:color w:val="auto"/>
          <w:sz w:val="24"/>
          <w:szCs w:val="24"/>
          <w:lang w:val="en-US" w:eastAsia="zh-CN"/>
        </w:rPr>
        <w:t>1</w:t>
      </w:r>
      <w:r>
        <w:rPr>
          <w:rFonts w:ascii="Times New Roman" w:hAnsi="Times New Roman" w:cs="Times New Roman"/>
          <w:color w:val="auto"/>
          <w:sz w:val="24"/>
          <w:szCs w:val="24"/>
        </w:rPr>
        <w:t>.1.5</w:t>
      </w:r>
      <w:r>
        <w:rPr>
          <w:rFonts w:hint="default" w:ascii="Times New Roman" w:hAnsi="Times New Roman" w:cs="Times New Roman"/>
          <w:color w:val="auto"/>
          <w:sz w:val="24"/>
          <w:szCs w:val="24"/>
        </w:rPr>
        <w:t>.</w:t>
      </w:r>
      <w:r>
        <w:rPr>
          <w:rFonts w:ascii="Times New Roman" w:hAnsi="Times New Roman" w:cs="Times New Roman"/>
          <w:color w:val="auto"/>
          <w:sz w:val="24"/>
          <w:szCs w:val="24"/>
        </w:rPr>
        <w:t xml:space="preserve">1  </w:t>
      </w:r>
      <w:r>
        <w:rPr>
          <w:rFonts w:hint="default" w:ascii="Times New Roman" w:hAnsi="Times New Roman" w:cs="Times New Roman"/>
          <w:color w:val="auto"/>
          <w:sz w:val="24"/>
          <w:szCs w:val="24"/>
        </w:rPr>
        <w:t>排污许可证</w:t>
      </w:r>
    </w:p>
    <w:p>
      <w:pPr>
        <w:spacing w:line="360" w:lineRule="auto"/>
        <w:ind w:firstLine="480" w:firstLineChars="200"/>
        <w:rPr>
          <w:rFonts w:ascii="Times New Roman" w:hAnsi="Times New Roman" w:cs="Times New Roman"/>
          <w:color w:val="auto"/>
          <w:sz w:val="24"/>
          <w:szCs w:val="24"/>
          <w:highlight w:val="magenta"/>
        </w:rPr>
      </w:pPr>
      <w:r>
        <w:rPr>
          <w:rFonts w:hint="default" w:ascii="Times New Roman" w:hAnsi="Times New Roman" w:cs="Times New Roman"/>
          <w:color w:val="auto"/>
          <w:sz w:val="24"/>
          <w:szCs w:val="24"/>
          <w:highlight w:val="none"/>
        </w:rPr>
        <w:t>2021年10月25日进行了排污许可登记，登记编号为914306037506052529001V</w:t>
      </w:r>
      <w:r>
        <w:rPr>
          <w:rFonts w:hint="default" w:ascii="Times New Roman" w:hAnsi="Times New Roman" w:cs="Times New Roman"/>
          <w:color w:val="auto"/>
          <w:sz w:val="24"/>
          <w:szCs w:val="24"/>
        </w:rPr>
        <w:t>。</w:t>
      </w:r>
    </w:p>
    <w:p>
      <w:pPr>
        <w:spacing w:line="360" w:lineRule="auto"/>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color w:val="auto"/>
          <w:sz w:val="24"/>
          <w:szCs w:val="24"/>
        </w:rPr>
        <w:t>1</w:t>
      </w:r>
      <w:r>
        <w:rPr>
          <w:rFonts w:hint="eastAsia" w:ascii="Times New Roman" w:hAnsi="Times New Roman" w:cs="Times New Roman"/>
          <w:color w:val="auto"/>
          <w:sz w:val="24"/>
          <w:szCs w:val="24"/>
          <w:lang w:val="en-US" w:eastAsia="zh-CN"/>
        </w:rPr>
        <w:t>1</w:t>
      </w:r>
      <w:r>
        <w:rPr>
          <w:rFonts w:ascii="Times New Roman" w:hAnsi="Times New Roman" w:cs="Times New Roman"/>
          <w:color w:val="auto"/>
          <w:sz w:val="24"/>
          <w:szCs w:val="24"/>
        </w:rPr>
        <w:t>.1.5</w:t>
      </w:r>
      <w:r>
        <w:rPr>
          <w:rFonts w:hint="default" w:ascii="Times New Roman" w:hAnsi="Times New Roman" w:cs="Times New Roman"/>
          <w:color w:val="auto"/>
          <w:sz w:val="24"/>
          <w:szCs w:val="24"/>
        </w:rPr>
        <w:t>.</w:t>
      </w:r>
      <w:r>
        <w:rPr>
          <w:rFonts w:hint="eastAsia" w:ascii="Times New Roman" w:hAnsi="Times New Roman" w:cs="Times New Roman"/>
          <w:color w:val="auto"/>
          <w:sz w:val="24"/>
          <w:szCs w:val="24"/>
          <w:lang w:val="en-US" w:eastAsia="zh-CN"/>
        </w:rPr>
        <w:t>2</w:t>
      </w:r>
      <w:r>
        <w:rPr>
          <w:rFonts w:ascii="Times New Roman" w:hAnsi="Times New Roman" w:cs="Times New Roman"/>
          <w:color w:val="auto"/>
          <w:sz w:val="24"/>
          <w:szCs w:val="24"/>
        </w:rPr>
        <w:t xml:space="preserve">  </w:t>
      </w:r>
      <w:r>
        <w:rPr>
          <w:rFonts w:hint="eastAsia" w:ascii="Times New Roman" w:hAnsi="Times New Roman" w:cs="Times New Roman"/>
          <w:color w:val="auto"/>
          <w:sz w:val="24"/>
          <w:szCs w:val="24"/>
          <w:lang w:val="en-US" w:eastAsia="zh-CN"/>
        </w:rPr>
        <w:t>突发环境事件应急预案备案</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2021年12月28日进行了突发环境事件应急预案备案，备案编号为430603--2021--058-H。</w:t>
      </w:r>
    </w:p>
    <w:p>
      <w:pPr>
        <w:spacing w:line="360" w:lineRule="auto"/>
        <w:rPr>
          <w:rFonts w:ascii="Times New Roman" w:hAnsi="Times New Roman" w:cs="Times New Roman"/>
          <w:color w:val="auto"/>
          <w:sz w:val="24"/>
          <w:szCs w:val="24"/>
        </w:rPr>
      </w:pPr>
      <w:r>
        <w:rPr>
          <w:rFonts w:hint="default" w:ascii="Times New Roman" w:hAnsi="Times New Roman" w:cs="Times New Roman"/>
          <w:color w:val="auto"/>
          <w:sz w:val="24"/>
          <w:szCs w:val="24"/>
        </w:rPr>
        <w:t>1</w:t>
      </w:r>
      <w:r>
        <w:rPr>
          <w:rFonts w:hint="eastAsia" w:ascii="Times New Roman" w:hAnsi="Times New Roman" w:cs="Times New Roman"/>
          <w:color w:val="auto"/>
          <w:sz w:val="24"/>
          <w:szCs w:val="24"/>
          <w:lang w:val="en-US" w:eastAsia="zh-CN"/>
        </w:rPr>
        <w:t>1</w:t>
      </w:r>
      <w:r>
        <w:rPr>
          <w:rFonts w:ascii="Times New Roman" w:hAnsi="Times New Roman" w:cs="Times New Roman"/>
          <w:color w:val="auto"/>
          <w:sz w:val="24"/>
          <w:szCs w:val="24"/>
        </w:rPr>
        <w:t>.1.5</w:t>
      </w:r>
      <w:r>
        <w:rPr>
          <w:rFonts w:hint="default" w:ascii="Times New Roman" w:hAnsi="Times New Roman" w:cs="Times New Roman"/>
          <w:color w:val="auto"/>
          <w:sz w:val="24"/>
          <w:szCs w:val="24"/>
        </w:rPr>
        <w:t>.</w:t>
      </w:r>
      <w:r>
        <w:rPr>
          <w:rFonts w:ascii="Times New Roman" w:hAnsi="Times New Roman" w:cs="Times New Roman"/>
          <w:color w:val="auto"/>
          <w:sz w:val="24"/>
          <w:szCs w:val="24"/>
        </w:rPr>
        <w:t xml:space="preserve">3  </w:t>
      </w:r>
      <w:r>
        <w:rPr>
          <w:rFonts w:hint="default" w:ascii="Times New Roman" w:hAnsi="Times New Roman" w:cs="Times New Roman"/>
          <w:color w:val="auto"/>
          <w:sz w:val="24"/>
          <w:szCs w:val="24"/>
        </w:rPr>
        <w:t>环境保护设施建成及运行记录</w:t>
      </w:r>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（1）各项环保设施已按环评要求建设完成，环境保护设施工作建成过程中的设计、施工、监理、隐蔽工程、竣工验收等记录及相关资料存档管理。</w:t>
      </w:r>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（2）环保设施运行交接班、环保突发事件应急演练等保留记录。</w:t>
      </w:r>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（3）项目环保设施与生产装置同样管理，环保设施管理及运行分别由各生产单元的管理人员和操作人员负责。环保设施与生产装置的运行记录一样有交接班制度和记录管理制度。</w:t>
      </w:r>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项目按照工程档案管理规范和环境保护的相关要求，分类建立了环评及环保审批档案、环保工程档案、现场检查档案、污染源档案、环境监测档案、环境统计档案等。</w:t>
      </w:r>
    </w:p>
    <w:p>
      <w:pPr>
        <w:spacing w:line="360" w:lineRule="auto"/>
        <w:rPr>
          <w:rFonts w:ascii="Times New Roman" w:hAnsi="Times New Roman" w:cs="Times New Roman"/>
          <w:color w:val="auto"/>
          <w:sz w:val="24"/>
          <w:szCs w:val="24"/>
        </w:rPr>
      </w:pPr>
      <w:r>
        <w:rPr>
          <w:rFonts w:hint="default" w:ascii="Times New Roman" w:hAnsi="Times New Roman" w:cs="Times New Roman"/>
          <w:color w:val="auto"/>
          <w:sz w:val="24"/>
          <w:szCs w:val="24"/>
        </w:rPr>
        <w:t>1</w:t>
      </w:r>
      <w:r>
        <w:rPr>
          <w:rFonts w:hint="eastAsia" w:ascii="Times New Roman" w:hAnsi="Times New Roman" w:cs="Times New Roman"/>
          <w:color w:val="auto"/>
          <w:sz w:val="24"/>
          <w:szCs w:val="24"/>
          <w:lang w:val="en-US" w:eastAsia="zh-CN"/>
        </w:rPr>
        <w:t>1</w:t>
      </w:r>
      <w:r>
        <w:rPr>
          <w:rFonts w:ascii="Times New Roman" w:hAnsi="Times New Roman" w:cs="Times New Roman"/>
          <w:color w:val="auto"/>
          <w:sz w:val="24"/>
          <w:szCs w:val="24"/>
        </w:rPr>
        <w:t>.1.5</w:t>
      </w:r>
      <w:r>
        <w:rPr>
          <w:rFonts w:hint="default" w:ascii="Times New Roman" w:hAnsi="Times New Roman" w:cs="Times New Roman"/>
          <w:color w:val="auto"/>
          <w:sz w:val="24"/>
          <w:szCs w:val="24"/>
        </w:rPr>
        <w:t>.</w:t>
      </w:r>
      <w:r>
        <w:rPr>
          <w:rFonts w:ascii="Times New Roman" w:hAnsi="Times New Roman" w:cs="Times New Roman"/>
          <w:color w:val="auto"/>
          <w:sz w:val="24"/>
          <w:szCs w:val="24"/>
        </w:rPr>
        <w:t xml:space="preserve">4  </w:t>
      </w:r>
      <w:r>
        <w:rPr>
          <w:rFonts w:hint="default" w:ascii="Times New Roman" w:hAnsi="Times New Roman" w:cs="Times New Roman"/>
          <w:color w:val="auto"/>
          <w:sz w:val="24"/>
          <w:szCs w:val="24"/>
        </w:rPr>
        <w:t>环境监测计划和日常监测</w:t>
      </w:r>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公司设置安环部，配备专职监测人员3人，负责公司日常监测工作。公司制定各项环保设施作业指导书，废气和噪声管理制度，固体废物处理管理办法，机械设备污染防治办法，环保设备维护保养制度等相关环保管理制度。项目监督性的环境监测主要是定期委托有资质的环境监测单位进行。</w:t>
      </w:r>
    </w:p>
    <w:p>
      <w:pPr>
        <w:spacing w:line="360" w:lineRule="auto"/>
        <w:outlineLvl w:val="1"/>
        <w:rPr>
          <w:rFonts w:ascii="Times New Roman" w:hAnsi="Times New Roman" w:cs="Times New Roman"/>
          <w:b/>
          <w:color w:val="auto"/>
          <w:sz w:val="24"/>
          <w:szCs w:val="24"/>
        </w:rPr>
      </w:pPr>
      <w:bookmarkStart w:id="137" w:name="_Toc26063"/>
      <w:bookmarkStart w:id="138" w:name="_Toc85120919"/>
      <w:r>
        <w:rPr>
          <w:rFonts w:hint="default" w:ascii="Times New Roman" w:hAnsi="Times New Roman" w:cs="Times New Roman"/>
          <w:b/>
          <w:color w:val="auto"/>
          <w:sz w:val="24"/>
          <w:szCs w:val="24"/>
        </w:rPr>
        <w:t>1</w:t>
      </w:r>
      <w:r>
        <w:rPr>
          <w:rFonts w:hint="eastAsia" w:ascii="Times New Roman" w:hAnsi="Times New Roman" w:cs="Times New Roman"/>
          <w:b/>
          <w:color w:val="auto"/>
          <w:sz w:val="24"/>
          <w:szCs w:val="24"/>
          <w:lang w:eastAsia="zh-CN"/>
        </w:rPr>
        <w:t>1</w:t>
      </w:r>
      <w:r>
        <w:rPr>
          <w:rFonts w:hint="default" w:ascii="Times New Roman" w:hAnsi="Times New Roman" w:cs="Times New Roman"/>
          <w:b/>
          <w:color w:val="auto"/>
          <w:sz w:val="24"/>
          <w:szCs w:val="24"/>
        </w:rPr>
        <w:t>.2  总体结论</w:t>
      </w:r>
      <w:bookmarkEnd w:id="137"/>
      <w:bookmarkEnd w:id="138"/>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验收监测期间</w:t>
      </w:r>
      <w:r>
        <w:rPr>
          <w:rFonts w:hint="default" w:ascii="Times New Roman" w:hAnsi="Times New Roman" w:cs="Times New Roman"/>
          <w:color w:val="auto"/>
          <w:sz w:val="24"/>
          <w:szCs w:val="24"/>
        </w:rPr>
        <w:t>，</w:t>
      </w:r>
      <w:r>
        <w:rPr>
          <w:rFonts w:ascii="Times New Roman" w:hAnsi="Times New Roman" w:cs="Times New Roman"/>
          <w:color w:val="auto"/>
          <w:sz w:val="24"/>
          <w:szCs w:val="24"/>
        </w:rPr>
        <w:t>该</w:t>
      </w:r>
      <w:r>
        <w:rPr>
          <w:rFonts w:hint="default" w:ascii="Times New Roman" w:hAnsi="Times New Roman" w:cs="Times New Roman"/>
          <w:color w:val="auto"/>
          <w:sz w:val="24"/>
          <w:szCs w:val="24"/>
        </w:rPr>
        <w:t>项目排放的</w:t>
      </w:r>
      <w:r>
        <w:rPr>
          <w:rFonts w:ascii="Times New Roman" w:hAnsi="Times New Roman" w:cs="Times New Roman"/>
          <w:color w:val="auto"/>
          <w:sz w:val="24"/>
          <w:szCs w:val="24"/>
        </w:rPr>
        <w:t>废气、</w:t>
      </w:r>
      <w:r>
        <w:rPr>
          <w:rFonts w:hint="default" w:ascii="Times New Roman" w:hAnsi="Times New Roman" w:cs="Times New Roman"/>
          <w:color w:val="auto"/>
          <w:sz w:val="24"/>
          <w:szCs w:val="24"/>
        </w:rPr>
        <w:t>废水、</w:t>
      </w:r>
      <w:r>
        <w:rPr>
          <w:rFonts w:ascii="Times New Roman" w:hAnsi="Times New Roman" w:cs="Times New Roman"/>
          <w:color w:val="auto"/>
          <w:sz w:val="24"/>
          <w:szCs w:val="24"/>
        </w:rPr>
        <w:t>噪声均</w:t>
      </w:r>
      <w:r>
        <w:rPr>
          <w:rFonts w:hint="default" w:ascii="Times New Roman" w:hAnsi="Times New Roman" w:cs="Times New Roman"/>
          <w:color w:val="auto"/>
          <w:sz w:val="24"/>
          <w:szCs w:val="24"/>
        </w:rPr>
        <w:t>符合</w:t>
      </w:r>
      <w:r>
        <w:rPr>
          <w:rFonts w:ascii="Times New Roman" w:hAnsi="Times New Roman" w:cs="Times New Roman"/>
          <w:color w:val="auto"/>
          <w:sz w:val="24"/>
          <w:szCs w:val="24"/>
        </w:rPr>
        <w:t>国家有关环保标准</w:t>
      </w:r>
      <w:r>
        <w:rPr>
          <w:rFonts w:hint="default" w:ascii="Times New Roman" w:hAnsi="Times New Roman" w:cs="Times New Roman"/>
          <w:color w:val="auto"/>
          <w:sz w:val="24"/>
          <w:szCs w:val="24"/>
        </w:rPr>
        <w:t>限值要求</w:t>
      </w:r>
      <w:r>
        <w:rPr>
          <w:rFonts w:ascii="Times New Roman" w:hAnsi="Times New Roman" w:cs="Times New Roman"/>
          <w:color w:val="auto"/>
          <w:sz w:val="24"/>
          <w:szCs w:val="24"/>
        </w:rPr>
        <w:t>，</w:t>
      </w:r>
      <w:r>
        <w:rPr>
          <w:rFonts w:hint="default" w:ascii="Times New Roman" w:hAnsi="Times New Roman" w:cs="Times New Roman"/>
          <w:color w:val="auto"/>
          <w:sz w:val="24"/>
          <w:szCs w:val="24"/>
        </w:rPr>
        <w:t>固体废物得到妥善处置，本项目</w:t>
      </w:r>
      <w:r>
        <w:rPr>
          <w:rFonts w:ascii="Times New Roman" w:hAnsi="Times New Roman" w:cs="Times New Roman"/>
          <w:color w:val="auto"/>
          <w:sz w:val="24"/>
          <w:szCs w:val="24"/>
        </w:rPr>
        <w:t>环评批复要求落实到位</w:t>
      </w:r>
      <w:r>
        <w:rPr>
          <w:rFonts w:hint="default" w:ascii="Times New Roman" w:hAnsi="Times New Roman" w:cs="Times New Roman"/>
          <w:color w:val="auto"/>
          <w:sz w:val="24"/>
          <w:szCs w:val="24"/>
        </w:rPr>
        <w:t>，</w:t>
      </w:r>
      <w:r>
        <w:rPr>
          <w:rFonts w:hint="eastAsia" w:ascii="Times New Roman" w:hAnsi="Times New Roman" w:cs="Times New Roman"/>
          <w:color w:val="auto"/>
          <w:sz w:val="24"/>
          <w:szCs w:val="24"/>
          <w:lang w:val="en-US" w:eastAsia="zh-CN"/>
        </w:rPr>
        <w:t>污染物排放总量指标小于环评和环评批复指标。</w:t>
      </w:r>
      <w:r>
        <w:rPr>
          <w:rFonts w:hint="default" w:ascii="Times New Roman" w:hAnsi="Times New Roman" w:eastAsia="宋体" w:cs="Times New Roman"/>
          <w:color w:val="auto"/>
          <w:sz w:val="24"/>
          <w:szCs w:val="24"/>
        </w:rPr>
        <w:t>建议通过项目竣工环境保护验收。</w:t>
      </w:r>
    </w:p>
    <w:p>
      <w:pPr>
        <w:spacing w:line="360" w:lineRule="auto"/>
        <w:outlineLvl w:val="1"/>
        <w:rPr>
          <w:rFonts w:ascii="Times New Roman" w:hAnsi="Times New Roman" w:cs="Times New Roman"/>
          <w:b/>
          <w:color w:val="auto"/>
          <w:sz w:val="24"/>
          <w:szCs w:val="24"/>
        </w:rPr>
      </w:pPr>
      <w:bookmarkStart w:id="139" w:name="_Toc85120920"/>
      <w:bookmarkStart w:id="140" w:name="_Toc26605"/>
      <w:r>
        <w:rPr>
          <w:rFonts w:hint="default" w:ascii="Times New Roman" w:hAnsi="Times New Roman" w:cs="Times New Roman"/>
          <w:b/>
          <w:color w:val="auto"/>
          <w:sz w:val="24"/>
          <w:szCs w:val="24"/>
        </w:rPr>
        <w:t>1</w:t>
      </w:r>
      <w:r>
        <w:rPr>
          <w:rFonts w:hint="eastAsia" w:ascii="Times New Roman" w:hAnsi="Times New Roman" w:cs="Times New Roman"/>
          <w:b/>
          <w:color w:val="auto"/>
          <w:sz w:val="24"/>
          <w:szCs w:val="24"/>
          <w:lang w:eastAsia="zh-CN"/>
        </w:rPr>
        <w:t>1</w:t>
      </w:r>
      <w:r>
        <w:rPr>
          <w:rFonts w:hint="default" w:ascii="Times New Roman" w:hAnsi="Times New Roman" w:cs="Times New Roman"/>
          <w:b/>
          <w:color w:val="auto"/>
          <w:sz w:val="24"/>
          <w:szCs w:val="24"/>
        </w:rPr>
        <w:t>.3  改进措施</w:t>
      </w:r>
      <w:bookmarkEnd w:id="139"/>
      <w:bookmarkEnd w:id="140"/>
    </w:p>
    <w:p>
      <w:pPr>
        <w:spacing w:line="360" w:lineRule="auto"/>
        <w:ind w:firstLine="480" w:firstLineChars="200"/>
        <w:rPr>
          <w:rFonts w:ascii="Times New Roman" w:hAnsi="Times New Roman" w:cs="Times New Roman"/>
          <w:color w:val="auto"/>
          <w:sz w:val="24"/>
          <w:szCs w:val="24"/>
        </w:rPr>
      </w:pPr>
      <w:bookmarkStart w:id="141" w:name="_Toc524637290"/>
      <w:bookmarkStart w:id="142" w:name="_Toc524300606"/>
      <w:bookmarkStart w:id="143" w:name="_Toc524636453"/>
      <w:bookmarkStart w:id="144" w:name="_Toc524636519"/>
      <w:r>
        <w:rPr>
          <w:rFonts w:hint="default" w:ascii="Times New Roman" w:hAnsi="Times New Roman" w:cs="Times New Roman"/>
          <w:color w:val="auto"/>
          <w:sz w:val="24"/>
          <w:szCs w:val="24"/>
        </w:rPr>
        <w:t>1、加强公司各级管理人员对国家环境保护法律、法规的学习，提高环境保护法律、法规意识。</w:t>
      </w:r>
    </w:p>
    <w:p>
      <w:pPr>
        <w:spacing w:line="360" w:lineRule="auto"/>
        <w:ind w:firstLine="480" w:firstLineChars="200"/>
        <w:rPr>
          <w:rFonts w:ascii="Times New Roman" w:hAnsi="Times New Roman" w:cs="Times New Roman"/>
          <w:color w:val="auto"/>
          <w:sz w:val="24"/>
          <w:szCs w:val="24"/>
        </w:rPr>
      </w:pPr>
      <w:r>
        <w:rPr>
          <w:rFonts w:hint="default" w:ascii="Times New Roman" w:hAnsi="Times New Roman" w:cs="Times New Roman"/>
          <w:color w:val="auto"/>
          <w:sz w:val="24"/>
          <w:szCs w:val="24"/>
        </w:rPr>
        <w:t>2、强化有关操作人员岗位培训，严格按照相关操作规程运行污染治理设施，进一步加强环保设施的日常维护和管理，完善运行记录，确保各项污染物长期稳定达标排放。</w:t>
      </w:r>
    </w:p>
    <w:p>
      <w:pPr>
        <w:spacing w:line="360" w:lineRule="auto"/>
        <w:ind w:firstLine="480" w:firstLineChars="200"/>
        <w:rPr>
          <w:rFonts w:ascii="Times New Roman" w:hAnsi="Times New Roman" w:cs="Times New Roman"/>
          <w:color w:val="auto"/>
          <w:sz w:val="24"/>
          <w:szCs w:val="24"/>
        </w:rPr>
      </w:pPr>
      <w:r>
        <w:rPr>
          <w:rFonts w:hint="default" w:ascii="Times New Roman" w:hAnsi="Times New Roman" w:cs="Times New Roman"/>
          <w:color w:val="auto"/>
          <w:sz w:val="24"/>
          <w:szCs w:val="24"/>
        </w:rPr>
        <w:t>3、定期组织员工学习环境管理制度、预演环境污染事故应急预案，使相关制度落实到实处。</w:t>
      </w:r>
    </w:p>
    <w:p>
      <w:pPr>
        <w:spacing w:line="360" w:lineRule="auto"/>
        <w:ind w:firstLine="480" w:firstLineChars="200"/>
        <w:rPr>
          <w:rFonts w:ascii="Times New Roman" w:hAnsi="Times New Roman" w:cs="Times New Roman"/>
          <w:color w:val="auto"/>
          <w:sz w:val="24"/>
          <w:szCs w:val="24"/>
        </w:rPr>
      </w:pPr>
      <w:r>
        <w:rPr>
          <w:rFonts w:ascii="Times New Roman" w:hAnsi="Times New Roman" w:cs="Times New Roman"/>
          <w:color w:val="auto"/>
          <w:sz w:val="24"/>
          <w:szCs w:val="24"/>
        </w:rPr>
        <w:t>4</w:t>
      </w:r>
      <w:r>
        <w:rPr>
          <w:rFonts w:hint="default" w:ascii="Times New Roman" w:hAnsi="Times New Roman" w:cs="Times New Roman"/>
          <w:color w:val="auto"/>
          <w:sz w:val="24"/>
          <w:szCs w:val="24"/>
        </w:rPr>
        <w:t>、加强设备运行管理和废气治理措施运行管理，减少噪声、苯酚、甲醛、氨气、甲醇、TVOC、硫化氢、臭气浓度、非甲烷总烃对厂区周边外环境的影响。</w:t>
      </w:r>
    </w:p>
    <w:p>
      <w:pPr>
        <w:spacing w:line="360" w:lineRule="auto"/>
        <w:ind w:firstLine="480" w:firstLineChars="200"/>
        <w:rPr>
          <w:rFonts w:ascii="Times New Roman" w:hAnsi="Times New Roman" w:cs="Times New Roman"/>
          <w:color w:val="auto"/>
          <w:sz w:val="24"/>
          <w:szCs w:val="24"/>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ascii="Times New Roman" w:hAnsi="Times New Roman" w:cs="Times New Roman"/>
          <w:color w:val="auto"/>
          <w:sz w:val="24"/>
          <w:szCs w:val="24"/>
        </w:rPr>
        <w:t>5</w:t>
      </w:r>
      <w:r>
        <w:rPr>
          <w:rFonts w:hint="default" w:ascii="Times New Roman" w:hAnsi="Times New Roman" w:cs="Times New Roman"/>
          <w:color w:val="auto"/>
          <w:sz w:val="24"/>
          <w:szCs w:val="24"/>
        </w:rPr>
        <w:t>、对项目日常管理，做到</w:t>
      </w:r>
      <w:r>
        <w:rPr>
          <w:rFonts w:hint="eastAsia" w:ascii="Times New Roman" w:hAnsi="Times New Roman" w:cs="Times New Roman"/>
          <w:color w:val="auto"/>
          <w:sz w:val="24"/>
          <w:szCs w:val="24"/>
          <w:lang w:val="en-US" w:eastAsia="zh-CN"/>
        </w:rPr>
        <w:t>尽职尽责</w:t>
      </w:r>
      <w:r>
        <w:rPr>
          <w:rFonts w:hint="default" w:ascii="Times New Roman" w:hAnsi="Times New Roman" w:cs="Times New Roman"/>
          <w:color w:val="auto"/>
          <w:sz w:val="24"/>
          <w:szCs w:val="24"/>
        </w:rPr>
        <w:t>，确保进厂污水水质、水量，积极发挥减排效益。</w:t>
      </w:r>
    </w:p>
    <w:p>
      <w:pPr>
        <w:spacing w:line="360" w:lineRule="auto"/>
        <w:outlineLvl w:val="0"/>
        <w:rPr>
          <w:rFonts w:ascii="Times New Roman" w:hAnsi="Times New Roman" w:cs="Times New Roman"/>
          <w:b/>
          <w:color w:val="auto"/>
          <w:sz w:val="24"/>
          <w:szCs w:val="24"/>
        </w:rPr>
      </w:pPr>
      <w:bookmarkStart w:id="145" w:name="_Toc62118304"/>
      <w:bookmarkStart w:id="146" w:name="_Toc62122437"/>
      <w:bookmarkStart w:id="147" w:name="_Toc85120921"/>
      <w:bookmarkStart w:id="148" w:name="_Toc9222"/>
      <w:r>
        <w:rPr>
          <w:rFonts w:hint="default" w:ascii="Times New Roman" w:hAnsi="Times New Roman" w:cs="Times New Roman"/>
          <w:b/>
          <w:color w:val="auto"/>
          <w:sz w:val="24"/>
          <w:szCs w:val="24"/>
        </w:rPr>
        <w:t>附件1：环评批复</w:t>
      </w:r>
      <w:bookmarkEnd w:id="145"/>
      <w:bookmarkEnd w:id="146"/>
      <w:bookmarkEnd w:id="147"/>
      <w:bookmarkEnd w:id="148"/>
    </w:p>
    <w:p>
      <w:pPr>
        <w:spacing w:line="360" w:lineRule="auto"/>
        <w:rPr>
          <w:rFonts w:ascii="Times New Roman" w:hAnsi="Times New Roman" w:cs="Times New Roman"/>
          <w:b/>
          <w:color w:val="auto"/>
          <w:sz w:val="24"/>
          <w:szCs w:val="24"/>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ascii="Times New Roman" w:hAnsi="Times New Roman" w:cs="Times New Roman"/>
          <w:color w:val="auto"/>
        </w:rPr>
        <w:drawing>
          <wp:inline distT="0" distB="0" distL="114300" distR="114300">
            <wp:extent cx="5677535" cy="8044815"/>
            <wp:effectExtent l="0" t="0" r="8890" b="3810"/>
            <wp:docPr id="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
                    <pic:cNvPicPr>
                      <a:picLocks noChangeAspect="1"/>
                    </pic:cNvPicPr>
                  </pic:nvPicPr>
                  <pic:blipFill>
                    <a:blip r:embed="rId26"/>
                    <a:stretch>
                      <a:fillRect/>
                    </a:stretch>
                  </pic:blipFill>
                  <pic:spPr>
                    <a:xfrm>
                      <a:off x="0" y="0"/>
                      <a:ext cx="5677535" cy="8044815"/>
                    </a:xfrm>
                    <a:prstGeom prst="rect">
                      <a:avLst/>
                    </a:prstGeom>
                    <a:noFill/>
                    <a:ln>
                      <a:noFill/>
                    </a:ln>
                  </pic:spPr>
                </pic:pic>
              </a:graphicData>
            </a:graphic>
          </wp:inline>
        </w:drawing>
      </w:r>
      <w:r>
        <w:rPr>
          <w:rFonts w:ascii="Times New Roman" w:hAnsi="Times New Roman" w:cs="Times New Roman"/>
          <w:color w:val="auto"/>
        </w:rPr>
        <w:drawing>
          <wp:inline distT="0" distB="0" distL="114300" distR="114300">
            <wp:extent cx="5801360" cy="7750810"/>
            <wp:effectExtent l="0" t="0" r="8890" b="2540"/>
            <wp:docPr id="6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
                    <pic:cNvPicPr>
                      <a:picLocks noChangeAspect="1"/>
                    </pic:cNvPicPr>
                  </pic:nvPicPr>
                  <pic:blipFill>
                    <a:blip r:embed="rId27"/>
                    <a:stretch>
                      <a:fillRect/>
                    </a:stretch>
                  </pic:blipFill>
                  <pic:spPr>
                    <a:xfrm>
                      <a:off x="0" y="0"/>
                      <a:ext cx="5801360" cy="7750810"/>
                    </a:xfrm>
                    <a:prstGeom prst="rect">
                      <a:avLst/>
                    </a:prstGeom>
                    <a:noFill/>
                    <a:ln>
                      <a:noFill/>
                    </a:ln>
                  </pic:spPr>
                </pic:pic>
              </a:graphicData>
            </a:graphic>
          </wp:inline>
        </w:drawing>
      </w:r>
      <w:r>
        <w:rPr>
          <w:rFonts w:ascii="Times New Roman" w:hAnsi="Times New Roman" w:cs="Times New Roman"/>
          <w:color w:val="auto"/>
        </w:rPr>
        <w:drawing>
          <wp:inline distT="0" distB="0" distL="114300" distR="114300">
            <wp:extent cx="5801360" cy="7750810"/>
            <wp:effectExtent l="0" t="0" r="8890" b="2540"/>
            <wp:docPr id="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
                    <pic:cNvPicPr>
                      <a:picLocks noChangeAspect="1"/>
                    </pic:cNvPicPr>
                  </pic:nvPicPr>
                  <pic:blipFill>
                    <a:blip r:embed="rId27"/>
                    <a:stretch>
                      <a:fillRect/>
                    </a:stretch>
                  </pic:blipFill>
                  <pic:spPr>
                    <a:xfrm>
                      <a:off x="0" y="0"/>
                      <a:ext cx="5801360" cy="7750810"/>
                    </a:xfrm>
                    <a:prstGeom prst="rect">
                      <a:avLst/>
                    </a:prstGeom>
                    <a:noFill/>
                    <a:ln>
                      <a:noFill/>
                    </a:ln>
                  </pic:spPr>
                </pic:pic>
              </a:graphicData>
            </a:graphic>
          </wp:inline>
        </w:drawing>
      </w:r>
      <w:r>
        <w:rPr>
          <w:rFonts w:ascii="Times New Roman" w:hAnsi="Times New Roman" w:cs="Times New Roman"/>
          <w:color w:val="auto"/>
        </w:rPr>
        <w:drawing>
          <wp:inline distT="0" distB="0" distL="114300" distR="114300">
            <wp:extent cx="5735955" cy="7860665"/>
            <wp:effectExtent l="0" t="0" r="7620" b="6985"/>
            <wp:docPr id="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7"/>
                    <pic:cNvPicPr>
                      <a:picLocks noChangeAspect="1"/>
                    </pic:cNvPicPr>
                  </pic:nvPicPr>
                  <pic:blipFill>
                    <a:blip r:embed="rId28"/>
                    <a:stretch>
                      <a:fillRect/>
                    </a:stretch>
                  </pic:blipFill>
                  <pic:spPr>
                    <a:xfrm>
                      <a:off x="0" y="0"/>
                      <a:ext cx="5735955" cy="7860665"/>
                    </a:xfrm>
                    <a:prstGeom prst="rect">
                      <a:avLst/>
                    </a:prstGeom>
                    <a:noFill/>
                    <a:ln>
                      <a:noFill/>
                    </a:ln>
                  </pic:spPr>
                </pic:pic>
              </a:graphicData>
            </a:graphic>
          </wp:inline>
        </w:drawing>
      </w:r>
      <w:r>
        <w:rPr>
          <w:rFonts w:ascii="Times New Roman" w:hAnsi="Times New Roman" w:cs="Times New Roman"/>
          <w:color w:val="auto"/>
        </w:rPr>
        <w:drawing>
          <wp:inline distT="0" distB="0" distL="114300" distR="114300">
            <wp:extent cx="5870575" cy="8111490"/>
            <wp:effectExtent l="0" t="0" r="6350" b="3810"/>
            <wp:docPr id="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8"/>
                    <pic:cNvPicPr>
                      <a:picLocks noChangeAspect="1"/>
                    </pic:cNvPicPr>
                  </pic:nvPicPr>
                  <pic:blipFill>
                    <a:blip r:embed="rId29"/>
                    <a:stretch>
                      <a:fillRect/>
                    </a:stretch>
                  </pic:blipFill>
                  <pic:spPr>
                    <a:xfrm>
                      <a:off x="0" y="0"/>
                      <a:ext cx="5870575" cy="8111490"/>
                    </a:xfrm>
                    <a:prstGeom prst="rect">
                      <a:avLst/>
                    </a:prstGeom>
                    <a:noFill/>
                    <a:ln>
                      <a:noFill/>
                    </a:ln>
                  </pic:spPr>
                </pic:pic>
              </a:graphicData>
            </a:graphic>
          </wp:inline>
        </w:drawing>
      </w:r>
    </w:p>
    <w:p>
      <w:pPr>
        <w:spacing w:line="360" w:lineRule="auto"/>
        <w:outlineLvl w:val="0"/>
        <w:rPr>
          <w:rFonts w:ascii="Times New Roman" w:hAnsi="Times New Roman" w:cs="Times New Roman"/>
          <w:b/>
          <w:color w:val="auto"/>
          <w:sz w:val="24"/>
          <w:szCs w:val="24"/>
        </w:rPr>
      </w:pPr>
      <w:bookmarkStart w:id="149" w:name="_Toc62122438"/>
      <w:bookmarkStart w:id="150" w:name="_Toc85120922"/>
      <w:bookmarkStart w:id="151" w:name="_Toc62118305"/>
      <w:bookmarkStart w:id="152" w:name="_Toc3582"/>
      <w:r>
        <w:rPr>
          <w:rFonts w:hint="default" w:ascii="Times New Roman" w:hAnsi="Times New Roman" w:cs="Times New Roman"/>
          <w:b/>
          <w:color w:val="auto"/>
          <w:sz w:val="24"/>
          <w:szCs w:val="24"/>
        </w:rPr>
        <w:t>附件2：营业执照</w:t>
      </w:r>
      <w:bookmarkEnd w:id="149"/>
      <w:bookmarkEnd w:id="150"/>
      <w:bookmarkEnd w:id="151"/>
      <w:bookmarkEnd w:id="152"/>
    </w:p>
    <w:p>
      <w:pPr>
        <w:spacing w:line="360" w:lineRule="auto"/>
        <w:jc w:val="center"/>
        <w:rPr>
          <w:rFonts w:hint="default" w:ascii="Times New Roman" w:hAnsi="Times New Roman" w:cs="Times New Roman" w:eastAsiaTheme="minorEastAsia"/>
          <w:b/>
          <w:color w:val="auto"/>
          <w:sz w:val="24"/>
          <w:szCs w:val="24"/>
          <w:lang w:eastAsia="zh-CN"/>
        </w:rPr>
      </w:pPr>
      <w:r>
        <w:rPr>
          <w:rFonts w:hint="default" w:ascii="Times New Roman" w:hAnsi="Times New Roman" w:cs="Times New Roman"/>
          <w:b/>
          <w:color w:val="auto"/>
          <w:sz w:val="24"/>
          <w:szCs w:val="24"/>
        </w:rPr>
        <w:drawing>
          <wp:inline distT="0" distB="0" distL="114300" distR="114300">
            <wp:extent cx="6673850" cy="4848860"/>
            <wp:effectExtent l="0" t="0" r="3175" b="8890"/>
            <wp:docPr id="1" name="图片 1"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营业执照"/>
                    <pic:cNvPicPr>
                      <a:picLocks noChangeAspect="1"/>
                    </pic:cNvPicPr>
                  </pic:nvPicPr>
                  <pic:blipFill>
                    <a:blip r:embed="rId30"/>
                    <a:stretch>
                      <a:fillRect/>
                    </a:stretch>
                  </pic:blipFill>
                  <pic:spPr>
                    <a:xfrm>
                      <a:off x="0" y="0"/>
                      <a:ext cx="6673850" cy="4848860"/>
                    </a:xfrm>
                    <a:prstGeom prst="rect">
                      <a:avLst/>
                    </a:prstGeom>
                  </pic:spPr>
                </pic:pic>
              </a:graphicData>
            </a:graphic>
          </wp:inline>
        </w:drawing>
      </w:r>
    </w:p>
    <w:p>
      <w:pPr>
        <w:spacing w:line="360" w:lineRule="auto"/>
        <w:outlineLvl w:val="0"/>
        <w:rPr>
          <w:rFonts w:ascii="Times New Roman" w:hAnsi="Times New Roman" w:cs="Times New Roman"/>
          <w:b/>
          <w:color w:val="auto"/>
          <w:sz w:val="24"/>
          <w:szCs w:val="24"/>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spacing w:line="360" w:lineRule="auto"/>
        <w:outlineLvl w:val="0"/>
        <w:rPr>
          <w:rFonts w:ascii="Times New Roman" w:hAnsi="Times New Roman" w:cs="Times New Roman"/>
          <w:b/>
          <w:color w:val="auto"/>
          <w:sz w:val="24"/>
          <w:szCs w:val="24"/>
          <w:highlight w:val="none"/>
        </w:rPr>
      </w:pPr>
      <w:bookmarkStart w:id="153" w:name="_Toc26050"/>
      <w:r>
        <w:rPr>
          <w:rFonts w:hint="default" w:ascii="Times New Roman" w:hAnsi="Times New Roman" w:cs="Times New Roman"/>
          <w:b/>
          <w:color w:val="auto"/>
          <w:sz w:val="24"/>
          <w:szCs w:val="24"/>
          <w:highlight w:val="none"/>
        </w:rPr>
        <w:t>附件3：排污许可证</w:t>
      </w:r>
      <w:bookmarkEnd w:id="153"/>
    </w:p>
    <w:p>
      <w:pPr>
        <w:spacing w:line="360" w:lineRule="auto"/>
        <w:rPr>
          <w:rFonts w:hint="default" w:ascii="Times New Roman" w:hAnsi="Times New Roman" w:cs="Times New Roman" w:eastAsiaTheme="minorEastAsia"/>
          <w:b/>
          <w:color w:val="auto"/>
          <w:sz w:val="24"/>
          <w:szCs w:val="24"/>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cs="Times New Roman" w:eastAsiaTheme="minorEastAsia"/>
          <w:b/>
          <w:color w:val="auto"/>
          <w:sz w:val="24"/>
          <w:szCs w:val="24"/>
          <w:lang w:eastAsia="zh-CN"/>
        </w:rPr>
        <w:drawing>
          <wp:inline distT="0" distB="0" distL="114300" distR="114300">
            <wp:extent cx="5375275" cy="7165340"/>
            <wp:effectExtent l="0" t="0" r="15875" b="16510"/>
            <wp:docPr id="3" name="图片 3" descr="排污许可正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排污许可正本"/>
                    <pic:cNvPicPr>
                      <a:picLocks noChangeAspect="1"/>
                    </pic:cNvPicPr>
                  </pic:nvPicPr>
                  <pic:blipFill>
                    <a:blip r:embed="rId31"/>
                    <a:stretch>
                      <a:fillRect/>
                    </a:stretch>
                  </pic:blipFill>
                  <pic:spPr>
                    <a:xfrm>
                      <a:off x="0" y="0"/>
                      <a:ext cx="5375275" cy="7165340"/>
                    </a:xfrm>
                    <a:prstGeom prst="rect">
                      <a:avLst/>
                    </a:prstGeom>
                  </pic:spPr>
                </pic:pic>
              </a:graphicData>
            </a:graphic>
          </wp:inline>
        </w:drawing>
      </w:r>
    </w:p>
    <w:p>
      <w:pPr>
        <w:spacing w:line="360" w:lineRule="auto"/>
        <w:outlineLvl w:val="0"/>
        <w:rPr>
          <w:rFonts w:hint="default" w:ascii="Times New Roman" w:hAnsi="Times New Roman" w:cs="Times New Roman"/>
          <w:color w:val="auto"/>
          <w:highlight w:val="none"/>
          <w:lang w:val="en-US" w:eastAsia="zh-CN"/>
        </w:rPr>
      </w:pPr>
      <w:bookmarkStart w:id="154" w:name="_Toc62118306"/>
      <w:bookmarkStart w:id="155" w:name="_Toc62122439"/>
      <w:bookmarkStart w:id="156" w:name="_Toc85120926"/>
      <w:bookmarkStart w:id="157" w:name="_Toc3104"/>
      <w:r>
        <w:rPr>
          <w:rFonts w:hint="default" w:ascii="Times New Roman" w:hAnsi="Times New Roman" w:cs="Times New Roman"/>
          <w:b/>
          <w:color w:val="auto"/>
          <w:sz w:val="24"/>
          <w:szCs w:val="24"/>
          <w:highlight w:val="none"/>
        </w:rPr>
        <w:t>附件</w:t>
      </w:r>
      <w:r>
        <w:rPr>
          <w:rFonts w:ascii="Times New Roman" w:hAnsi="Times New Roman" w:cs="Times New Roman"/>
          <w:b/>
          <w:color w:val="auto"/>
          <w:sz w:val="24"/>
          <w:szCs w:val="24"/>
          <w:highlight w:val="none"/>
        </w:rPr>
        <w:t>4</w:t>
      </w:r>
      <w:r>
        <w:rPr>
          <w:rFonts w:hint="default" w:ascii="Times New Roman" w:hAnsi="Times New Roman" w:cs="Times New Roman"/>
          <w:b/>
          <w:color w:val="auto"/>
          <w:sz w:val="24"/>
          <w:szCs w:val="24"/>
          <w:highlight w:val="none"/>
        </w:rPr>
        <w:t>：监测报告</w:t>
      </w:r>
      <w:bookmarkEnd w:id="154"/>
      <w:bookmarkEnd w:id="155"/>
      <w:bookmarkEnd w:id="156"/>
      <w:r>
        <w:rPr>
          <w:rFonts w:hint="default" w:ascii="Times New Roman" w:hAnsi="Times New Roman" w:cs="Times New Roman"/>
          <w:b/>
          <w:color w:val="auto"/>
          <w:sz w:val="24"/>
          <w:szCs w:val="24"/>
          <w:highlight w:val="none"/>
          <w:lang w:val="en-US" w:eastAsia="zh-CN"/>
        </w:rPr>
        <w:t>及监测单位资质</w:t>
      </w:r>
      <w:bookmarkEnd w:id="157"/>
    </w:p>
    <w:p>
      <w:pPr>
        <w:spacing w:line="360" w:lineRule="auto"/>
        <w:rPr>
          <w:rFonts w:hint="eastAsia" w:ascii="Times New Roman" w:hAnsi="Times New Roman" w:cs="Times New Roman" w:eastAsiaTheme="minorEastAsia"/>
          <w:b/>
          <w:color w:val="auto"/>
          <w:sz w:val="24"/>
          <w:szCs w:val="24"/>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cs="Times New Roman" w:eastAsiaTheme="minorEastAsia"/>
          <w:b/>
          <w:color w:val="auto"/>
          <w:sz w:val="24"/>
          <w:szCs w:val="24"/>
          <w:lang w:eastAsia="zh-CN"/>
        </w:rPr>
        <w:drawing>
          <wp:inline distT="0" distB="0" distL="114300" distR="114300">
            <wp:extent cx="5263515" cy="7439025"/>
            <wp:effectExtent l="0" t="0" r="3810" b="0"/>
            <wp:docPr id="4" name="图片 4" descr="桓泓检测资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桓泓检测资质"/>
                    <pic:cNvPicPr>
                      <a:picLocks noChangeAspect="1"/>
                    </pic:cNvPicPr>
                  </pic:nvPicPr>
                  <pic:blipFill>
                    <a:blip r:embed="rId32"/>
                    <a:stretch>
                      <a:fillRect/>
                    </a:stretch>
                  </pic:blipFill>
                  <pic:spPr>
                    <a:xfrm>
                      <a:off x="0" y="0"/>
                      <a:ext cx="5263515" cy="7439025"/>
                    </a:xfrm>
                    <a:prstGeom prst="rect">
                      <a:avLst/>
                    </a:prstGeom>
                  </pic:spPr>
                </pic:pic>
              </a:graphicData>
            </a:graphic>
          </wp:inline>
        </w:drawing>
      </w:r>
      <w:r>
        <w:rPr>
          <w:rFonts w:ascii="Times New Roman" w:hAnsi="Times New Roman" w:cs="Times New Roman"/>
          <w:color w:val="auto"/>
        </w:rPr>
        <w:drawing>
          <wp:inline distT="0" distB="0" distL="114300" distR="114300">
            <wp:extent cx="5356225" cy="7613015"/>
            <wp:effectExtent l="0" t="0" r="6350" b="6985"/>
            <wp:docPr id="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7"/>
                    <pic:cNvPicPr>
                      <a:picLocks noChangeAspect="1"/>
                    </pic:cNvPicPr>
                  </pic:nvPicPr>
                  <pic:blipFill>
                    <a:blip r:embed="rId33"/>
                    <a:stretch>
                      <a:fillRect/>
                    </a:stretch>
                  </pic:blipFill>
                  <pic:spPr>
                    <a:xfrm>
                      <a:off x="0" y="0"/>
                      <a:ext cx="5356225" cy="7613015"/>
                    </a:xfrm>
                    <a:prstGeom prst="rect">
                      <a:avLst/>
                    </a:prstGeom>
                    <a:noFill/>
                    <a:ln>
                      <a:noFill/>
                    </a:ln>
                  </pic:spPr>
                </pic:pic>
              </a:graphicData>
            </a:graphic>
          </wp:inline>
        </w:drawing>
      </w:r>
      <w:r>
        <w:rPr>
          <w:rFonts w:ascii="Times New Roman" w:hAnsi="Times New Roman" w:cs="Times New Roman"/>
          <w:color w:val="auto"/>
        </w:rPr>
        <w:drawing>
          <wp:inline distT="0" distB="0" distL="114300" distR="114300">
            <wp:extent cx="5174615" cy="7291705"/>
            <wp:effectExtent l="0" t="0" r="6985" b="4445"/>
            <wp:docPr id="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8"/>
                    <pic:cNvPicPr>
                      <a:picLocks noChangeAspect="1"/>
                    </pic:cNvPicPr>
                  </pic:nvPicPr>
                  <pic:blipFill>
                    <a:blip r:embed="rId34"/>
                    <a:stretch>
                      <a:fillRect/>
                    </a:stretch>
                  </pic:blipFill>
                  <pic:spPr>
                    <a:xfrm>
                      <a:off x="0" y="0"/>
                      <a:ext cx="5174615" cy="7291705"/>
                    </a:xfrm>
                    <a:prstGeom prst="rect">
                      <a:avLst/>
                    </a:prstGeom>
                    <a:noFill/>
                    <a:ln>
                      <a:noFill/>
                    </a:ln>
                  </pic:spPr>
                </pic:pic>
              </a:graphicData>
            </a:graphic>
          </wp:inline>
        </w:drawing>
      </w:r>
      <w:r>
        <w:rPr>
          <w:rFonts w:ascii="Times New Roman" w:hAnsi="Times New Roman" w:cs="Times New Roman"/>
          <w:color w:val="auto"/>
        </w:rPr>
        <w:drawing>
          <wp:inline distT="0" distB="0" distL="114300" distR="114300">
            <wp:extent cx="5324475" cy="7529830"/>
            <wp:effectExtent l="0" t="0" r="0" b="4445"/>
            <wp:docPr id="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9"/>
                    <pic:cNvPicPr>
                      <a:picLocks noChangeAspect="1"/>
                    </pic:cNvPicPr>
                  </pic:nvPicPr>
                  <pic:blipFill>
                    <a:blip r:embed="rId35"/>
                    <a:stretch>
                      <a:fillRect/>
                    </a:stretch>
                  </pic:blipFill>
                  <pic:spPr>
                    <a:xfrm>
                      <a:off x="0" y="0"/>
                      <a:ext cx="5324475" cy="7529830"/>
                    </a:xfrm>
                    <a:prstGeom prst="rect">
                      <a:avLst/>
                    </a:prstGeom>
                    <a:noFill/>
                    <a:ln>
                      <a:noFill/>
                    </a:ln>
                  </pic:spPr>
                </pic:pic>
              </a:graphicData>
            </a:graphic>
          </wp:inline>
        </w:drawing>
      </w:r>
      <w:r>
        <w:rPr>
          <w:rFonts w:ascii="Times New Roman" w:hAnsi="Times New Roman" w:cs="Times New Roman"/>
          <w:color w:val="auto"/>
        </w:rPr>
        <w:drawing>
          <wp:inline distT="0" distB="0" distL="114300" distR="114300">
            <wp:extent cx="5394325" cy="7571105"/>
            <wp:effectExtent l="0" t="0" r="6350" b="1270"/>
            <wp:docPr id="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0"/>
                    <pic:cNvPicPr>
                      <a:picLocks noChangeAspect="1"/>
                    </pic:cNvPicPr>
                  </pic:nvPicPr>
                  <pic:blipFill>
                    <a:blip r:embed="rId36"/>
                    <a:stretch>
                      <a:fillRect/>
                    </a:stretch>
                  </pic:blipFill>
                  <pic:spPr>
                    <a:xfrm>
                      <a:off x="0" y="0"/>
                      <a:ext cx="5394325" cy="7571105"/>
                    </a:xfrm>
                    <a:prstGeom prst="rect">
                      <a:avLst/>
                    </a:prstGeom>
                    <a:noFill/>
                    <a:ln>
                      <a:noFill/>
                    </a:ln>
                  </pic:spPr>
                </pic:pic>
              </a:graphicData>
            </a:graphic>
          </wp:inline>
        </w:drawing>
      </w:r>
      <w:r>
        <w:rPr>
          <w:rFonts w:ascii="Times New Roman" w:hAnsi="Times New Roman" w:cs="Times New Roman"/>
          <w:color w:val="auto"/>
        </w:rPr>
        <w:drawing>
          <wp:inline distT="0" distB="0" distL="114300" distR="114300">
            <wp:extent cx="5324475" cy="7571740"/>
            <wp:effectExtent l="0" t="0" r="0" b="635"/>
            <wp:docPr id="1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1"/>
                    <pic:cNvPicPr>
                      <a:picLocks noChangeAspect="1"/>
                    </pic:cNvPicPr>
                  </pic:nvPicPr>
                  <pic:blipFill>
                    <a:blip r:embed="rId37"/>
                    <a:stretch>
                      <a:fillRect/>
                    </a:stretch>
                  </pic:blipFill>
                  <pic:spPr>
                    <a:xfrm>
                      <a:off x="0" y="0"/>
                      <a:ext cx="5324475" cy="7571740"/>
                    </a:xfrm>
                    <a:prstGeom prst="rect">
                      <a:avLst/>
                    </a:prstGeom>
                    <a:noFill/>
                    <a:ln>
                      <a:noFill/>
                    </a:ln>
                  </pic:spPr>
                </pic:pic>
              </a:graphicData>
            </a:graphic>
          </wp:inline>
        </w:drawing>
      </w:r>
      <w:r>
        <w:rPr>
          <w:rFonts w:ascii="Times New Roman" w:hAnsi="Times New Roman" w:cs="Times New Roman"/>
          <w:color w:val="auto"/>
        </w:rPr>
        <w:drawing>
          <wp:inline distT="0" distB="0" distL="114300" distR="114300">
            <wp:extent cx="5288915" cy="7439660"/>
            <wp:effectExtent l="0" t="0" r="6985" b="8890"/>
            <wp:docPr id="1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4"/>
                    <pic:cNvPicPr>
                      <a:picLocks noChangeAspect="1"/>
                    </pic:cNvPicPr>
                  </pic:nvPicPr>
                  <pic:blipFill>
                    <a:blip r:embed="rId38"/>
                    <a:stretch>
                      <a:fillRect/>
                    </a:stretch>
                  </pic:blipFill>
                  <pic:spPr>
                    <a:xfrm>
                      <a:off x="0" y="0"/>
                      <a:ext cx="5288915" cy="7439660"/>
                    </a:xfrm>
                    <a:prstGeom prst="rect">
                      <a:avLst/>
                    </a:prstGeom>
                    <a:noFill/>
                    <a:ln>
                      <a:noFill/>
                    </a:ln>
                  </pic:spPr>
                </pic:pic>
              </a:graphicData>
            </a:graphic>
          </wp:inline>
        </w:drawing>
      </w:r>
      <w:r>
        <w:rPr>
          <w:rFonts w:ascii="Times New Roman" w:hAnsi="Times New Roman" w:cs="Times New Roman"/>
          <w:color w:val="auto"/>
        </w:rPr>
        <w:drawing>
          <wp:inline distT="0" distB="0" distL="114300" distR="114300">
            <wp:extent cx="5316220" cy="7563485"/>
            <wp:effectExtent l="0" t="0" r="8255" b="8890"/>
            <wp:docPr id="1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5"/>
                    <pic:cNvPicPr>
                      <a:picLocks noChangeAspect="1"/>
                    </pic:cNvPicPr>
                  </pic:nvPicPr>
                  <pic:blipFill>
                    <a:blip r:embed="rId39"/>
                    <a:stretch>
                      <a:fillRect/>
                    </a:stretch>
                  </pic:blipFill>
                  <pic:spPr>
                    <a:xfrm>
                      <a:off x="0" y="0"/>
                      <a:ext cx="5316220" cy="7563485"/>
                    </a:xfrm>
                    <a:prstGeom prst="rect">
                      <a:avLst/>
                    </a:prstGeom>
                    <a:noFill/>
                    <a:ln>
                      <a:noFill/>
                    </a:ln>
                  </pic:spPr>
                </pic:pic>
              </a:graphicData>
            </a:graphic>
          </wp:inline>
        </w:drawing>
      </w:r>
      <w:r>
        <w:rPr>
          <w:rFonts w:ascii="Times New Roman" w:hAnsi="Times New Roman" w:cs="Times New Roman"/>
          <w:color w:val="auto"/>
        </w:rPr>
        <w:drawing>
          <wp:inline distT="0" distB="0" distL="114300" distR="114300">
            <wp:extent cx="5316220" cy="7563485"/>
            <wp:effectExtent l="0" t="0" r="17780" b="18415"/>
            <wp:docPr id="6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5"/>
                    <pic:cNvPicPr>
                      <a:picLocks noChangeAspect="1"/>
                    </pic:cNvPicPr>
                  </pic:nvPicPr>
                  <pic:blipFill>
                    <a:blip r:embed="rId39"/>
                    <a:stretch>
                      <a:fillRect/>
                    </a:stretch>
                  </pic:blipFill>
                  <pic:spPr>
                    <a:xfrm>
                      <a:off x="0" y="0"/>
                      <a:ext cx="5316220" cy="7563485"/>
                    </a:xfrm>
                    <a:prstGeom prst="rect">
                      <a:avLst/>
                    </a:prstGeom>
                    <a:noFill/>
                    <a:ln>
                      <a:noFill/>
                    </a:ln>
                  </pic:spPr>
                </pic:pic>
              </a:graphicData>
            </a:graphic>
          </wp:inline>
        </w:drawing>
      </w:r>
      <w:r>
        <w:rPr>
          <w:rFonts w:ascii="Times New Roman" w:hAnsi="Times New Roman" w:cs="Times New Roman"/>
          <w:color w:val="auto"/>
        </w:rPr>
        <w:drawing>
          <wp:inline distT="0" distB="0" distL="114300" distR="114300">
            <wp:extent cx="5334635" cy="7557135"/>
            <wp:effectExtent l="0" t="0" r="8890" b="5715"/>
            <wp:docPr id="1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6"/>
                    <pic:cNvPicPr>
                      <a:picLocks noChangeAspect="1"/>
                    </pic:cNvPicPr>
                  </pic:nvPicPr>
                  <pic:blipFill>
                    <a:blip r:embed="rId40"/>
                    <a:stretch>
                      <a:fillRect/>
                    </a:stretch>
                  </pic:blipFill>
                  <pic:spPr>
                    <a:xfrm>
                      <a:off x="0" y="0"/>
                      <a:ext cx="5334635" cy="7557135"/>
                    </a:xfrm>
                    <a:prstGeom prst="rect">
                      <a:avLst/>
                    </a:prstGeom>
                    <a:noFill/>
                    <a:ln>
                      <a:noFill/>
                    </a:ln>
                  </pic:spPr>
                </pic:pic>
              </a:graphicData>
            </a:graphic>
          </wp:inline>
        </w:drawing>
      </w:r>
      <w:r>
        <w:rPr>
          <w:rFonts w:ascii="Times New Roman" w:hAnsi="Times New Roman" w:cs="Times New Roman"/>
          <w:color w:val="auto"/>
        </w:rPr>
        <w:drawing>
          <wp:inline distT="0" distB="0" distL="114300" distR="114300">
            <wp:extent cx="5090795" cy="7188835"/>
            <wp:effectExtent l="0" t="0" r="5080" b="2540"/>
            <wp:docPr id="1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7"/>
                    <pic:cNvPicPr>
                      <a:picLocks noChangeAspect="1"/>
                    </pic:cNvPicPr>
                  </pic:nvPicPr>
                  <pic:blipFill>
                    <a:blip r:embed="rId41"/>
                    <a:stretch>
                      <a:fillRect/>
                    </a:stretch>
                  </pic:blipFill>
                  <pic:spPr>
                    <a:xfrm>
                      <a:off x="0" y="0"/>
                      <a:ext cx="5090795" cy="7188835"/>
                    </a:xfrm>
                    <a:prstGeom prst="rect">
                      <a:avLst/>
                    </a:prstGeom>
                    <a:noFill/>
                    <a:ln>
                      <a:noFill/>
                    </a:ln>
                  </pic:spPr>
                </pic:pic>
              </a:graphicData>
            </a:graphic>
          </wp:inline>
        </w:drawing>
      </w:r>
      <w:r>
        <w:rPr>
          <w:rFonts w:hint="eastAsia" w:ascii="Times New Roman" w:hAnsi="Times New Roman" w:cs="Times New Roman" w:eastAsiaTheme="minorEastAsia"/>
          <w:b/>
          <w:color w:val="auto"/>
          <w:sz w:val="24"/>
          <w:szCs w:val="24"/>
          <w:lang w:eastAsia="zh-CN"/>
        </w:rPr>
        <w:drawing>
          <wp:inline distT="0" distB="0" distL="114300" distR="114300">
            <wp:extent cx="5271135" cy="7453630"/>
            <wp:effectExtent l="0" t="0" r="5715" b="13970"/>
            <wp:docPr id="11" name="图片 11" descr="2210159-岳阳中展科技有限公司w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2210159-岳阳中展科技有限公司w_04"/>
                    <pic:cNvPicPr>
                      <a:picLocks noChangeAspect="1"/>
                    </pic:cNvPicPr>
                  </pic:nvPicPr>
                  <pic:blipFill>
                    <a:blip r:embed="rId42"/>
                    <a:stretch>
                      <a:fillRect/>
                    </a:stretch>
                  </pic:blipFill>
                  <pic:spPr>
                    <a:xfrm>
                      <a:off x="0" y="0"/>
                      <a:ext cx="5271135" cy="7453630"/>
                    </a:xfrm>
                    <a:prstGeom prst="rect">
                      <a:avLst/>
                    </a:prstGeom>
                  </pic:spPr>
                </pic:pic>
              </a:graphicData>
            </a:graphic>
          </wp:inline>
        </w:drawing>
      </w:r>
      <w:r>
        <w:rPr>
          <w:rFonts w:hint="eastAsia" w:ascii="Times New Roman" w:hAnsi="Times New Roman" w:cs="Times New Roman" w:eastAsiaTheme="minorEastAsia"/>
          <w:b/>
          <w:color w:val="auto"/>
          <w:sz w:val="24"/>
          <w:szCs w:val="24"/>
          <w:lang w:eastAsia="zh-CN"/>
        </w:rPr>
        <w:drawing>
          <wp:inline distT="0" distB="0" distL="114300" distR="114300">
            <wp:extent cx="5271135" cy="7453630"/>
            <wp:effectExtent l="0" t="0" r="5715" b="13970"/>
            <wp:docPr id="12" name="图片 12" descr="2210159-岳阳中展科技有限公司w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2210159-岳阳中展科技有限公司w_05"/>
                    <pic:cNvPicPr>
                      <a:picLocks noChangeAspect="1"/>
                    </pic:cNvPicPr>
                  </pic:nvPicPr>
                  <pic:blipFill>
                    <a:blip r:embed="rId43"/>
                    <a:stretch>
                      <a:fillRect/>
                    </a:stretch>
                  </pic:blipFill>
                  <pic:spPr>
                    <a:xfrm>
                      <a:off x="0" y="0"/>
                      <a:ext cx="5271135" cy="7453630"/>
                    </a:xfrm>
                    <a:prstGeom prst="rect">
                      <a:avLst/>
                    </a:prstGeom>
                  </pic:spPr>
                </pic:pic>
              </a:graphicData>
            </a:graphic>
          </wp:inline>
        </w:drawing>
      </w:r>
      <w:r>
        <w:rPr>
          <w:rFonts w:hint="eastAsia" w:ascii="Times New Roman" w:hAnsi="Times New Roman" w:cs="Times New Roman" w:eastAsiaTheme="minorEastAsia"/>
          <w:b/>
          <w:color w:val="auto"/>
          <w:sz w:val="24"/>
          <w:szCs w:val="24"/>
          <w:lang w:eastAsia="zh-CN"/>
        </w:rPr>
        <w:drawing>
          <wp:inline distT="0" distB="0" distL="114300" distR="114300">
            <wp:extent cx="5271135" cy="7453630"/>
            <wp:effectExtent l="0" t="0" r="5715" b="13970"/>
            <wp:docPr id="94" name="图片 94" descr="2210159-岳阳中展科技有限公司w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2210159-岳阳中展科技有限公司w_06"/>
                    <pic:cNvPicPr>
                      <a:picLocks noChangeAspect="1"/>
                    </pic:cNvPicPr>
                  </pic:nvPicPr>
                  <pic:blipFill>
                    <a:blip r:embed="rId44"/>
                    <a:stretch>
                      <a:fillRect/>
                    </a:stretch>
                  </pic:blipFill>
                  <pic:spPr>
                    <a:xfrm>
                      <a:off x="0" y="0"/>
                      <a:ext cx="5271135" cy="7453630"/>
                    </a:xfrm>
                    <a:prstGeom prst="rect">
                      <a:avLst/>
                    </a:prstGeom>
                  </pic:spPr>
                </pic:pic>
              </a:graphicData>
            </a:graphic>
          </wp:inline>
        </w:drawing>
      </w:r>
      <w:r>
        <w:rPr>
          <w:rFonts w:hint="eastAsia" w:ascii="Times New Roman" w:hAnsi="Times New Roman" w:cs="Times New Roman" w:eastAsiaTheme="minorEastAsia"/>
          <w:b/>
          <w:color w:val="auto"/>
          <w:sz w:val="24"/>
          <w:szCs w:val="24"/>
          <w:lang w:eastAsia="zh-CN"/>
        </w:rPr>
        <w:drawing>
          <wp:inline distT="0" distB="0" distL="114300" distR="114300">
            <wp:extent cx="5271135" cy="7453630"/>
            <wp:effectExtent l="0" t="0" r="5715" b="13970"/>
            <wp:docPr id="96" name="图片 96" descr="2210159-岳阳中展科技有限公司w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2210159-岳阳中展科技有限公司w_07"/>
                    <pic:cNvPicPr>
                      <a:picLocks noChangeAspect="1"/>
                    </pic:cNvPicPr>
                  </pic:nvPicPr>
                  <pic:blipFill>
                    <a:blip r:embed="rId45"/>
                    <a:stretch>
                      <a:fillRect/>
                    </a:stretch>
                  </pic:blipFill>
                  <pic:spPr>
                    <a:xfrm>
                      <a:off x="0" y="0"/>
                      <a:ext cx="5271135" cy="7453630"/>
                    </a:xfrm>
                    <a:prstGeom prst="rect">
                      <a:avLst/>
                    </a:prstGeom>
                  </pic:spPr>
                </pic:pic>
              </a:graphicData>
            </a:graphic>
          </wp:inline>
        </w:drawing>
      </w:r>
    </w:p>
    <w:p>
      <w:pPr>
        <w:spacing w:line="360" w:lineRule="auto"/>
        <w:outlineLvl w:val="0"/>
        <w:rPr>
          <w:rFonts w:hint="default" w:ascii="Times New Roman" w:hAnsi="Times New Roman" w:cs="Times New Roman" w:eastAsiaTheme="minorEastAsia"/>
          <w:b/>
          <w:color w:val="auto"/>
          <w:sz w:val="24"/>
          <w:szCs w:val="24"/>
          <w:lang w:val="en-US" w:eastAsia="zh-CN"/>
        </w:rPr>
      </w:pPr>
      <w:bookmarkStart w:id="158" w:name="_Toc1009"/>
      <w:bookmarkStart w:id="159" w:name="_Toc62118307"/>
      <w:bookmarkStart w:id="160" w:name="_Toc62122440"/>
      <w:bookmarkStart w:id="161" w:name="_Toc85120930"/>
      <w:r>
        <w:rPr>
          <w:rFonts w:hint="default" w:ascii="Times New Roman" w:hAnsi="Times New Roman" w:cs="Times New Roman"/>
          <w:b/>
          <w:color w:val="auto"/>
          <w:sz w:val="24"/>
          <w:szCs w:val="24"/>
          <w:lang w:val="en-US" w:eastAsia="zh-CN"/>
        </w:rPr>
        <w:t>附件5：危废处理协议（</w:t>
      </w:r>
      <w:r>
        <w:rPr>
          <w:rFonts w:hint="default" w:ascii="Times New Roman" w:hAnsi="Times New Roman" w:cs="Times New Roman"/>
          <w:b/>
          <w:color w:val="auto"/>
          <w:sz w:val="24"/>
          <w:szCs w:val="24"/>
        </w:rPr>
        <w:t>废包装、废包装桶、实验室废试剂瓶</w:t>
      </w:r>
      <w:r>
        <w:rPr>
          <w:rFonts w:hint="default" w:ascii="Times New Roman" w:hAnsi="Times New Roman" w:cs="Times New Roman"/>
          <w:b/>
          <w:color w:val="auto"/>
          <w:sz w:val="24"/>
          <w:szCs w:val="24"/>
          <w:lang w:val="en-US" w:eastAsia="zh-CN"/>
        </w:rPr>
        <w:t>）</w:t>
      </w:r>
      <w:bookmarkEnd w:id="158"/>
    </w:p>
    <w:p>
      <w:pPr>
        <w:spacing w:line="240" w:lineRule="auto"/>
        <w:outlineLvl w:val="9"/>
        <w:rPr>
          <w:rFonts w:hint="default" w:ascii="Times New Roman" w:hAnsi="Times New Roman" w:cs="Times New Roman"/>
          <w:color w:val="auto"/>
          <w:lang w:val="en-US" w:eastAsia="zh-CN"/>
        </w:rPr>
      </w:pPr>
      <w:r>
        <w:rPr>
          <w:rFonts w:hint="default" w:ascii="Times New Roman" w:hAnsi="Times New Roman" w:cs="Times New Roman" w:eastAsiaTheme="minorEastAsia"/>
          <w:color w:val="auto"/>
          <w:lang w:eastAsia="zh-CN"/>
        </w:rPr>
        <w:drawing>
          <wp:inline distT="0" distB="0" distL="114300" distR="114300">
            <wp:extent cx="5563870" cy="7421880"/>
            <wp:effectExtent l="0" t="0" r="8255" b="7620"/>
            <wp:docPr id="22" name="图片 22" descr="f61b66866ab93b8e98be157dce94a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f61b66866ab93b8e98be157dce94a05"/>
                    <pic:cNvPicPr>
                      <a:picLocks noChangeAspect="1"/>
                    </pic:cNvPicPr>
                  </pic:nvPicPr>
                  <pic:blipFill>
                    <a:blip r:embed="rId46"/>
                    <a:stretch>
                      <a:fillRect/>
                    </a:stretch>
                  </pic:blipFill>
                  <pic:spPr>
                    <a:xfrm>
                      <a:off x="0" y="0"/>
                      <a:ext cx="5563870" cy="7421880"/>
                    </a:xfrm>
                    <a:prstGeom prst="rect">
                      <a:avLst/>
                    </a:prstGeom>
                  </pic:spPr>
                </pic:pic>
              </a:graphicData>
            </a:graphic>
          </wp:inline>
        </w:drawing>
      </w:r>
      <w:r>
        <w:rPr>
          <w:rFonts w:hint="default" w:ascii="Times New Roman" w:hAnsi="Times New Roman" w:cs="Times New Roman" w:eastAsiaTheme="minorEastAsia"/>
          <w:color w:val="auto"/>
          <w:lang w:eastAsia="zh-CN"/>
        </w:rPr>
        <w:drawing>
          <wp:inline distT="0" distB="0" distL="114300" distR="114300">
            <wp:extent cx="7208520" cy="5404485"/>
            <wp:effectExtent l="0" t="0" r="5715" b="1905"/>
            <wp:docPr id="23" name="图片 23" descr="4b9a8bf48ebf61643ac8ea022a151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4b9a8bf48ebf61643ac8ea022a151db"/>
                    <pic:cNvPicPr>
                      <a:picLocks noChangeAspect="1"/>
                    </pic:cNvPicPr>
                  </pic:nvPicPr>
                  <pic:blipFill>
                    <a:blip r:embed="rId47"/>
                    <a:stretch>
                      <a:fillRect/>
                    </a:stretch>
                  </pic:blipFill>
                  <pic:spPr>
                    <a:xfrm rot="5400000">
                      <a:off x="0" y="0"/>
                      <a:ext cx="7208520" cy="5404485"/>
                    </a:xfrm>
                    <a:prstGeom prst="rect">
                      <a:avLst/>
                    </a:prstGeom>
                  </pic:spPr>
                </pic:pic>
              </a:graphicData>
            </a:graphic>
          </wp:inline>
        </w:drawing>
      </w:r>
      <w:r>
        <w:rPr>
          <w:rFonts w:hint="default" w:ascii="Times New Roman" w:hAnsi="Times New Roman" w:cs="Times New Roman" w:eastAsiaTheme="minorEastAsia"/>
          <w:color w:val="auto"/>
          <w:lang w:eastAsia="zh-CN"/>
        </w:rPr>
        <w:drawing>
          <wp:inline distT="0" distB="0" distL="114300" distR="114300">
            <wp:extent cx="7238365" cy="5426710"/>
            <wp:effectExtent l="0" t="0" r="2540" b="635"/>
            <wp:docPr id="24" name="图片 24" descr="09c0702fcc09fcf89afe23c21c16a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09c0702fcc09fcf89afe23c21c16a80"/>
                    <pic:cNvPicPr>
                      <a:picLocks noChangeAspect="1"/>
                    </pic:cNvPicPr>
                  </pic:nvPicPr>
                  <pic:blipFill>
                    <a:blip r:embed="rId48"/>
                    <a:stretch>
                      <a:fillRect/>
                    </a:stretch>
                  </pic:blipFill>
                  <pic:spPr>
                    <a:xfrm rot="5400000">
                      <a:off x="0" y="0"/>
                      <a:ext cx="7238365" cy="5426710"/>
                    </a:xfrm>
                    <a:prstGeom prst="rect">
                      <a:avLst/>
                    </a:prstGeom>
                  </pic:spPr>
                </pic:pic>
              </a:graphicData>
            </a:graphic>
          </wp:inline>
        </w:drawing>
      </w:r>
      <w:r>
        <w:rPr>
          <w:rFonts w:hint="default" w:ascii="Times New Roman" w:hAnsi="Times New Roman" w:cs="Times New Roman" w:eastAsiaTheme="minorEastAsia"/>
          <w:color w:val="auto"/>
          <w:lang w:eastAsia="zh-CN"/>
        </w:rPr>
        <w:drawing>
          <wp:inline distT="0" distB="0" distL="114300" distR="114300">
            <wp:extent cx="7192010" cy="5391785"/>
            <wp:effectExtent l="0" t="0" r="8890" b="8890"/>
            <wp:docPr id="25" name="图片 25" descr="d69512f26bb31f14ba343ec5bee1f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d69512f26bb31f14ba343ec5bee1f1e"/>
                    <pic:cNvPicPr>
                      <a:picLocks noChangeAspect="1"/>
                    </pic:cNvPicPr>
                  </pic:nvPicPr>
                  <pic:blipFill>
                    <a:blip r:embed="rId49"/>
                    <a:stretch>
                      <a:fillRect/>
                    </a:stretch>
                  </pic:blipFill>
                  <pic:spPr>
                    <a:xfrm rot="5400000">
                      <a:off x="0" y="0"/>
                      <a:ext cx="7192010" cy="5391785"/>
                    </a:xfrm>
                    <a:prstGeom prst="rect">
                      <a:avLst/>
                    </a:prstGeom>
                  </pic:spPr>
                </pic:pic>
              </a:graphicData>
            </a:graphic>
          </wp:inline>
        </w:drawing>
      </w:r>
      <w:r>
        <w:rPr>
          <w:rFonts w:hint="default" w:ascii="Times New Roman" w:hAnsi="Times New Roman" w:cs="Times New Roman" w:eastAsiaTheme="minorEastAsia"/>
          <w:color w:val="auto"/>
          <w:lang w:eastAsia="zh-CN"/>
        </w:rPr>
        <w:drawing>
          <wp:inline distT="0" distB="0" distL="114300" distR="114300">
            <wp:extent cx="7202170" cy="5400040"/>
            <wp:effectExtent l="0" t="0" r="635" b="8255"/>
            <wp:docPr id="26" name="图片 26" descr="cf6b30946faf1b9cc6010f44ea97a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f6b30946faf1b9cc6010f44ea97aaf"/>
                    <pic:cNvPicPr>
                      <a:picLocks noChangeAspect="1"/>
                    </pic:cNvPicPr>
                  </pic:nvPicPr>
                  <pic:blipFill>
                    <a:blip r:embed="rId50"/>
                    <a:stretch>
                      <a:fillRect/>
                    </a:stretch>
                  </pic:blipFill>
                  <pic:spPr>
                    <a:xfrm rot="5400000">
                      <a:off x="0" y="0"/>
                      <a:ext cx="7202170" cy="5400040"/>
                    </a:xfrm>
                    <a:prstGeom prst="rect">
                      <a:avLst/>
                    </a:prstGeom>
                  </pic:spPr>
                </pic:pic>
              </a:graphicData>
            </a:graphic>
          </wp:inline>
        </w:drawing>
      </w:r>
      <w:r>
        <w:rPr>
          <w:rFonts w:hint="default" w:ascii="Times New Roman" w:hAnsi="Times New Roman" w:cs="Times New Roman" w:eastAsiaTheme="minorEastAsia"/>
          <w:color w:val="auto"/>
          <w:lang w:eastAsia="zh-CN"/>
        </w:rPr>
        <w:drawing>
          <wp:inline distT="0" distB="0" distL="114300" distR="114300">
            <wp:extent cx="7333615" cy="5498465"/>
            <wp:effectExtent l="0" t="0" r="6985" b="635"/>
            <wp:docPr id="27" name="图片 27" descr="58e550e5afa40c9f3b2b52a2c29c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58e550e5afa40c9f3b2b52a2c29c933"/>
                    <pic:cNvPicPr>
                      <a:picLocks noChangeAspect="1"/>
                    </pic:cNvPicPr>
                  </pic:nvPicPr>
                  <pic:blipFill>
                    <a:blip r:embed="rId51"/>
                    <a:stretch>
                      <a:fillRect/>
                    </a:stretch>
                  </pic:blipFill>
                  <pic:spPr>
                    <a:xfrm rot="5400000">
                      <a:off x="0" y="0"/>
                      <a:ext cx="7333615" cy="5498465"/>
                    </a:xfrm>
                    <a:prstGeom prst="rect">
                      <a:avLst/>
                    </a:prstGeom>
                  </pic:spPr>
                </pic:pic>
              </a:graphicData>
            </a:graphic>
          </wp:inline>
        </w:drawing>
      </w:r>
      <w:r>
        <w:rPr>
          <w:rFonts w:hint="default" w:ascii="Times New Roman" w:hAnsi="Times New Roman" w:cs="Times New Roman" w:eastAsiaTheme="minorEastAsia"/>
          <w:color w:val="auto"/>
          <w:lang w:eastAsia="zh-CN"/>
        </w:rPr>
        <w:drawing>
          <wp:inline distT="0" distB="0" distL="114300" distR="114300">
            <wp:extent cx="7779385" cy="5832475"/>
            <wp:effectExtent l="0" t="0" r="6350" b="2540"/>
            <wp:docPr id="32" name="图片 32" descr="b7b155cfc5f0f3aec0a0de7197d8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b7b155cfc5f0f3aec0a0de7197d8634"/>
                    <pic:cNvPicPr>
                      <a:picLocks noChangeAspect="1"/>
                    </pic:cNvPicPr>
                  </pic:nvPicPr>
                  <pic:blipFill>
                    <a:blip r:embed="rId52"/>
                    <a:stretch>
                      <a:fillRect/>
                    </a:stretch>
                  </pic:blipFill>
                  <pic:spPr>
                    <a:xfrm rot="5400000">
                      <a:off x="0" y="0"/>
                      <a:ext cx="7779385" cy="5832475"/>
                    </a:xfrm>
                    <a:prstGeom prst="rect">
                      <a:avLst/>
                    </a:prstGeom>
                  </pic:spPr>
                </pic:pic>
              </a:graphicData>
            </a:graphic>
          </wp:inline>
        </w:drawing>
      </w:r>
    </w:p>
    <w:p>
      <w:pPr>
        <w:spacing w:line="240" w:lineRule="auto"/>
        <w:outlineLvl w:val="9"/>
        <w:rPr>
          <w:rFonts w:hint="default" w:ascii="Times New Roman" w:hAnsi="Times New Roman" w:cs="Times New Roman"/>
          <w:color w:val="auto"/>
          <w:lang w:val="en-US" w:eastAsia="zh-CN"/>
        </w:rPr>
      </w:pPr>
    </w:p>
    <w:p>
      <w:pPr>
        <w:spacing w:line="240" w:lineRule="auto"/>
        <w:outlineLvl w:val="9"/>
        <w:rPr>
          <w:rFonts w:hint="default" w:ascii="Times New Roman" w:hAnsi="Times New Roman" w:cs="Times New Roman"/>
          <w:color w:val="auto"/>
          <w:lang w:val="en-US" w:eastAsia="zh-CN"/>
        </w:rPr>
      </w:pPr>
    </w:p>
    <w:p>
      <w:pPr>
        <w:spacing w:line="240" w:lineRule="auto"/>
        <w:outlineLvl w:val="9"/>
        <w:rPr>
          <w:rFonts w:hint="default" w:ascii="Times New Roman" w:hAnsi="Times New Roman" w:cs="Times New Roman"/>
          <w:color w:val="auto"/>
          <w:lang w:val="en-US" w:eastAsia="zh-CN"/>
        </w:rPr>
      </w:pPr>
    </w:p>
    <w:p>
      <w:pPr>
        <w:spacing w:line="240" w:lineRule="auto"/>
        <w:outlineLvl w:val="9"/>
        <w:rPr>
          <w:rFonts w:hint="default" w:ascii="Times New Roman" w:hAnsi="Times New Roman" w:cs="Times New Roman"/>
          <w:color w:val="auto"/>
          <w:lang w:val="en-US" w:eastAsia="zh-CN"/>
        </w:rPr>
      </w:pPr>
    </w:p>
    <w:p>
      <w:pPr>
        <w:spacing w:line="360" w:lineRule="auto"/>
        <w:outlineLvl w:val="0"/>
        <w:rPr>
          <w:rFonts w:hint="default" w:ascii="Times New Roman" w:hAnsi="Times New Roman" w:cs="Times New Roman" w:eastAsiaTheme="minorEastAsia"/>
          <w:b/>
          <w:color w:val="auto"/>
          <w:sz w:val="24"/>
          <w:szCs w:val="24"/>
          <w:lang w:val="en-US" w:eastAsia="zh-CN"/>
        </w:rPr>
      </w:pPr>
      <w:bookmarkStart w:id="162" w:name="_Toc16366"/>
      <w:r>
        <w:rPr>
          <w:rFonts w:hint="default" w:ascii="Times New Roman" w:hAnsi="Times New Roman" w:cs="Times New Roman"/>
          <w:b/>
          <w:color w:val="auto"/>
          <w:sz w:val="24"/>
          <w:szCs w:val="24"/>
          <w:lang w:val="en-US" w:eastAsia="zh-CN"/>
        </w:rPr>
        <w:t>附件6：危废处理协议（</w:t>
      </w:r>
      <w:r>
        <w:rPr>
          <w:rFonts w:hint="default" w:ascii="Times New Roman" w:hAnsi="Times New Roman" w:cs="Times New Roman"/>
          <w:b/>
          <w:color w:val="auto"/>
          <w:sz w:val="24"/>
          <w:szCs w:val="24"/>
        </w:rPr>
        <w:t>废过滤渣及滤网</w:t>
      </w:r>
      <w:r>
        <w:rPr>
          <w:rFonts w:hint="default" w:ascii="Times New Roman" w:hAnsi="Times New Roman" w:cs="Times New Roman"/>
          <w:b/>
          <w:color w:val="auto"/>
          <w:sz w:val="24"/>
          <w:szCs w:val="24"/>
          <w:lang w:val="en-US" w:eastAsia="zh-CN"/>
        </w:rPr>
        <w:t>）</w:t>
      </w:r>
      <w:bookmarkEnd w:id="162"/>
    </w:p>
    <w:p>
      <w:pPr>
        <w:spacing w:line="240" w:lineRule="auto"/>
        <w:outlineLvl w:val="9"/>
        <w:rPr>
          <w:rFonts w:hint="default" w:ascii="Times New Roman" w:hAnsi="Times New Roman" w:cs="Times New Roman"/>
          <w:color w:val="auto"/>
          <w:lang w:val="en-US" w:eastAsia="zh-CN"/>
        </w:rPr>
      </w:pPr>
      <w:r>
        <w:rPr>
          <w:rFonts w:hint="default" w:ascii="Times New Roman" w:hAnsi="Times New Roman" w:cs="Times New Roman" w:eastAsiaTheme="minorEastAsia"/>
          <w:color w:val="auto"/>
          <w:sz w:val="28"/>
          <w:szCs w:val="28"/>
          <w:lang w:eastAsia="zh-CN"/>
        </w:rPr>
        <w:drawing>
          <wp:inline distT="0" distB="0" distL="114300" distR="114300">
            <wp:extent cx="5271135" cy="7450455"/>
            <wp:effectExtent l="0" t="0" r="5715" b="7620"/>
            <wp:docPr id="33" name="图片 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1"/>
                    <pic:cNvPicPr>
                      <a:picLocks noChangeAspect="1"/>
                    </pic:cNvPicPr>
                  </pic:nvPicPr>
                  <pic:blipFill>
                    <a:blip r:embed="rId53"/>
                    <a:stretch>
                      <a:fillRect/>
                    </a:stretch>
                  </pic:blipFill>
                  <pic:spPr>
                    <a:xfrm>
                      <a:off x="0" y="0"/>
                      <a:ext cx="5271135" cy="7450455"/>
                    </a:xfrm>
                    <a:prstGeom prst="rect">
                      <a:avLst/>
                    </a:prstGeom>
                  </pic:spPr>
                </pic:pic>
              </a:graphicData>
            </a:graphic>
          </wp:inline>
        </w:drawing>
      </w:r>
      <w:r>
        <w:rPr>
          <w:rFonts w:hint="default" w:ascii="Times New Roman" w:hAnsi="Times New Roman" w:cs="Times New Roman" w:eastAsiaTheme="minorEastAsia"/>
          <w:color w:val="auto"/>
          <w:sz w:val="28"/>
          <w:szCs w:val="28"/>
          <w:lang w:eastAsia="zh-CN"/>
        </w:rPr>
        <w:drawing>
          <wp:inline distT="0" distB="0" distL="114300" distR="114300">
            <wp:extent cx="5271135" cy="7450455"/>
            <wp:effectExtent l="0" t="0" r="5715" b="7620"/>
            <wp:docPr id="38" name="图片 3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2"/>
                    <pic:cNvPicPr>
                      <a:picLocks noChangeAspect="1"/>
                    </pic:cNvPicPr>
                  </pic:nvPicPr>
                  <pic:blipFill>
                    <a:blip r:embed="rId54"/>
                    <a:stretch>
                      <a:fillRect/>
                    </a:stretch>
                  </pic:blipFill>
                  <pic:spPr>
                    <a:xfrm>
                      <a:off x="0" y="0"/>
                      <a:ext cx="5271135" cy="7450455"/>
                    </a:xfrm>
                    <a:prstGeom prst="rect">
                      <a:avLst/>
                    </a:prstGeom>
                  </pic:spPr>
                </pic:pic>
              </a:graphicData>
            </a:graphic>
          </wp:inline>
        </w:drawing>
      </w:r>
      <w:r>
        <w:rPr>
          <w:rFonts w:hint="default" w:ascii="Times New Roman" w:hAnsi="Times New Roman" w:cs="Times New Roman" w:eastAsiaTheme="minorEastAsia"/>
          <w:color w:val="auto"/>
          <w:sz w:val="28"/>
          <w:szCs w:val="28"/>
          <w:lang w:eastAsia="zh-CN"/>
        </w:rPr>
        <w:drawing>
          <wp:inline distT="0" distB="0" distL="114300" distR="114300">
            <wp:extent cx="5271135" cy="7450455"/>
            <wp:effectExtent l="0" t="0" r="5715" b="7620"/>
            <wp:docPr id="42" name="图片 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1"/>
                    <pic:cNvPicPr>
                      <a:picLocks noChangeAspect="1"/>
                    </pic:cNvPicPr>
                  </pic:nvPicPr>
                  <pic:blipFill>
                    <a:blip r:embed="rId55"/>
                    <a:stretch>
                      <a:fillRect/>
                    </a:stretch>
                  </pic:blipFill>
                  <pic:spPr>
                    <a:xfrm rot="10800000">
                      <a:off x="0" y="0"/>
                      <a:ext cx="5271135" cy="7450455"/>
                    </a:xfrm>
                    <a:prstGeom prst="rect">
                      <a:avLst/>
                    </a:prstGeom>
                  </pic:spPr>
                </pic:pic>
              </a:graphicData>
            </a:graphic>
          </wp:inline>
        </w:drawing>
      </w:r>
      <w:r>
        <w:rPr>
          <w:rFonts w:hint="default" w:ascii="Times New Roman" w:hAnsi="Times New Roman" w:cs="Times New Roman" w:eastAsiaTheme="minorEastAsia"/>
          <w:color w:val="auto"/>
          <w:sz w:val="28"/>
          <w:szCs w:val="28"/>
          <w:lang w:eastAsia="zh-CN"/>
        </w:rPr>
        <w:drawing>
          <wp:inline distT="0" distB="0" distL="114300" distR="114300">
            <wp:extent cx="5271135" cy="7450455"/>
            <wp:effectExtent l="0" t="0" r="5715" b="7620"/>
            <wp:docPr id="43" name="图片 4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1"/>
                    <pic:cNvPicPr>
                      <a:picLocks noChangeAspect="1"/>
                    </pic:cNvPicPr>
                  </pic:nvPicPr>
                  <pic:blipFill>
                    <a:blip r:embed="rId56"/>
                    <a:stretch>
                      <a:fillRect/>
                    </a:stretch>
                  </pic:blipFill>
                  <pic:spPr>
                    <a:xfrm rot="10800000">
                      <a:off x="0" y="0"/>
                      <a:ext cx="5271135" cy="7450455"/>
                    </a:xfrm>
                    <a:prstGeom prst="rect">
                      <a:avLst/>
                    </a:prstGeom>
                  </pic:spPr>
                </pic:pic>
              </a:graphicData>
            </a:graphic>
          </wp:inline>
        </w:drawing>
      </w:r>
      <w:r>
        <w:rPr>
          <w:rFonts w:hint="default" w:ascii="Times New Roman" w:hAnsi="Times New Roman" w:cs="Times New Roman" w:eastAsiaTheme="minorEastAsia"/>
          <w:color w:val="auto"/>
          <w:sz w:val="28"/>
          <w:szCs w:val="28"/>
          <w:lang w:eastAsia="zh-CN"/>
        </w:rPr>
        <w:drawing>
          <wp:inline distT="0" distB="0" distL="114300" distR="114300">
            <wp:extent cx="5271135" cy="7450455"/>
            <wp:effectExtent l="0" t="0" r="5715" b="7620"/>
            <wp:docPr id="44" name="图片 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1"/>
                    <pic:cNvPicPr>
                      <a:picLocks noChangeAspect="1"/>
                    </pic:cNvPicPr>
                  </pic:nvPicPr>
                  <pic:blipFill>
                    <a:blip r:embed="rId57"/>
                    <a:stretch>
                      <a:fillRect/>
                    </a:stretch>
                  </pic:blipFill>
                  <pic:spPr>
                    <a:xfrm rot="10800000">
                      <a:off x="0" y="0"/>
                      <a:ext cx="5271135" cy="7450455"/>
                    </a:xfrm>
                    <a:prstGeom prst="rect">
                      <a:avLst/>
                    </a:prstGeom>
                  </pic:spPr>
                </pic:pic>
              </a:graphicData>
            </a:graphic>
          </wp:inline>
        </w:drawing>
      </w:r>
      <w:r>
        <w:rPr>
          <w:rFonts w:hint="default" w:ascii="Times New Roman" w:hAnsi="Times New Roman" w:cs="Times New Roman" w:eastAsiaTheme="minorEastAsia"/>
          <w:color w:val="auto"/>
          <w:sz w:val="28"/>
          <w:szCs w:val="28"/>
          <w:lang w:eastAsia="zh-CN"/>
        </w:rPr>
        <w:drawing>
          <wp:inline distT="0" distB="0" distL="114300" distR="114300">
            <wp:extent cx="5271135" cy="7450455"/>
            <wp:effectExtent l="0" t="0" r="5715" b="7620"/>
            <wp:docPr id="45" name="图片 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1"/>
                    <pic:cNvPicPr>
                      <a:picLocks noChangeAspect="1"/>
                    </pic:cNvPicPr>
                  </pic:nvPicPr>
                  <pic:blipFill>
                    <a:blip r:embed="rId58"/>
                    <a:stretch>
                      <a:fillRect/>
                    </a:stretch>
                  </pic:blipFill>
                  <pic:spPr>
                    <a:xfrm rot="10800000">
                      <a:off x="0" y="0"/>
                      <a:ext cx="5271135" cy="7450455"/>
                    </a:xfrm>
                    <a:prstGeom prst="rect">
                      <a:avLst/>
                    </a:prstGeom>
                  </pic:spPr>
                </pic:pic>
              </a:graphicData>
            </a:graphic>
          </wp:inline>
        </w:drawing>
      </w:r>
      <w:r>
        <w:rPr>
          <w:rFonts w:hint="default" w:ascii="Times New Roman" w:hAnsi="Times New Roman" w:cs="Times New Roman" w:eastAsiaTheme="minorEastAsia"/>
          <w:color w:val="auto"/>
          <w:sz w:val="28"/>
          <w:szCs w:val="28"/>
          <w:lang w:eastAsia="zh-CN"/>
        </w:rPr>
        <w:drawing>
          <wp:inline distT="0" distB="0" distL="114300" distR="114300">
            <wp:extent cx="5271135" cy="7450455"/>
            <wp:effectExtent l="0" t="0" r="5715" b="7620"/>
            <wp:docPr id="46" name="图片 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1"/>
                    <pic:cNvPicPr>
                      <a:picLocks noChangeAspect="1"/>
                    </pic:cNvPicPr>
                  </pic:nvPicPr>
                  <pic:blipFill>
                    <a:blip r:embed="rId59"/>
                    <a:stretch>
                      <a:fillRect/>
                    </a:stretch>
                  </pic:blipFill>
                  <pic:spPr>
                    <a:xfrm rot="10800000">
                      <a:off x="0" y="0"/>
                      <a:ext cx="5271135" cy="7450455"/>
                    </a:xfrm>
                    <a:prstGeom prst="rect">
                      <a:avLst/>
                    </a:prstGeom>
                  </pic:spPr>
                </pic:pic>
              </a:graphicData>
            </a:graphic>
          </wp:inline>
        </w:drawing>
      </w:r>
    </w:p>
    <w:p>
      <w:pPr>
        <w:spacing w:line="240" w:lineRule="auto"/>
        <w:outlineLvl w:val="9"/>
        <w:rPr>
          <w:rFonts w:hint="default" w:ascii="Times New Roman" w:hAnsi="Times New Roman" w:cs="Times New Roman"/>
          <w:color w:val="auto"/>
          <w:lang w:val="en-US" w:eastAsia="zh-CN"/>
        </w:rPr>
      </w:pPr>
    </w:p>
    <w:p>
      <w:pPr>
        <w:spacing w:line="240" w:lineRule="auto"/>
        <w:outlineLvl w:val="9"/>
        <w:rPr>
          <w:rFonts w:hint="default" w:ascii="Times New Roman" w:hAnsi="Times New Roman" w:cs="Times New Roman"/>
          <w:color w:val="auto"/>
          <w:lang w:val="en-US" w:eastAsia="zh-CN"/>
        </w:rPr>
      </w:pPr>
    </w:p>
    <w:p>
      <w:pPr>
        <w:spacing w:line="240" w:lineRule="auto"/>
        <w:outlineLvl w:val="9"/>
        <w:rPr>
          <w:rFonts w:hint="default" w:ascii="Times New Roman" w:hAnsi="Times New Roman" w:cs="Times New Roman"/>
          <w:color w:val="auto"/>
          <w:lang w:val="en-US" w:eastAsia="zh-CN"/>
        </w:rPr>
      </w:pPr>
    </w:p>
    <w:p>
      <w:pPr>
        <w:spacing w:line="240" w:lineRule="auto"/>
        <w:outlineLvl w:val="9"/>
        <w:rPr>
          <w:rFonts w:hint="default" w:ascii="Times New Roman" w:hAnsi="Times New Roman" w:cs="Times New Roman"/>
          <w:color w:val="auto"/>
          <w:lang w:val="en-US" w:eastAsia="zh-CN"/>
        </w:rPr>
      </w:pPr>
    </w:p>
    <w:p>
      <w:pPr>
        <w:spacing w:line="240" w:lineRule="auto"/>
        <w:outlineLvl w:val="9"/>
        <w:rPr>
          <w:rFonts w:hint="default" w:ascii="Times New Roman" w:hAnsi="Times New Roman" w:cs="Times New Roman"/>
          <w:color w:val="auto"/>
          <w:lang w:val="en-US" w:eastAsia="zh-CN"/>
        </w:rPr>
      </w:pPr>
    </w:p>
    <w:p>
      <w:pPr>
        <w:spacing w:line="240" w:lineRule="auto"/>
        <w:outlineLvl w:val="9"/>
        <w:rPr>
          <w:rFonts w:hint="default" w:ascii="Times New Roman" w:hAnsi="Times New Roman" w:cs="Times New Roman"/>
          <w:color w:val="auto"/>
          <w:lang w:val="en-US" w:eastAsia="zh-CN"/>
        </w:rPr>
      </w:pPr>
    </w:p>
    <w:p>
      <w:pPr>
        <w:spacing w:line="360" w:lineRule="auto"/>
        <w:outlineLvl w:val="0"/>
        <w:rPr>
          <w:rFonts w:hint="default" w:ascii="Times New Roman" w:hAnsi="Times New Roman" w:cs="Times New Roman" w:eastAsiaTheme="minorEastAsia"/>
          <w:b/>
          <w:color w:val="auto"/>
          <w:sz w:val="24"/>
          <w:szCs w:val="24"/>
          <w:lang w:val="en-US" w:eastAsia="zh-CN"/>
        </w:rPr>
      </w:pPr>
      <w:bookmarkStart w:id="163" w:name="_Toc13597"/>
      <w:r>
        <w:rPr>
          <w:rFonts w:hint="default" w:ascii="Times New Roman" w:hAnsi="Times New Roman" w:cs="Times New Roman"/>
          <w:b/>
          <w:color w:val="auto"/>
          <w:sz w:val="24"/>
          <w:szCs w:val="24"/>
          <w:lang w:val="en-US" w:eastAsia="zh-CN"/>
        </w:rPr>
        <w:t>附件7：危废处理协议（生化污泥）</w:t>
      </w:r>
      <w:bookmarkEnd w:id="163"/>
    </w:p>
    <w:p>
      <w:pPr>
        <w:spacing w:line="240" w:lineRule="auto"/>
        <w:outlineLvl w:val="9"/>
        <w:rPr>
          <w:rFonts w:hint="default" w:ascii="Times New Roman" w:hAnsi="Times New Roman" w:cs="Times New Roman"/>
          <w:color w:val="auto"/>
          <w:lang w:val="en-US" w:eastAsia="zh-CN"/>
        </w:rPr>
      </w:pPr>
      <w:r>
        <w:rPr>
          <w:rFonts w:ascii="Times New Roman" w:hAnsi="Times New Roman" w:cs="Times New Roman"/>
          <w:color w:val="auto"/>
        </w:rPr>
        <w:drawing>
          <wp:inline distT="0" distB="0" distL="114300" distR="114300">
            <wp:extent cx="5194300" cy="7351395"/>
            <wp:effectExtent l="0" t="0" r="6350" b="1905"/>
            <wp:docPr id="1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
                    <pic:cNvPicPr>
                      <a:picLocks noChangeAspect="1"/>
                    </pic:cNvPicPr>
                  </pic:nvPicPr>
                  <pic:blipFill>
                    <a:blip r:embed="rId60"/>
                    <a:stretch>
                      <a:fillRect/>
                    </a:stretch>
                  </pic:blipFill>
                  <pic:spPr>
                    <a:xfrm>
                      <a:off x="0" y="0"/>
                      <a:ext cx="5194300" cy="7351395"/>
                    </a:xfrm>
                    <a:prstGeom prst="rect">
                      <a:avLst/>
                    </a:prstGeom>
                    <a:noFill/>
                    <a:ln>
                      <a:noFill/>
                    </a:ln>
                  </pic:spPr>
                </pic:pic>
              </a:graphicData>
            </a:graphic>
          </wp:inline>
        </w:drawing>
      </w:r>
      <w:r>
        <w:rPr>
          <w:rFonts w:ascii="Times New Roman" w:hAnsi="Times New Roman" w:cs="Times New Roman"/>
          <w:color w:val="auto"/>
        </w:rPr>
        <w:drawing>
          <wp:inline distT="0" distB="0" distL="114300" distR="114300">
            <wp:extent cx="5264785" cy="7451090"/>
            <wp:effectExtent l="0" t="0" r="2540" b="6985"/>
            <wp:docPr id="2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8"/>
                    <pic:cNvPicPr>
                      <a:picLocks noChangeAspect="1"/>
                    </pic:cNvPicPr>
                  </pic:nvPicPr>
                  <pic:blipFill>
                    <a:blip r:embed="rId61"/>
                    <a:stretch>
                      <a:fillRect/>
                    </a:stretch>
                  </pic:blipFill>
                  <pic:spPr>
                    <a:xfrm>
                      <a:off x="0" y="0"/>
                      <a:ext cx="5264785" cy="7451090"/>
                    </a:xfrm>
                    <a:prstGeom prst="rect">
                      <a:avLst/>
                    </a:prstGeom>
                    <a:noFill/>
                    <a:ln>
                      <a:noFill/>
                    </a:ln>
                  </pic:spPr>
                </pic:pic>
              </a:graphicData>
            </a:graphic>
          </wp:inline>
        </w:drawing>
      </w:r>
      <w:r>
        <w:rPr>
          <w:rFonts w:ascii="Times New Roman" w:hAnsi="Times New Roman" w:cs="Times New Roman"/>
          <w:color w:val="auto"/>
        </w:rPr>
        <w:drawing>
          <wp:inline distT="0" distB="0" distL="114300" distR="114300">
            <wp:extent cx="5269865" cy="7410450"/>
            <wp:effectExtent l="0" t="0" r="6985" b="0"/>
            <wp:docPr id="2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9"/>
                    <pic:cNvPicPr>
                      <a:picLocks noChangeAspect="1"/>
                    </pic:cNvPicPr>
                  </pic:nvPicPr>
                  <pic:blipFill>
                    <a:blip r:embed="rId62"/>
                    <a:stretch>
                      <a:fillRect/>
                    </a:stretch>
                  </pic:blipFill>
                  <pic:spPr>
                    <a:xfrm>
                      <a:off x="0" y="0"/>
                      <a:ext cx="5269865" cy="7410450"/>
                    </a:xfrm>
                    <a:prstGeom prst="rect">
                      <a:avLst/>
                    </a:prstGeom>
                    <a:noFill/>
                    <a:ln>
                      <a:noFill/>
                    </a:ln>
                  </pic:spPr>
                </pic:pic>
              </a:graphicData>
            </a:graphic>
          </wp:inline>
        </w:drawing>
      </w:r>
    </w:p>
    <w:p>
      <w:pPr>
        <w:spacing w:line="240" w:lineRule="auto"/>
        <w:outlineLvl w:val="9"/>
        <w:rPr>
          <w:rFonts w:hint="default" w:ascii="Times New Roman" w:hAnsi="Times New Roman" w:cs="Times New Roman"/>
          <w:color w:val="auto"/>
          <w:lang w:val="en-US" w:eastAsia="zh-CN"/>
        </w:rPr>
      </w:pPr>
    </w:p>
    <w:p>
      <w:pPr>
        <w:spacing w:line="240" w:lineRule="auto"/>
        <w:outlineLvl w:val="9"/>
        <w:rPr>
          <w:rFonts w:hint="default" w:ascii="Times New Roman" w:hAnsi="Times New Roman" w:cs="Times New Roman"/>
          <w:color w:val="auto"/>
          <w:lang w:val="en-US" w:eastAsia="zh-CN"/>
        </w:rPr>
      </w:pPr>
    </w:p>
    <w:p>
      <w:pPr>
        <w:spacing w:line="240" w:lineRule="auto"/>
        <w:outlineLvl w:val="9"/>
        <w:rPr>
          <w:rFonts w:hint="default" w:ascii="Times New Roman" w:hAnsi="Times New Roman" w:cs="Times New Roman"/>
          <w:color w:val="auto"/>
          <w:lang w:val="en-US" w:eastAsia="zh-CN"/>
        </w:rPr>
      </w:pPr>
    </w:p>
    <w:p>
      <w:pPr>
        <w:spacing w:line="240" w:lineRule="auto"/>
        <w:outlineLvl w:val="9"/>
        <w:rPr>
          <w:rFonts w:hint="default" w:ascii="Times New Roman" w:hAnsi="Times New Roman" w:cs="Times New Roman"/>
          <w:color w:val="auto"/>
          <w:lang w:val="en-US" w:eastAsia="zh-CN"/>
        </w:rPr>
      </w:pPr>
    </w:p>
    <w:p>
      <w:pPr>
        <w:spacing w:line="240" w:lineRule="auto"/>
        <w:outlineLvl w:val="9"/>
        <w:rPr>
          <w:rFonts w:hint="default" w:ascii="Times New Roman" w:hAnsi="Times New Roman" w:cs="Times New Roman"/>
          <w:color w:val="auto"/>
          <w:lang w:val="en-US" w:eastAsia="zh-CN"/>
        </w:rPr>
      </w:pPr>
    </w:p>
    <w:p>
      <w:pPr>
        <w:spacing w:line="240" w:lineRule="auto"/>
        <w:outlineLvl w:val="9"/>
        <w:rPr>
          <w:rFonts w:hint="default" w:ascii="Times New Roman" w:hAnsi="Times New Roman" w:cs="Times New Roman"/>
          <w:color w:val="auto"/>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spacing w:line="360" w:lineRule="auto"/>
        <w:outlineLvl w:val="0"/>
        <w:rPr>
          <w:rFonts w:hint="default" w:ascii="Times New Roman" w:hAnsi="Times New Roman" w:cs="Times New Roman" w:eastAsiaTheme="minorEastAsia"/>
          <w:b/>
          <w:color w:val="auto"/>
          <w:sz w:val="24"/>
          <w:szCs w:val="24"/>
          <w:lang w:val="en-US" w:eastAsia="zh-CN"/>
        </w:rPr>
      </w:pPr>
      <w:bookmarkStart w:id="164" w:name="_Toc24526"/>
      <w:r>
        <w:rPr>
          <w:rFonts w:hint="default" w:ascii="Times New Roman" w:hAnsi="Times New Roman" w:cs="Times New Roman"/>
          <w:b/>
          <w:color w:val="auto"/>
          <w:sz w:val="24"/>
          <w:szCs w:val="24"/>
          <w:lang w:val="en-US" w:eastAsia="zh-CN"/>
        </w:rPr>
        <w:t>附件8：危废贮存台账</w:t>
      </w:r>
      <w:bookmarkEnd w:id="164"/>
    </w:p>
    <w:p>
      <w:pPr>
        <w:spacing w:line="240" w:lineRule="auto"/>
        <w:outlineLvl w:val="9"/>
        <w:rPr>
          <w:rFonts w:hint="default" w:ascii="Times New Roman" w:hAnsi="Times New Roman" w:cs="Times New Roman"/>
          <w:color w:val="auto"/>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cs="Times New Roman"/>
          <w:color w:val="auto"/>
          <w:lang w:val="en-US" w:eastAsia="zh-CN"/>
        </w:rPr>
        <w:drawing>
          <wp:inline distT="0" distB="0" distL="114300" distR="114300">
            <wp:extent cx="4789170" cy="6771005"/>
            <wp:effectExtent l="0" t="0" r="10795" b="11430"/>
            <wp:docPr id="58" name="图片 58" descr="危废贮存台账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危废贮存台账6"/>
                    <pic:cNvPicPr>
                      <a:picLocks noChangeAspect="1"/>
                    </pic:cNvPicPr>
                  </pic:nvPicPr>
                  <pic:blipFill>
                    <a:blip r:embed="rId63"/>
                    <a:stretch>
                      <a:fillRect/>
                    </a:stretch>
                  </pic:blipFill>
                  <pic:spPr>
                    <a:xfrm rot="5400000">
                      <a:off x="0" y="0"/>
                      <a:ext cx="4789170" cy="6771005"/>
                    </a:xfrm>
                    <a:prstGeom prst="rect">
                      <a:avLst/>
                    </a:prstGeom>
                  </pic:spPr>
                </pic:pic>
              </a:graphicData>
            </a:graphic>
          </wp:inline>
        </w:drawing>
      </w:r>
      <w:r>
        <w:rPr>
          <w:rFonts w:hint="default" w:ascii="Times New Roman" w:hAnsi="Times New Roman" w:cs="Times New Roman"/>
          <w:color w:val="auto"/>
          <w:lang w:val="en-US" w:eastAsia="zh-CN"/>
        </w:rPr>
        <w:drawing>
          <wp:inline distT="0" distB="0" distL="114300" distR="114300">
            <wp:extent cx="4789170" cy="6771005"/>
            <wp:effectExtent l="0" t="0" r="1270" b="1905"/>
            <wp:docPr id="77" name="图片 77" descr="危废贮存台账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危废贮存台账6"/>
                    <pic:cNvPicPr>
                      <a:picLocks noChangeAspect="1"/>
                    </pic:cNvPicPr>
                  </pic:nvPicPr>
                  <pic:blipFill>
                    <a:blip r:embed="rId63"/>
                    <a:stretch>
                      <a:fillRect/>
                    </a:stretch>
                  </pic:blipFill>
                  <pic:spPr>
                    <a:xfrm rot="5400000">
                      <a:off x="0" y="0"/>
                      <a:ext cx="4789170" cy="6771005"/>
                    </a:xfrm>
                    <a:prstGeom prst="rect">
                      <a:avLst/>
                    </a:prstGeom>
                  </pic:spPr>
                </pic:pic>
              </a:graphicData>
            </a:graphic>
          </wp:inline>
        </w:drawing>
      </w:r>
      <w:r>
        <w:rPr>
          <w:rFonts w:hint="default" w:ascii="Times New Roman" w:hAnsi="Times New Roman" w:cs="Times New Roman"/>
          <w:color w:val="auto"/>
          <w:lang w:val="en-US" w:eastAsia="zh-CN"/>
        </w:rPr>
        <w:drawing>
          <wp:inline distT="0" distB="0" distL="114300" distR="114300">
            <wp:extent cx="4973320" cy="7030085"/>
            <wp:effectExtent l="0" t="0" r="8890" b="8255"/>
            <wp:docPr id="90" name="图片 90" descr="危废贮存台账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危废贮存台账5"/>
                    <pic:cNvPicPr>
                      <a:picLocks noChangeAspect="1"/>
                    </pic:cNvPicPr>
                  </pic:nvPicPr>
                  <pic:blipFill>
                    <a:blip r:embed="rId64"/>
                    <a:stretch>
                      <a:fillRect/>
                    </a:stretch>
                  </pic:blipFill>
                  <pic:spPr>
                    <a:xfrm rot="5400000">
                      <a:off x="0" y="0"/>
                      <a:ext cx="4973320" cy="7030085"/>
                    </a:xfrm>
                    <a:prstGeom prst="rect">
                      <a:avLst/>
                    </a:prstGeom>
                  </pic:spPr>
                </pic:pic>
              </a:graphicData>
            </a:graphic>
          </wp:inline>
        </w:drawing>
      </w:r>
      <w:r>
        <w:rPr>
          <w:rFonts w:hint="default" w:ascii="Times New Roman" w:hAnsi="Times New Roman" w:cs="Times New Roman"/>
          <w:color w:val="auto"/>
          <w:lang w:val="en-US" w:eastAsia="zh-CN"/>
        </w:rPr>
        <w:drawing>
          <wp:inline distT="0" distB="0" distL="114300" distR="114300">
            <wp:extent cx="5025390" cy="7103745"/>
            <wp:effectExtent l="0" t="0" r="1905" b="3810"/>
            <wp:docPr id="91" name="图片 91" descr="危废贮存台账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危废贮存台账4"/>
                    <pic:cNvPicPr>
                      <a:picLocks noChangeAspect="1"/>
                    </pic:cNvPicPr>
                  </pic:nvPicPr>
                  <pic:blipFill>
                    <a:blip r:embed="rId65"/>
                    <a:stretch>
                      <a:fillRect/>
                    </a:stretch>
                  </pic:blipFill>
                  <pic:spPr>
                    <a:xfrm rot="5400000">
                      <a:off x="0" y="0"/>
                      <a:ext cx="5025390" cy="7103745"/>
                    </a:xfrm>
                    <a:prstGeom prst="rect">
                      <a:avLst/>
                    </a:prstGeom>
                  </pic:spPr>
                </pic:pic>
              </a:graphicData>
            </a:graphic>
          </wp:inline>
        </w:drawing>
      </w:r>
      <w:r>
        <w:rPr>
          <w:rFonts w:hint="default" w:ascii="Times New Roman" w:hAnsi="Times New Roman" w:cs="Times New Roman"/>
          <w:color w:val="auto"/>
          <w:lang w:val="en-US" w:eastAsia="zh-CN"/>
        </w:rPr>
        <w:drawing>
          <wp:inline distT="0" distB="0" distL="114300" distR="114300">
            <wp:extent cx="4974590" cy="7031355"/>
            <wp:effectExtent l="0" t="0" r="7620" b="6985"/>
            <wp:docPr id="92" name="图片 92" descr="危废贮存台账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危废贮存台账3"/>
                    <pic:cNvPicPr>
                      <a:picLocks noChangeAspect="1"/>
                    </pic:cNvPicPr>
                  </pic:nvPicPr>
                  <pic:blipFill>
                    <a:blip r:embed="rId66"/>
                    <a:stretch>
                      <a:fillRect/>
                    </a:stretch>
                  </pic:blipFill>
                  <pic:spPr>
                    <a:xfrm rot="16200000">
                      <a:off x="0" y="0"/>
                      <a:ext cx="4974590" cy="7031355"/>
                    </a:xfrm>
                    <a:prstGeom prst="rect">
                      <a:avLst/>
                    </a:prstGeom>
                  </pic:spPr>
                </pic:pic>
              </a:graphicData>
            </a:graphic>
          </wp:inline>
        </w:drawing>
      </w:r>
      <w:r>
        <w:rPr>
          <w:rFonts w:hint="default" w:ascii="Times New Roman" w:hAnsi="Times New Roman" w:cs="Times New Roman"/>
          <w:color w:val="auto"/>
          <w:lang w:val="en-US" w:eastAsia="zh-CN"/>
        </w:rPr>
        <w:drawing>
          <wp:inline distT="0" distB="0" distL="114300" distR="114300">
            <wp:extent cx="5012055" cy="7084695"/>
            <wp:effectExtent l="0" t="0" r="1905" b="7620"/>
            <wp:docPr id="93" name="图片 93" descr="危废贮存台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危废贮存台账"/>
                    <pic:cNvPicPr>
                      <a:picLocks noChangeAspect="1"/>
                    </pic:cNvPicPr>
                  </pic:nvPicPr>
                  <pic:blipFill>
                    <a:blip r:embed="rId67"/>
                    <a:stretch>
                      <a:fillRect/>
                    </a:stretch>
                  </pic:blipFill>
                  <pic:spPr>
                    <a:xfrm rot="5400000">
                      <a:off x="0" y="0"/>
                      <a:ext cx="5012055" cy="7084695"/>
                    </a:xfrm>
                    <a:prstGeom prst="rect">
                      <a:avLst/>
                    </a:prstGeom>
                  </pic:spPr>
                </pic:pic>
              </a:graphicData>
            </a:graphic>
          </wp:inline>
        </w:drawing>
      </w:r>
      <w:r>
        <w:rPr>
          <w:rFonts w:hint="default" w:ascii="Times New Roman" w:hAnsi="Times New Roman" w:cs="Times New Roman"/>
          <w:color w:val="auto"/>
          <w:lang w:val="en-US" w:eastAsia="zh-CN"/>
        </w:rPr>
        <w:drawing>
          <wp:inline distT="0" distB="0" distL="114300" distR="114300">
            <wp:extent cx="5012055" cy="8284845"/>
            <wp:effectExtent l="0" t="0" r="1905" b="17145"/>
            <wp:docPr id="98" name="图片 98" descr="危废贮存台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危废贮存台账"/>
                    <pic:cNvPicPr>
                      <a:picLocks noChangeAspect="1"/>
                    </pic:cNvPicPr>
                  </pic:nvPicPr>
                  <pic:blipFill>
                    <a:blip r:embed="rId67"/>
                    <a:stretch>
                      <a:fillRect/>
                    </a:stretch>
                  </pic:blipFill>
                  <pic:spPr>
                    <a:xfrm rot="5400000">
                      <a:off x="0" y="0"/>
                      <a:ext cx="5012055" cy="8284845"/>
                    </a:xfrm>
                    <a:prstGeom prst="rect">
                      <a:avLst/>
                    </a:prstGeom>
                  </pic:spPr>
                </pic:pic>
              </a:graphicData>
            </a:graphic>
          </wp:inline>
        </w:drawing>
      </w:r>
    </w:p>
    <w:p>
      <w:pPr>
        <w:spacing w:line="240" w:lineRule="auto"/>
        <w:outlineLvl w:val="9"/>
        <w:rPr>
          <w:rFonts w:hint="default" w:ascii="Times New Roman" w:hAnsi="Times New Roman" w:cs="Times New Roman"/>
          <w:color w:val="auto"/>
          <w:lang w:val="en-US" w:eastAsia="zh-CN"/>
        </w:rPr>
      </w:pPr>
    </w:p>
    <w:p>
      <w:pPr>
        <w:spacing w:line="360" w:lineRule="auto"/>
        <w:outlineLvl w:val="0"/>
        <w:rPr>
          <w:rFonts w:hint="default" w:ascii="Times New Roman" w:hAnsi="Times New Roman" w:cs="Times New Roman" w:eastAsiaTheme="minorEastAsia"/>
          <w:b/>
          <w:color w:val="auto"/>
          <w:sz w:val="24"/>
          <w:szCs w:val="24"/>
          <w:lang w:val="en-US" w:eastAsia="zh-CN"/>
        </w:rPr>
      </w:pPr>
      <w:bookmarkStart w:id="165" w:name="_Toc28653"/>
      <w:r>
        <w:rPr>
          <w:rFonts w:hint="default" w:ascii="Times New Roman" w:hAnsi="Times New Roman" w:cs="Times New Roman"/>
          <w:b/>
          <w:color w:val="auto"/>
          <w:sz w:val="24"/>
          <w:szCs w:val="24"/>
          <w:lang w:val="en-US" w:eastAsia="zh-CN"/>
        </w:rPr>
        <w:t>附件9：应急预案备案表</w:t>
      </w:r>
      <w:bookmarkEnd w:id="165"/>
    </w:p>
    <w:p>
      <w:pPr>
        <w:spacing w:line="240" w:lineRule="auto"/>
        <w:outlineLvl w:val="9"/>
        <w:rPr>
          <w:rFonts w:hint="default" w:ascii="Times New Roman" w:hAnsi="Times New Roman" w:cs="Times New Roman" w:eastAsiaTheme="minorEastAsia"/>
          <w:color w:val="auto"/>
          <w:lang w:eastAsia="zh-CN"/>
        </w:rPr>
      </w:pPr>
      <w:r>
        <w:rPr>
          <w:rFonts w:hint="default" w:ascii="Times New Roman" w:hAnsi="Times New Roman" w:cs="Times New Roman" w:eastAsiaTheme="minorEastAsia"/>
          <w:color w:val="auto"/>
          <w:lang w:eastAsia="zh-CN"/>
        </w:rPr>
        <w:drawing>
          <wp:inline distT="0" distB="0" distL="114300" distR="114300">
            <wp:extent cx="5271135" cy="7450455"/>
            <wp:effectExtent l="0" t="0" r="5715" b="7620"/>
            <wp:docPr id="17" name="图片 17" descr="应急预案备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应急预案备案1"/>
                    <pic:cNvPicPr>
                      <a:picLocks noChangeAspect="1"/>
                    </pic:cNvPicPr>
                  </pic:nvPicPr>
                  <pic:blipFill>
                    <a:blip r:embed="rId68"/>
                    <a:stretch>
                      <a:fillRect/>
                    </a:stretch>
                  </pic:blipFill>
                  <pic:spPr>
                    <a:xfrm>
                      <a:off x="0" y="0"/>
                      <a:ext cx="5271135" cy="7450455"/>
                    </a:xfrm>
                    <a:prstGeom prst="rect">
                      <a:avLst/>
                    </a:prstGeom>
                  </pic:spPr>
                </pic:pic>
              </a:graphicData>
            </a:graphic>
          </wp:inline>
        </w:drawing>
      </w:r>
      <w:r>
        <w:rPr>
          <w:rFonts w:hint="default" w:ascii="Times New Roman" w:hAnsi="Times New Roman" w:cs="Times New Roman" w:eastAsiaTheme="minorEastAsia"/>
          <w:color w:val="auto"/>
          <w:lang w:eastAsia="zh-CN"/>
        </w:rPr>
        <w:drawing>
          <wp:inline distT="0" distB="0" distL="114300" distR="114300">
            <wp:extent cx="5271135" cy="7450455"/>
            <wp:effectExtent l="0" t="0" r="5715" b="7620"/>
            <wp:docPr id="18" name="图片 18" descr="应急预案备案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应急预案备案2"/>
                    <pic:cNvPicPr>
                      <a:picLocks noChangeAspect="1"/>
                    </pic:cNvPicPr>
                  </pic:nvPicPr>
                  <pic:blipFill>
                    <a:blip r:embed="rId69"/>
                    <a:stretch>
                      <a:fillRect/>
                    </a:stretch>
                  </pic:blipFill>
                  <pic:spPr>
                    <a:xfrm>
                      <a:off x="0" y="0"/>
                      <a:ext cx="5271135" cy="7450455"/>
                    </a:xfrm>
                    <a:prstGeom prst="rect">
                      <a:avLst/>
                    </a:prstGeom>
                  </pic:spPr>
                </pic:pic>
              </a:graphicData>
            </a:graphic>
          </wp:inline>
        </w:drawing>
      </w:r>
    </w:p>
    <w:p>
      <w:pPr>
        <w:spacing w:line="240" w:lineRule="auto"/>
        <w:outlineLvl w:val="9"/>
        <w:rPr>
          <w:rFonts w:hint="default" w:ascii="Times New Roman" w:hAnsi="Times New Roman" w:cs="Times New Roman"/>
          <w:color w:val="auto"/>
        </w:rPr>
      </w:pPr>
    </w:p>
    <w:p>
      <w:pPr>
        <w:spacing w:line="240" w:lineRule="auto"/>
        <w:outlineLvl w:val="9"/>
        <w:rPr>
          <w:rFonts w:hint="default" w:ascii="Times New Roman" w:hAnsi="Times New Roman" w:cs="Times New Roman"/>
          <w:color w:val="auto"/>
        </w:rPr>
      </w:pPr>
    </w:p>
    <w:p>
      <w:pPr>
        <w:spacing w:line="240" w:lineRule="auto"/>
        <w:outlineLvl w:val="9"/>
        <w:rPr>
          <w:rFonts w:hint="default" w:ascii="Times New Roman" w:hAnsi="Times New Roman" w:cs="Times New Roman"/>
          <w:color w:val="auto"/>
        </w:rPr>
      </w:pPr>
    </w:p>
    <w:p>
      <w:pPr>
        <w:spacing w:line="240" w:lineRule="auto"/>
        <w:outlineLvl w:val="9"/>
        <w:rPr>
          <w:rFonts w:hint="default" w:ascii="Times New Roman" w:hAnsi="Times New Roman" w:cs="Times New Roman"/>
          <w:color w:val="auto"/>
        </w:rPr>
      </w:pPr>
    </w:p>
    <w:p>
      <w:pPr>
        <w:spacing w:line="240" w:lineRule="auto"/>
        <w:outlineLvl w:val="9"/>
        <w:rPr>
          <w:rFonts w:hint="default" w:ascii="Times New Roman" w:hAnsi="Times New Roman" w:cs="Times New Roman"/>
          <w:color w:val="auto"/>
        </w:rPr>
      </w:pPr>
    </w:p>
    <w:p>
      <w:pPr>
        <w:spacing w:line="240" w:lineRule="auto"/>
        <w:outlineLvl w:val="9"/>
        <w:rPr>
          <w:rFonts w:hint="default" w:ascii="Times New Roman" w:hAnsi="Times New Roman" w:cs="Times New Roman"/>
          <w:color w:val="auto"/>
        </w:rPr>
      </w:pPr>
    </w:p>
    <w:p>
      <w:pPr>
        <w:spacing w:line="360" w:lineRule="auto"/>
        <w:outlineLvl w:val="0"/>
        <w:rPr>
          <w:rFonts w:ascii="Times New Roman" w:hAnsi="Times New Roman" w:cs="Times New Roman"/>
          <w:b/>
          <w:color w:val="auto"/>
          <w:sz w:val="24"/>
          <w:szCs w:val="24"/>
        </w:rPr>
      </w:pPr>
      <w:bookmarkStart w:id="166" w:name="_Toc16936"/>
      <w:r>
        <w:rPr>
          <w:rFonts w:hint="default" w:ascii="Times New Roman" w:hAnsi="Times New Roman" w:cs="Times New Roman"/>
          <w:b/>
          <w:color w:val="auto"/>
          <w:sz w:val="24"/>
          <w:szCs w:val="24"/>
        </w:rPr>
        <w:t>附件</w:t>
      </w:r>
      <w:r>
        <w:rPr>
          <w:rFonts w:hint="default" w:ascii="Times New Roman" w:hAnsi="Times New Roman" w:cs="Times New Roman"/>
          <w:b/>
          <w:color w:val="auto"/>
          <w:sz w:val="24"/>
          <w:szCs w:val="24"/>
          <w:lang w:val="en-US" w:eastAsia="zh-CN"/>
        </w:rPr>
        <w:t>10</w:t>
      </w:r>
      <w:r>
        <w:rPr>
          <w:rFonts w:ascii="Times New Roman" w:hAnsi="Times New Roman" w:cs="Times New Roman"/>
          <w:b/>
          <w:color w:val="auto"/>
          <w:sz w:val="24"/>
          <w:szCs w:val="24"/>
        </w:rPr>
        <w:t>：</w:t>
      </w:r>
      <w:r>
        <w:rPr>
          <w:rFonts w:hint="default" w:ascii="Times New Roman" w:hAnsi="Times New Roman" w:cs="Times New Roman"/>
          <w:b/>
          <w:color w:val="auto"/>
          <w:sz w:val="24"/>
          <w:szCs w:val="24"/>
        </w:rPr>
        <w:t>自查报告</w:t>
      </w:r>
      <w:bookmarkEnd w:id="159"/>
      <w:bookmarkEnd w:id="160"/>
      <w:bookmarkEnd w:id="161"/>
      <w:bookmarkEnd w:id="166"/>
    </w:p>
    <w:p>
      <w:pPr>
        <w:spacing w:line="360" w:lineRule="auto"/>
        <w:jc w:val="center"/>
        <w:rPr>
          <w:rFonts w:ascii="Times New Roman" w:hAnsi="Times New Roman" w:cs="Times New Roman"/>
          <w:b/>
          <w:color w:val="auto"/>
          <w:sz w:val="24"/>
          <w:szCs w:val="24"/>
        </w:rPr>
      </w:pPr>
      <w:r>
        <w:rPr>
          <w:rFonts w:hint="default" w:ascii="Times New Roman" w:hAnsi="Times New Roman" w:cs="Times New Roman"/>
          <w:b/>
          <w:color w:val="auto"/>
          <w:sz w:val="24"/>
          <w:szCs w:val="24"/>
        </w:rPr>
        <w:t>岳阳中展科技有限公司12.6kt/a特种胺项目竣工环境保护验收自查报告</w:t>
      </w:r>
    </w:p>
    <w:p>
      <w:pPr>
        <w:spacing w:line="360" w:lineRule="auto"/>
        <w:ind w:firstLine="480" w:firstLineChars="200"/>
        <w:rPr>
          <w:rFonts w:ascii="Times New Roman" w:hAnsi="Times New Roman" w:cs="Times New Roman"/>
          <w:color w:val="auto"/>
          <w:kern w:val="0"/>
          <w:sz w:val="24"/>
          <w:szCs w:val="24"/>
        </w:rPr>
      </w:pPr>
      <w:r>
        <w:rPr>
          <w:rFonts w:hint="default" w:ascii="Times New Roman" w:hAnsi="Times New Roman" w:cs="Times New Roman"/>
          <w:color w:val="auto"/>
          <w:kern w:val="0"/>
          <w:sz w:val="24"/>
          <w:szCs w:val="24"/>
        </w:rPr>
        <w:t>岳阳中展科技有限公司已</w:t>
      </w:r>
      <w:r>
        <w:rPr>
          <w:rFonts w:ascii="Times New Roman" w:hAnsi="Times New Roman" w:cs="Times New Roman"/>
          <w:color w:val="auto"/>
          <w:kern w:val="0"/>
          <w:sz w:val="24"/>
          <w:szCs w:val="24"/>
        </w:rPr>
        <w:t>投资</w:t>
      </w:r>
      <w:r>
        <w:rPr>
          <w:rFonts w:hint="default" w:ascii="Times New Roman" w:hAnsi="Times New Roman" w:cs="Times New Roman"/>
          <w:color w:val="auto"/>
          <w:kern w:val="0"/>
          <w:sz w:val="24"/>
          <w:szCs w:val="24"/>
        </w:rPr>
        <w:t>10125.62</w:t>
      </w:r>
      <w:r>
        <w:rPr>
          <w:rFonts w:ascii="Times New Roman" w:hAnsi="Times New Roman" w:cs="Times New Roman"/>
          <w:color w:val="auto"/>
          <w:kern w:val="0"/>
          <w:sz w:val="24"/>
          <w:szCs w:val="24"/>
        </w:rPr>
        <w:t>万元</w:t>
      </w:r>
      <w:r>
        <w:rPr>
          <w:rFonts w:hint="default" w:ascii="Times New Roman" w:hAnsi="Times New Roman" w:cs="Times New Roman"/>
          <w:color w:val="auto"/>
          <w:kern w:val="0"/>
          <w:sz w:val="24"/>
          <w:szCs w:val="24"/>
        </w:rPr>
        <w:t>于湖南岳阳绿色化工产业园云溪片区西北角（中心经纬度：东经113.249101052，北纬29.5060111442）</w:t>
      </w:r>
      <w:r>
        <w:rPr>
          <w:rFonts w:ascii="Times New Roman" w:hAnsi="Times New Roman" w:cs="Times New Roman"/>
          <w:color w:val="auto"/>
          <w:kern w:val="0"/>
          <w:sz w:val="24"/>
          <w:szCs w:val="24"/>
        </w:rPr>
        <w:t>建设“</w:t>
      </w:r>
      <w:r>
        <w:rPr>
          <w:rFonts w:hint="default" w:ascii="Times New Roman" w:hAnsi="Times New Roman" w:cs="Times New Roman"/>
          <w:color w:val="auto"/>
          <w:kern w:val="0"/>
          <w:sz w:val="24"/>
          <w:szCs w:val="24"/>
        </w:rPr>
        <w:t>岳阳中展科技有限公司12.6kt/a特种胺项目</w:t>
      </w:r>
      <w:r>
        <w:rPr>
          <w:rFonts w:ascii="Times New Roman" w:hAnsi="Times New Roman" w:cs="Times New Roman"/>
          <w:color w:val="auto"/>
          <w:kern w:val="0"/>
          <w:sz w:val="24"/>
          <w:szCs w:val="24"/>
        </w:rPr>
        <w:t>”（以下简称：本项目）。项目投产后</w:t>
      </w:r>
      <w:r>
        <w:rPr>
          <w:rFonts w:hint="default" w:ascii="Times New Roman" w:hAnsi="Times New Roman" w:cs="Times New Roman"/>
          <w:color w:val="auto"/>
          <w:kern w:val="0"/>
          <w:sz w:val="24"/>
          <w:szCs w:val="24"/>
        </w:rPr>
        <w:t>产品总规模为12.6kt/a特种胺，共有DMP-30生产线1条、PPA固化剂生产线2条、改性胺固化剂生产线1条、聚酰胺固化剂生产线1条</w:t>
      </w:r>
      <w:r>
        <w:rPr>
          <w:rFonts w:ascii="Times New Roman" w:hAnsi="Times New Roman" w:cs="Times New Roman"/>
          <w:color w:val="auto"/>
          <w:sz w:val="24"/>
          <w:szCs w:val="24"/>
        </w:rPr>
        <w:t>。项目占地面积</w:t>
      </w:r>
      <w:r>
        <w:rPr>
          <w:rFonts w:hint="default" w:ascii="Times New Roman" w:hAnsi="Times New Roman" w:cs="Times New Roman"/>
          <w:color w:val="auto"/>
          <w:kern w:val="0"/>
          <w:sz w:val="24"/>
          <w:szCs w:val="24"/>
        </w:rPr>
        <w:t>32932</w:t>
      </w:r>
      <w:r>
        <w:rPr>
          <w:rFonts w:ascii="Times New Roman" w:hAnsi="Times New Roman" w:cs="Times New Roman"/>
          <w:color w:val="auto"/>
          <w:sz w:val="24"/>
          <w:szCs w:val="24"/>
        </w:rPr>
        <w:t>m</w:t>
      </w:r>
      <w:r>
        <w:rPr>
          <w:rFonts w:ascii="Times New Roman" w:hAnsi="Times New Roman" w:cs="Times New Roman"/>
          <w:color w:val="auto"/>
          <w:sz w:val="24"/>
          <w:szCs w:val="24"/>
          <w:vertAlign w:val="superscript"/>
        </w:rPr>
        <w:t>2</w:t>
      </w:r>
      <w:r>
        <w:rPr>
          <w:rFonts w:ascii="Times New Roman" w:hAnsi="Times New Roman" w:cs="Times New Roman"/>
          <w:color w:val="auto"/>
          <w:sz w:val="24"/>
          <w:szCs w:val="24"/>
        </w:rPr>
        <w:t>，</w:t>
      </w:r>
      <w:r>
        <w:rPr>
          <w:rFonts w:hint="default" w:ascii="Times New Roman" w:hAnsi="Times New Roman" w:cs="Times New Roman"/>
          <w:color w:val="auto"/>
          <w:sz w:val="24"/>
          <w:szCs w:val="24"/>
        </w:rPr>
        <w:t>劳动定员60人，工作制度采用四班三运转，每班工作8小时，年工作333天，年生产时间7992小时</w:t>
      </w:r>
      <w:r>
        <w:rPr>
          <w:rFonts w:ascii="Times New Roman" w:hAnsi="Times New Roman" w:cs="Times New Roman"/>
          <w:color w:val="auto"/>
          <w:sz w:val="24"/>
          <w:szCs w:val="24"/>
        </w:rPr>
        <w:t>。</w:t>
      </w:r>
    </w:p>
    <w:p>
      <w:pPr>
        <w:spacing w:line="360" w:lineRule="auto"/>
        <w:rPr>
          <w:rFonts w:ascii="Times New Roman" w:hAnsi="Times New Roman" w:cs="Times New Roman"/>
          <w:b/>
          <w:color w:val="auto"/>
          <w:sz w:val="24"/>
          <w:szCs w:val="24"/>
        </w:rPr>
      </w:pPr>
      <w:r>
        <w:rPr>
          <w:rFonts w:hint="default" w:ascii="Times New Roman" w:hAnsi="Times New Roman" w:cs="Times New Roman"/>
          <w:b/>
          <w:color w:val="auto"/>
          <w:sz w:val="24"/>
          <w:szCs w:val="24"/>
        </w:rPr>
        <w:t>一、环保手续履行情况</w:t>
      </w:r>
    </w:p>
    <w:p>
      <w:pPr>
        <w:spacing w:line="360" w:lineRule="auto"/>
        <w:ind w:firstLine="480" w:firstLineChars="200"/>
        <w:rPr>
          <w:rFonts w:ascii="Times New Roman" w:hAnsi="Times New Roman" w:cs="Times New Roman"/>
          <w:bCs/>
          <w:color w:val="auto"/>
          <w:sz w:val="24"/>
          <w:szCs w:val="24"/>
        </w:rPr>
      </w:pPr>
      <w:r>
        <w:rPr>
          <w:rFonts w:hint="default" w:ascii="Times New Roman" w:hAnsi="Times New Roman" w:cs="Times New Roman"/>
          <w:bCs/>
          <w:color w:val="auto"/>
          <w:sz w:val="24"/>
          <w:szCs w:val="24"/>
        </w:rPr>
        <w:t>该项目</w:t>
      </w:r>
      <w:r>
        <w:rPr>
          <w:rFonts w:hint="default" w:ascii="Times New Roman" w:hAnsi="Times New Roman" w:cs="Times New Roman"/>
          <w:color w:val="auto"/>
          <w:sz w:val="24"/>
          <w:szCs w:val="24"/>
        </w:rPr>
        <w:t>2</w:t>
      </w:r>
      <w:r>
        <w:rPr>
          <w:rFonts w:ascii="Times New Roman" w:hAnsi="Times New Roman" w:cs="Times New Roman"/>
          <w:color w:val="auto"/>
          <w:sz w:val="24"/>
          <w:szCs w:val="24"/>
        </w:rPr>
        <w:t>0</w:t>
      </w:r>
      <w:r>
        <w:rPr>
          <w:rFonts w:hint="default" w:ascii="Times New Roman" w:hAnsi="Times New Roman" w:cs="Times New Roman"/>
          <w:color w:val="auto"/>
          <w:sz w:val="24"/>
          <w:szCs w:val="24"/>
        </w:rPr>
        <w:t>19年4月委托湖南博咨环境技术咨询服务有限公司编制完成了《</w:t>
      </w:r>
      <w:r>
        <w:rPr>
          <w:rFonts w:hint="default" w:ascii="Times New Roman" w:hAnsi="Times New Roman" w:cs="Times New Roman"/>
          <w:color w:val="auto"/>
          <w:kern w:val="0"/>
          <w:sz w:val="24"/>
          <w:szCs w:val="24"/>
        </w:rPr>
        <w:t>岳阳中展科技有限公司12.6kt/a特种胺项目</w:t>
      </w:r>
      <w:r>
        <w:rPr>
          <w:rFonts w:hint="default" w:ascii="Times New Roman" w:hAnsi="Times New Roman" w:cs="Times New Roman"/>
          <w:color w:val="auto"/>
          <w:sz w:val="24"/>
          <w:szCs w:val="24"/>
        </w:rPr>
        <w:t>环境影响报告书》。于2019年7月30日获得由岳阳市生态环境局出具的批复（文号：岳环评〔2019〕104号）。</w:t>
      </w:r>
    </w:p>
    <w:p>
      <w:pPr>
        <w:spacing w:line="360" w:lineRule="auto"/>
        <w:rPr>
          <w:rFonts w:ascii="Times New Roman" w:hAnsi="Times New Roman" w:cs="Times New Roman"/>
          <w:b/>
          <w:color w:val="auto"/>
          <w:sz w:val="24"/>
          <w:szCs w:val="24"/>
        </w:rPr>
      </w:pPr>
      <w:r>
        <w:rPr>
          <w:rFonts w:hint="default" w:ascii="Times New Roman" w:hAnsi="Times New Roman" w:cs="Times New Roman"/>
          <w:b/>
          <w:color w:val="auto"/>
          <w:sz w:val="24"/>
          <w:szCs w:val="24"/>
        </w:rPr>
        <w:t>二、项目建设情况</w:t>
      </w:r>
    </w:p>
    <w:p>
      <w:pPr>
        <w:spacing w:line="360" w:lineRule="auto"/>
        <w:ind w:firstLine="480"/>
        <w:rPr>
          <w:rFonts w:ascii="Times New Roman" w:hAnsi="Times New Roman" w:eastAsia="宋体" w:cs="Times New Roman"/>
          <w:color w:val="auto"/>
          <w:sz w:val="24"/>
          <w:szCs w:val="24"/>
        </w:rPr>
      </w:pPr>
      <w:r>
        <w:rPr>
          <w:rFonts w:ascii="Times New Roman" w:hAnsi="Times New Roman" w:cs="Times New Roman"/>
          <w:color w:val="auto"/>
          <w:sz w:val="24"/>
          <w:szCs w:val="24"/>
        </w:rPr>
        <w:t>本项目工程现状与环评报告及批复内容基本一致，现场检查未发现有重大变动情况。</w:t>
      </w:r>
      <w:r>
        <w:rPr>
          <w:rFonts w:ascii="Times New Roman" w:hAnsi="Times New Roman" w:eastAsia="宋体" w:cs="Times New Roman"/>
          <w:color w:val="auto"/>
          <w:sz w:val="24"/>
          <w:szCs w:val="24"/>
        </w:rPr>
        <w:t>项目于202</w:t>
      </w:r>
      <w:r>
        <w:rPr>
          <w:rFonts w:hint="default" w:ascii="Times New Roman" w:hAnsi="Times New Roman" w:eastAsia="宋体" w:cs="Times New Roman"/>
          <w:color w:val="auto"/>
          <w:sz w:val="24"/>
          <w:szCs w:val="24"/>
        </w:rPr>
        <w:t>0</w:t>
      </w:r>
      <w:r>
        <w:rPr>
          <w:rFonts w:ascii="Times New Roman" w:hAnsi="Times New Roman" w:eastAsia="宋体" w:cs="Times New Roman"/>
          <w:color w:val="auto"/>
          <w:sz w:val="24"/>
          <w:szCs w:val="24"/>
        </w:rPr>
        <w:t>年</w:t>
      </w:r>
      <w:r>
        <w:rPr>
          <w:rFonts w:hint="eastAsia" w:ascii="Times New Roman" w:hAnsi="Times New Roman" w:eastAsia="宋体" w:cs="Times New Roman"/>
          <w:color w:val="auto"/>
          <w:sz w:val="24"/>
          <w:szCs w:val="24"/>
          <w:lang w:val="en-US" w:eastAsia="zh-CN"/>
        </w:rPr>
        <w:t>3</w:t>
      </w:r>
      <w:r>
        <w:rPr>
          <w:rFonts w:ascii="Times New Roman" w:hAnsi="Times New Roman" w:eastAsia="宋体" w:cs="Times New Roman"/>
          <w:color w:val="auto"/>
          <w:sz w:val="24"/>
          <w:szCs w:val="24"/>
        </w:rPr>
        <w:t>月开工建设，2021年10月完成设备调试并投入试运行。</w:t>
      </w:r>
    </w:p>
    <w:p>
      <w:pPr>
        <w:spacing w:line="360" w:lineRule="auto"/>
        <w:rPr>
          <w:rFonts w:ascii="Times New Roman" w:hAnsi="Times New Roman" w:cs="Times New Roman"/>
          <w:b/>
          <w:color w:val="auto"/>
          <w:sz w:val="24"/>
          <w:szCs w:val="24"/>
        </w:rPr>
      </w:pPr>
      <w:r>
        <w:rPr>
          <w:rFonts w:hint="default" w:ascii="Times New Roman" w:hAnsi="Times New Roman" w:cs="Times New Roman"/>
          <w:b/>
          <w:color w:val="auto"/>
          <w:sz w:val="24"/>
          <w:szCs w:val="24"/>
        </w:rPr>
        <w:t>三、</w:t>
      </w:r>
      <w:r>
        <w:rPr>
          <w:rFonts w:hint="default" w:ascii="Times New Roman" w:hAnsi="Times New Roman" w:cs="Times New Roman"/>
          <w:b/>
          <w:bCs/>
          <w:color w:val="auto"/>
          <w:sz w:val="24"/>
          <w:szCs w:val="24"/>
          <w:lang w:val="zh-CN"/>
        </w:rPr>
        <w:t>环保设施建设情况</w:t>
      </w:r>
    </w:p>
    <w:p>
      <w:pPr>
        <w:spacing w:line="360" w:lineRule="auto"/>
        <w:ind w:firstLine="480"/>
        <w:rPr>
          <w:rFonts w:ascii="Times New Roman" w:hAnsi="Times New Roman" w:cs="Times New Roman"/>
          <w:color w:val="auto"/>
          <w:sz w:val="24"/>
          <w:szCs w:val="24"/>
        </w:rPr>
      </w:pPr>
      <w:r>
        <w:rPr>
          <w:rFonts w:ascii="Times New Roman" w:hAnsi="Times New Roman" w:cs="Times New Roman"/>
          <w:color w:val="auto"/>
          <w:sz w:val="24"/>
          <w:szCs w:val="24"/>
        </w:rPr>
        <w:t>（1）废气治理设施设置情况</w:t>
      </w:r>
    </w:p>
    <w:p>
      <w:pPr>
        <w:spacing w:line="360" w:lineRule="auto"/>
        <w:ind w:firstLine="480" w:firstLineChars="200"/>
        <w:rPr>
          <w:rFonts w:ascii="Times New Roman" w:hAnsi="Times New Roman" w:cs="Times New Roman"/>
          <w:color w:val="auto"/>
          <w:sz w:val="24"/>
          <w:szCs w:val="24"/>
        </w:rPr>
      </w:pPr>
      <w:r>
        <w:rPr>
          <w:rFonts w:hint="default" w:ascii="Times New Roman" w:hAnsi="Times New Roman" w:cs="Times New Roman"/>
          <w:color w:val="auto"/>
          <w:sz w:val="24"/>
          <w:szCs w:val="24"/>
        </w:rPr>
        <w:t>本公司废气主要为废气主要包括各反应釜和回收釜物料冷凝及脱水冷凝后的不凝气（含真空尾气）、包装过程废气、储罐区大小呼吸废气；装置区和储存区常期运行的无组织废气；污水处理站废气。</w:t>
      </w:r>
    </w:p>
    <w:p>
      <w:pPr>
        <w:spacing w:line="360" w:lineRule="auto"/>
        <w:ind w:firstLine="480" w:firstLineChars="200"/>
        <w:rPr>
          <w:rFonts w:ascii="Times New Roman" w:hAnsi="Times New Roman" w:cs="Times New Roman"/>
          <w:color w:val="auto"/>
          <w:sz w:val="24"/>
          <w:szCs w:val="24"/>
        </w:rPr>
      </w:pPr>
      <w:r>
        <w:rPr>
          <w:rFonts w:hint="default" w:ascii="Times New Roman" w:hAnsi="Times New Roman" w:cs="Times New Roman"/>
          <w:color w:val="auto"/>
          <w:sz w:val="24"/>
          <w:szCs w:val="24"/>
        </w:rPr>
        <w:t>废气主要污染物及治理措施见表1。</w:t>
      </w:r>
    </w:p>
    <w:p>
      <w:pPr>
        <w:jc w:val="center"/>
        <w:rPr>
          <w:rFonts w:ascii="Times New Roman" w:hAnsi="Times New Roman" w:cs="Times New Roman"/>
          <w:b/>
          <w:bCs/>
          <w:color w:val="auto"/>
          <w:szCs w:val="21"/>
        </w:rPr>
      </w:pPr>
      <w:r>
        <w:rPr>
          <w:rFonts w:ascii="Times New Roman" w:hAnsi="Times New Roman" w:cs="Times New Roman"/>
          <w:b/>
          <w:bCs/>
          <w:color w:val="auto"/>
          <w:szCs w:val="21"/>
        </w:rPr>
        <w:t>表</w:t>
      </w:r>
      <w:r>
        <w:rPr>
          <w:rFonts w:hint="default" w:ascii="Times New Roman" w:hAnsi="Times New Roman" w:cs="Times New Roman"/>
          <w:b/>
          <w:bCs/>
          <w:color w:val="auto"/>
          <w:szCs w:val="21"/>
        </w:rPr>
        <w:t>1</w:t>
      </w:r>
      <w:r>
        <w:rPr>
          <w:rFonts w:ascii="Times New Roman" w:hAnsi="Times New Roman" w:cs="Times New Roman"/>
          <w:b/>
          <w:bCs/>
          <w:color w:val="auto"/>
          <w:szCs w:val="21"/>
        </w:rPr>
        <w:t xml:space="preserve">  废气主要污染物及治理措施</w:t>
      </w:r>
    </w:p>
    <w:tbl>
      <w:tblPr>
        <w:tblStyle w:val="29"/>
        <w:tblW w:w="852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130"/>
        <w:gridCol w:w="2289"/>
        <w:gridCol w:w="2087"/>
        <w:gridCol w:w="201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30" w:type="dxa"/>
            <w:vAlign w:val="center"/>
          </w:tcPr>
          <w:p>
            <w:pPr>
              <w:jc w:val="center"/>
              <w:rPr>
                <w:rFonts w:ascii="Times New Roman" w:hAnsi="Times New Roman" w:eastAsia="宋体" w:cs="Times New Roman"/>
                <w:b/>
                <w:bCs/>
                <w:color w:val="auto"/>
                <w:kern w:val="0"/>
                <w:szCs w:val="21"/>
              </w:rPr>
            </w:pPr>
            <w:r>
              <w:rPr>
                <w:rFonts w:hint="default" w:ascii="Times New Roman" w:hAnsi="Times New Roman" w:eastAsia="宋体" w:cs="Times New Roman"/>
                <w:b/>
                <w:bCs/>
                <w:color w:val="auto"/>
                <w:kern w:val="0"/>
                <w:szCs w:val="21"/>
              </w:rPr>
              <w:t>污染源</w:t>
            </w:r>
          </w:p>
        </w:tc>
        <w:tc>
          <w:tcPr>
            <w:tcW w:w="2289" w:type="dxa"/>
            <w:vAlign w:val="center"/>
          </w:tcPr>
          <w:p>
            <w:pPr>
              <w:jc w:val="center"/>
              <w:rPr>
                <w:rFonts w:ascii="Times New Roman" w:hAnsi="Times New Roman" w:eastAsia="宋体" w:cs="Times New Roman"/>
                <w:b/>
                <w:bCs/>
                <w:color w:val="auto"/>
                <w:kern w:val="0"/>
                <w:szCs w:val="21"/>
              </w:rPr>
            </w:pPr>
            <w:r>
              <w:rPr>
                <w:rFonts w:hint="default" w:ascii="Times New Roman" w:hAnsi="Times New Roman" w:eastAsia="宋体" w:cs="Times New Roman"/>
                <w:b/>
                <w:bCs/>
                <w:color w:val="auto"/>
                <w:kern w:val="0"/>
                <w:szCs w:val="21"/>
              </w:rPr>
              <w:t>主要污染物</w:t>
            </w:r>
          </w:p>
        </w:tc>
        <w:tc>
          <w:tcPr>
            <w:tcW w:w="2087" w:type="dxa"/>
            <w:vAlign w:val="center"/>
          </w:tcPr>
          <w:p>
            <w:pPr>
              <w:jc w:val="center"/>
              <w:rPr>
                <w:rFonts w:ascii="Times New Roman" w:hAnsi="Times New Roman" w:eastAsia="宋体" w:cs="Times New Roman"/>
                <w:b/>
                <w:bCs/>
                <w:color w:val="auto"/>
                <w:kern w:val="0"/>
                <w:szCs w:val="21"/>
              </w:rPr>
            </w:pPr>
            <w:r>
              <w:rPr>
                <w:rFonts w:hint="default" w:ascii="Times New Roman" w:hAnsi="Times New Roman" w:eastAsia="宋体" w:cs="Times New Roman"/>
                <w:b/>
                <w:bCs/>
                <w:color w:val="auto"/>
                <w:kern w:val="0"/>
                <w:szCs w:val="21"/>
              </w:rPr>
              <w:t>处理措施</w:t>
            </w:r>
          </w:p>
        </w:tc>
        <w:tc>
          <w:tcPr>
            <w:tcW w:w="2016" w:type="dxa"/>
            <w:vAlign w:val="center"/>
          </w:tcPr>
          <w:p>
            <w:pPr>
              <w:jc w:val="center"/>
              <w:rPr>
                <w:rFonts w:ascii="Times New Roman" w:hAnsi="Times New Roman" w:eastAsia="宋体" w:cs="Times New Roman"/>
                <w:b/>
                <w:bCs/>
                <w:color w:val="auto"/>
                <w:kern w:val="0"/>
                <w:szCs w:val="21"/>
              </w:rPr>
            </w:pPr>
            <w:r>
              <w:rPr>
                <w:rFonts w:hint="default" w:ascii="Times New Roman" w:hAnsi="Times New Roman" w:eastAsia="宋体" w:cs="Times New Roman"/>
                <w:b/>
                <w:bCs/>
                <w:color w:val="auto"/>
                <w:kern w:val="0"/>
                <w:szCs w:val="21"/>
              </w:rPr>
              <w:t>排放方式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30" w:type="dxa"/>
            <w:vAlign w:val="center"/>
          </w:tcPr>
          <w:p>
            <w:pPr>
              <w:jc w:val="center"/>
              <w:rPr>
                <w:rFonts w:ascii="Times New Roman" w:hAnsi="Times New Roman" w:eastAsia="宋体" w:cs="Times New Roman"/>
                <w:color w:val="auto"/>
                <w:kern w:val="0"/>
                <w:szCs w:val="21"/>
              </w:rPr>
            </w:pPr>
            <w:r>
              <w:rPr>
                <w:rFonts w:hint="default" w:ascii="Times New Roman" w:hAnsi="Times New Roman" w:cs="Times New Roman"/>
                <w:color w:val="auto"/>
                <w:szCs w:val="21"/>
              </w:rPr>
              <w:t>反应釜和回收釜物料冷凝及脱水冷凝后的不凝气（含真空尾气）、包装过程废气、储罐区大小呼吸废气</w:t>
            </w:r>
          </w:p>
        </w:tc>
        <w:tc>
          <w:tcPr>
            <w:tcW w:w="2289" w:type="dxa"/>
            <w:vAlign w:val="center"/>
          </w:tcPr>
          <w:p>
            <w:pPr>
              <w:jc w:val="center"/>
              <w:rPr>
                <w:rFonts w:ascii="Times New Roman" w:hAnsi="Times New Roman" w:eastAsia="宋体" w:cs="Times New Roman"/>
                <w:color w:val="auto"/>
                <w:kern w:val="0"/>
                <w:szCs w:val="21"/>
              </w:rPr>
            </w:pPr>
            <w:r>
              <w:rPr>
                <w:rFonts w:hint="default" w:ascii="Times New Roman" w:hAnsi="Times New Roman" w:cs="Times New Roman"/>
                <w:color w:val="auto"/>
                <w:szCs w:val="21"/>
              </w:rPr>
              <w:t>氨气、甲醛、甲醇、酚类、VOCs</w:t>
            </w:r>
          </w:p>
        </w:tc>
        <w:tc>
          <w:tcPr>
            <w:tcW w:w="2087" w:type="dxa"/>
            <w:vAlign w:val="center"/>
          </w:tcPr>
          <w:p>
            <w:pPr>
              <w:jc w:val="center"/>
              <w:rPr>
                <w:rFonts w:ascii="Times New Roman" w:hAnsi="Times New Roman" w:eastAsia="宋体" w:cs="Times New Roman"/>
                <w:color w:val="auto"/>
                <w:kern w:val="0"/>
                <w:szCs w:val="21"/>
              </w:rPr>
            </w:pPr>
            <w:r>
              <w:rPr>
                <w:rFonts w:ascii="Times New Roman" w:hAnsi="Times New Roman" w:cs="Times New Roman"/>
                <w:color w:val="auto"/>
                <w:szCs w:val="21"/>
              </w:rPr>
              <w:t>强制冷凝+水吸收+酸吸收+</w:t>
            </w:r>
            <w:r>
              <w:rPr>
                <w:rFonts w:hint="eastAsia" w:ascii="Times New Roman" w:hAnsi="Times New Roman" w:cs="Times New Roman"/>
                <w:color w:val="auto"/>
                <w:szCs w:val="21"/>
                <w:lang w:val="en-US" w:eastAsia="zh-CN"/>
              </w:rPr>
              <w:t>酸</w:t>
            </w:r>
            <w:r>
              <w:rPr>
                <w:rFonts w:ascii="Times New Roman" w:hAnsi="Times New Roman" w:cs="Times New Roman"/>
                <w:color w:val="auto"/>
                <w:szCs w:val="21"/>
              </w:rPr>
              <w:t>吸收+除雾板+</w:t>
            </w:r>
            <w:r>
              <w:rPr>
                <w:rFonts w:hint="eastAsia" w:ascii="Times New Roman" w:hAnsi="Times New Roman" w:cs="Times New Roman"/>
                <w:color w:val="auto"/>
                <w:szCs w:val="21"/>
                <w:lang w:val="en-US" w:eastAsia="zh-CN"/>
              </w:rPr>
              <w:t>酸吸收+活性炭吸附</w:t>
            </w:r>
          </w:p>
        </w:tc>
        <w:tc>
          <w:tcPr>
            <w:tcW w:w="2016" w:type="dxa"/>
            <w:vAlign w:val="center"/>
          </w:tcPr>
          <w:p>
            <w:pPr>
              <w:jc w:val="center"/>
              <w:rPr>
                <w:rFonts w:ascii="Times New Roman" w:hAnsi="Times New Roman" w:eastAsia="宋体" w:cs="Times New Roman"/>
                <w:color w:val="auto"/>
                <w:kern w:val="0"/>
                <w:szCs w:val="21"/>
              </w:rPr>
            </w:pPr>
            <w:r>
              <w:rPr>
                <w:rFonts w:ascii="Times New Roman" w:hAnsi="Times New Roman" w:eastAsia="宋体" w:cs="Times New Roman"/>
                <w:color w:val="auto"/>
                <w:szCs w:val="21"/>
              </w:rPr>
              <w:t>30</w:t>
            </w:r>
            <w:r>
              <w:rPr>
                <w:rFonts w:hint="default" w:ascii="Times New Roman" w:hAnsi="Times New Roman" w:eastAsia="宋体" w:cs="Times New Roman"/>
                <w:color w:val="auto"/>
                <w:szCs w:val="21"/>
              </w:rPr>
              <w:t>m排气筒排放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30" w:type="dxa"/>
            <w:vAlign w:val="center"/>
          </w:tcPr>
          <w:p>
            <w:pPr>
              <w:jc w:val="center"/>
              <w:rPr>
                <w:rFonts w:ascii="Times New Roman" w:hAnsi="Times New Roman" w:cs="Times New Roman"/>
                <w:color w:val="auto"/>
                <w:szCs w:val="21"/>
              </w:rPr>
            </w:pPr>
            <w:r>
              <w:rPr>
                <w:rFonts w:hint="default" w:ascii="Times New Roman" w:hAnsi="Times New Roman" w:cs="Times New Roman"/>
                <w:color w:val="auto"/>
                <w:szCs w:val="21"/>
              </w:rPr>
              <w:t>污水处理站废气</w:t>
            </w:r>
          </w:p>
        </w:tc>
        <w:tc>
          <w:tcPr>
            <w:tcW w:w="2289" w:type="dxa"/>
            <w:vAlign w:val="center"/>
          </w:tcPr>
          <w:p>
            <w:pPr>
              <w:jc w:val="center"/>
              <w:rPr>
                <w:rFonts w:ascii="Times New Roman" w:hAnsi="Times New Roman" w:cs="Times New Roman"/>
                <w:color w:val="auto"/>
                <w:szCs w:val="21"/>
              </w:rPr>
            </w:pPr>
            <w:r>
              <w:rPr>
                <w:rFonts w:hint="default" w:ascii="Times New Roman" w:hAnsi="Times New Roman" w:cs="Times New Roman"/>
                <w:color w:val="auto"/>
                <w:szCs w:val="21"/>
              </w:rPr>
              <w:t>氨气、硫化氢、VOCs</w:t>
            </w:r>
          </w:p>
        </w:tc>
        <w:tc>
          <w:tcPr>
            <w:tcW w:w="2087" w:type="dxa"/>
            <w:vAlign w:val="center"/>
          </w:tcPr>
          <w:p>
            <w:pPr>
              <w:jc w:val="center"/>
              <w:rPr>
                <w:rFonts w:ascii="Times New Roman" w:hAnsi="Times New Roman" w:cs="Times New Roman"/>
                <w:color w:val="auto"/>
                <w:szCs w:val="21"/>
              </w:rPr>
            </w:pPr>
            <w:r>
              <w:rPr>
                <w:rFonts w:ascii="Times New Roman" w:hAnsi="Times New Roman" w:cs="Times New Roman"/>
                <w:color w:val="auto"/>
                <w:szCs w:val="21"/>
              </w:rPr>
              <w:t>水吸收+酸吸收+</w:t>
            </w:r>
            <w:r>
              <w:rPr>
                <w:rFonts w:hint="default" w:ascii="Times New Roman" w:hAnsi="Times New Roman" w:cs="Times New Roman"/>
                <w:color w:val="auto"/>
                <w:szCs w:val="21"/>
              </w:rPr>
              <w:t>生物除臭喷淋</w:t>
            </w:r>
          </w:p>
        </w:tc>
        <w:tc>
          <w:tcPr>
            <w:tcW w:w="2016" w:type="dxa"/>
            <w:vAlign w:val="center"/>
          </w:tcPr>
          <w:p>
            <w:pPr>
              <w:jc w:val="center"/>
              <w:rPr>
                <w:rFonts w:ascii="Times New Roman" w:hAnsi="Times New Roman" w:eastAsia="宋体" w:cs="Times New Roman"/>
                <w:color w:val="auto"/>
                <w:szCs w:val="21"/>
              </w:rPr>
            </w:pPr>
            <w:r>
              <w:rPr>
                <w:rFonts w:hint="default" w:ascii="Times New Roman" w:hAnsi="Times New Roman" w:eastAsia="宋体" w:cs="Times New Roman"/>
                <w:color w:val="auto"/>
                <w:szCs w:val="21"/>
              </w:rPr>
              <w:t>15m排气筒排放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30" w:type="dxa"/>
            <w:vAlign w:val="center"/>
          </w:tcPr>
          <w:p>
            <w:pPr>
              <w:jc w:val="center"/>
              <w:rPr>
                <w:rFonts w:ascii="Times New Roman" w:hAnsi="Times New Roman" w:cs="Times New Roman"/>
                <w:color w:val="auto"/>
                <w:szCs w:val="21"/>
              </w:rPr>
            </w:pPr>
            <w:r>
              <w:rPr>
                <w:rFonts w:hint="default" w:ascii="Times New Roman" w:hAnsi="Times New Roman" w:cs="Times New Roman"/>
                <w:color w:val="auto"/>
                <w:szCs w:val="21"/>
              </w:rPr>
              <w:t>装置区和储存区常期运行的无组织废气</w:t>
            </w:r>
          </w:p>
        </w:tc>
        <w:tc>
          <w:tcPr>
            <w:tcW w:w="2289" w:type="dxa"/>
            <w:vAlign w:val="center"/>
          </w:tcPr>
          <w:p>
            <w:pPr>
              <w:jc w:val="center"/>
              <w:rPr>
                <w:rFonts w:ascii="Times New Roman" w:hAnsi="Times New Roman" w:cs="Times New Roman"/>
                <w:color w:val="auto"/>
                <w:szCs w:val="21"/>
              </w:rPr>
            </w:pPr>
            <w:r>
              <w:rPr>
                <w:rFonts w:hint="default" w:ascii="Times New Roman" w:hAnsi="Times New Roman" w:cs="Times New Roman"/>
                <w:color w:val="auto"/>
                <w:szCs w:val="21"/>
              </w:rPr>
              <w:t>氨气、甲醛、甲醇、酚类、VOCs</w:t>
            </w:r>
          </w:p>
        </w:tc>
        <w:tc>
          <w:tcPr>
            <w:tcW w:w="2087" w:type="dxa"/>
            <w:vAlign w:val="center"/>
          </w:tcPr>
          <w:p>
            <w:pPr>
              <w:jc w:val="center"/>
              <w:rPr>
                <w:rFonts w:ascii="Times New Roman" w:hAnsi="Times New Roman" w:eastAsia="宋体" w:cs="Times New Roman"/>
                <w:color w:val="auto"/>
                <w:szCs w:val="21"/>
              </w:rPr>
            </w:pPr>
            <w:r>
              <w:rPr>
                <w:rFonts w:hint="default" w:ascii="Times New Roman" w:hAnsi="Times New Roman" w:eastAsia="宋体" w:cs="Times New Roman"/>
                <w:color w:val="auto"/>
                <w:szCs w:val="21"/>
              </w:rPr>
              <w:t>定期检查、加强管理</w:t>
            </w:r>
          </w:p>
        </w:tc>
        <w:tc>
          <w:tcPr>
            <w:tcW w:w="2016" w:type="dxa"/>
            <w:vAlign w:val="center"/>
          </w:tcPr>
          <w:p>
            <w:pPr>
              <w:jc w:val="center"/>
              <w:rPr>
                <w:rFonts w:ascii="Times New Roman" w:hAnsi="Times New Roman" w:eastAsia="宋体" w:cs="Times New Roman"/>
                <w:color w:val="auto"/>
                <w:szCs w:val="21"/>
              </w:rPr>
            </w:pPr>
            <w:r>
              <w:rPr>
                <w:rFonts w:hint="default" w:ascii="Times New Roman" w:hAnsi="Times New Roman" w:eastAsia="宋体" w:cs="Times New Roman"/>
                <w:color w:val="auto"/>
                <w:szCs w:val="21"/>
              </w:rPr>
              <w:t>无组织排放</w:t>
            </w:r>
          </w:p>
        </w:tc>
      </w:tr>
    </w:tbl>
    <w:p>
      <w:pPr>
        <w:snapToGrid w:val="0"/>
        <w:spacing w:line="360" w:lineRule="auto"/>
        <w:ind w:firstLine="480" w:firstLineChars="200"/>
        <w:rPr>
          <w:rFonts w:ascii="Times New Roman" w:hAnsi="Times New Roman" w:cs="Times New Roman"/>
          <w:color w:val="auto"/>
          <w:sz w:val="24"/>
          <w:szCs w:val="24"/>
        </w:rPr>
      </w:pPr>
      <w:r>
        <w:rPr>
          <w:rFonts w:hint="default" w:ascii="Times New Roman" w:hAnsi="Times New Roman" w:cs="Times New Roman"/>
          <w:color w:val="auto"/>
          <w:sz w:val="24"/>
          <w:szCs w:val="24"/>
        </w:rPr>
        <w:t>（2）废水治理设施情况</w:t>
      </w:r>
    </w:p>
    <w:p>
      <w:pPr>
        <w:snapToGrid w:val="0"/>
        <w:spacing w:line="360" w:lineRule="auto"/>
        <w:ind w:firstLine="480" w:firstLineChars="200"/>
        <w:rPr>
          <w:rFonts w:ascii="Times New Roman" w:hAnsi="Times New Roman" w:cs="Times New Roman"/>
          <w:bCs/>
          <w:color w:val="auto"/>
          <w:sz w:val="24"/>
        </w:rPr>
      </w:pPr>
      <w:r>
        <w:rPr>
          <w:rFonts w:hint="default" w:ascii="Times New Roman" w:hAnsi="Times New Roman" w:cs="Times New Roman"/>
          <w:color w:val="auto"/>
          <w:sz w:val="24"/>
          <w:szCs w:val="24"/>
        </w:rPr>
        <w:t>本公司</w:t>
      </w:r>
      <w:r>
        <w:rPr>
          <w:rFonts w:ascii="Times New Roman" w:hAnsi="Times New Roman" w:cs="Times New Roman"/>
          <w:bCs/>
          <w:color w:val="auto"/>
          <w:sz w:val="24"/>
        </w:rPr>
        <w:t>外排废水主要是</w:t>
      </w:r>
      <w:r>
        <w:rPr>
          <w:rFonts w:hint="default" w:ascii="Times New Roman" w:hAnsi="Times New Roman" w:cs="Times New Roman"/>
          <w:bCs/>
          <w:color w:val="auto"/>
          <w:sz w:val="24"/>
        </w:rPr>
        <w:t>工艺废水、</w:t>
      </w:r>
      <w:r>
        <w:rPr>
          <w:rFonts w:ascii="Times New Roman" w:hAnsi="Times New Roman" w:cs="Times New Roman"/>
          <w:bCs/>
          <w:color w:val="auto"/>
          <w:sz w:val="24"/>
        </w:rPr>
        <w:t>生活污水</w:t>
      </w:r>
      <w:r>
        <w:rPr>
          <w:rFonts w:hint="default" w:ascii="Times New Roman" w:hAnsi="Times New Roman" w:cs="Times New Roman"/>
          <w:bCs/>
          <w:color w:val="auto"/>
          <w:sz w:val="24"/>
        </w:rPr>
        <w:t>，工艺废水经厂区自建污水处理站处理后、排入云溪污水处理厂处理；生活污水通过隔油池+化粪池+厂区自建污水处理站处理后、排入云溪污水处理厂处理。</w:t>
      </w:r>
    </w:p>
    <w:p>
      <w:pPr>
        <w:spacing w:line="360" w:lineRule="auto"/>
        <w:ind w:firstLine="480" w:firstLineChars="200"/>
        <w:rPr>
          <w:rFonts w:ascii="Times New Roman" w:hAnsi="Times New Roman" w:cs="Times New Roman"/>
          <w:b/>
          <w:color w:val="auto"/>
          <w:sz w:val="24"/>
          <w:szCs w:val="24"/>
        </w:rPr>
      </w:pPr>
      <w:r>
        <w:rPr>
          <w:rFonts w:hint="default" w:ascii="Times New Roman" w:hAnsi="Times New Roman" w:cs="Times New Roman"/>
          <w:color w:val="auto"/>
          <w:sz w:val="24"/>
          <w:szCs w:val="24"/>
        </w:rPr>
        <w:t>废水污染物及治理措施见表2。</w:t>
      </w:r>
    </w:p>
    <w:p>
      <w:pPr>
        <w:pStyle w:val="41"/>
        <w:spacing w:line="240" w:lineRule="auto"/>
        <w:ind w:firstLine="0" w:firstLineChars="0"/>
        <w:rPr>
          <w:rFonts w:hAnsi="Times New Roman"/>
          <w:color w:val="auto"/>
          <w:spacing w:val="10"/>
          <w:kern w:val="24"/>
          <w:szCs w:val="21"/>
        </w:rPr>
      </w:pPr>
      <w:r>
        <w:rPr>
          <w:rFonts w:hAnsi="Times New Roman"/>
          <w:color w:val="auto"/>
          <w:spacing w:val="10"/>
          <w:kern w:val="24"/>
          <w:szCs w:val="21"/>
        </w:rPr>
        <w:t>表</w:t>
      </w:r>
      <w:r>
        <w:rPr>
          <w:rFonts w:hint="default" w:hAnsi="Times New Roman"/>
          <w:color w:val="auto"/>
          <w:spacing w:val="10"/>
          <w:kern w:val="24"/>
          <w:szCs w:val="21"/>
        </w:rPr>
        <w:t>2</w:t>
      </w:r>
      <w:r>
        <w:rPr>
          <w:rFonts w:hAnsi="Times New Roman"/>
          <w:color w:val="auto"/>
          <w:spacing w:val="10"/>
          <w:kern w:val="24"/>
          <w:szCs w:val="21"/>
        </w:rPr>
        <w:t xml:space="preserve">  废水主要污染物及治理措施</w:t>
      </w:r>
    </w:p>
    <w:tbl>
      <w:tblPr>
        <w:tblStyle w:val="28"/>
        <w:tblW w:w="8522" w:type="dxa"/>
        <w:jc w:val="center"/>
        <w:tblBorders>
          <w:top w:val="single" w:color="000000" w:sz="12" w:space="0"/>
          <w:left w:val="single" w:color="auto" w:sz="12" w:space="0"/>
          <w:bottom w:val="single" w:color="000000"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
      <w:tblGrid>
        <w:gridCol w:w="978"/>
        <w:gridCol w:w="2739"/>
        <w:gridCol w:w="2284"/>
        <w:gridCol w:w="2521"/>
      </w:tblGrid>
      <w:tr>
        <w:tblPrEx>
          <w:tblBorders>
            <w:top w:val="single" w:color="000000" w:sz="12" w:space="0"/>
            <w:left w:val="single" w:color="auto" w:sz="12" w:space="0"/>
            <w:bottom w:val="single" w:color="000000"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blHeader/>
          <w:jc w:val="center"/>
        </w:trPr>
        <w:tc>
          <w:tcPr>
            <w:tcW w:w="978" w:type="dxa"/>
            <w:vAlign w:val="center"/>
          </w:tcPr>
          <w:p>
            <w:pPr>
              <w:jc w:val="center"/>
              <w:rPr>
                <w:rFonts w:ascii="Times New Roman" w:hAnsi="Times New Roman" w:cs="Times New Roman"/>
                <w:b/>
                <w:bCs/>
                <w:color w:val="auto"/>
                <w:szCs w:val="21"/>
              </w:rPr>
            </w:pPr>
            <w:r>
              <w:rPr>
                <w:rFonts w:ascii="Times New Roman" w:hAnsi="Times New Roman" w:eastAsia="宋体" w:cs="Times New Roman"/>
                <w:b/>
                <w:bCs/>
                <w:color w:val="auto"/>
                <w:szCs w:val="21"/>
              </w:rPr>
              <w:t>污染源</w:t>
            </w:r>
          </w:p>
        </w:tc>
        <w:tc>
          <w:tcPr>
            <w:tcW w:w="2739" w:type="dxa"/>
            <w:vAlign w:val="center"/>
          </w:tcPr>
          <w:p>
            <w:pPr>
              <w:jc w:val="center"/>
              <w:rPr>
                <w:rFonts w:ascii="Times New Roman" w:hAnsi="Times New Roman" w:cs="Times New Roman"/>
                <w:b/>
                <w:bCs/>
                <w:color w:val="auto"/>
                <w:szCs w:val="21"/>
              </w:rPr>
            </w:pPr>
            <w:r>
              <w:rPr>
                <w:rFonts w:ascii="Times New Roman" w:hAnsi="Times New Roman" w:cs="Times New Roman"/>
                <w:b/>
                <w:bCs/>
                <w:color w:val="auto"/>
                <w:szCs w:val="21"/>
              </w:rPr>
              <w:t>主要污染物</w:t>
            </w:r>
          </w:p>
        </w:tc>
        <w:tc>
          <w:tcPr>
            <w:tcW w:w="2284" w:type="dxa"/>
            <w:vAlign w:val="center"/>
          </w:tcPr>
          <w:p>
            <w:pPr>
              <w:jc w:val="center"/>
              <w:rPr>
                <w:rFonts w:ascii="Times New Roman" w:hAnsi="Times New Roman" w:cs="Times New Roman"/>
                <w:b/>
                <w:bCs/>
                <w:color w:val="auto"/>
                <w:szCs w:val="21"/>
              </w:rPr>
            </w:pPr>
            <w:r>
              <w:rPr>
                <w:rFonts w:ascii="Times New Roman" w:hAnsi="Times New Roman" w:eastAsia="宋体" w:cs="Times New Roman"/>
                <w:b/>
                <w:bCs/>
                <w:color w:val="auto"/>
                <w:szCs w:val="21"/>
              </w:rPr>
              <w:t>处理方式</w:t>
            </w:r>
          </w:p>
        </w:tc>
        <w:tc>
          <w:tcPr>
            <w:tcW w:w="2521" w:type="dxa"/>
            <w:vAlign w:val="center"/>
          </w:tcPr>
          <w:p>
            <w:pPr>
              <w:jc w:val="center"/>
              <w:rPr>
                <w:rFonts w:ascii="Times New Roman" w:hAnsi="Times New Roman" w:cs="Times New Roman"/>
                <w:b/>
                <w:bCs/>
                <w:color w:val="auto"/>
                <w:szCs w:val="21"/>
              </w:rPr>
            </w:pPr>
            <w:r>
              <w:rPr>
                <w:rFonts w:ascii="Times New Roman" w:hAnsi="Times New Roman" w:eastAsia="宋体" w:cs="Times New Roman"/>
                <w:b/>
                <w:bCs/>
                <w:color w:val="auto"/>
                <w:szCs w:val="21"/>
              </w:rPr>
              <w:t>排放情况</w:t>
            </w:r>
          </w:p>
        </w:tc>
      </w:tr>
      <w:tr>
        <w:tblPrEx>
          <w:tblBorders>
            <w:top w:val="single" w:color="000000" w:sz="12" w:space="0"/>
            <w:left w:val="single" w:color="auto" w:sz="12" w:space="0"/>
            <w:bottom w:val="single" w:color="000000"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978" w:type="dxa"/>
            <w:vAlign w:val="center"/>
          </w:tcPr>
          <w:p>
            <w:pPr>
              <w:jc w:val="center"/>
              <w:rPr>
                <w:rFonts w:ascii="Times New Roman" w:hAnsi="Times New Roman" w:cs="Times New Roman"/>
                <w:color w:val="auto"/>
                <w:szCs w:val="21"/>
              </w:rPr>
            </w:pPr>
            <w:r>
              <w:rPr>
                <w:rFonts w:hint="default" w:ascii="Times New Roman" w:hAnsi="Times New Roman" w:cs="Times New Roman"/>
                <w:color w:val="auto"/>
                <w:szCs w:val="21"/>
              </w:rPr>
              <w:t>工艺废水</w:t>
            </w:r>
          </w:p>
        </w:tc>
        <w:tc>
          <w:tcPr>
            <w:tcW w:w="2739" w:type="dxa"/>
            <w:vAlign w:val="center"/>
          </w:tcPr>
          <w:p>
            <w:pPr>
              <w:jc w:val="center"/>
              <w:rPr>
                <w:rFonts w:ascii="Times New Roman" w:hAnsi="Times New Roman" w:eastAsia="宋体" w:cs="Times New Roman"/>
                <w:color w:val="auto"/>
                <w:szCs w:val="21"/>
              </w:rPr>
            </w:pPr>
            <w:r>
              <w:rPr>
                <w:rFonts w:ascii="Times New Roman" w:hAnsi="Times New Roman" w:eastAsia="宋体" w:cs="Times New Roman"/>
                <w:color w:val="auto"/>
              </w:rPr>
              <w:t>pH、COD</w:t>
            </w:r>
            <w:r>
              <w:rPr>
                <w:rFonts w:ascii="Times New Roman" w:hAnsi="Times New Roman" w:eastAsia="宋体" w:cs="Times New Roman"/>
                <w:color w:val="auto"/>
                <w:vertAlign w:val="subscript"/>
              </w:rPr>
              <w:t>Cr</w:t>
            </w:r>
            <w:r>
              <w:rPr>
                <w:rFonts w:ascii="Times New Roman" w:hAnsi="Times New Roman" w:eastAsia="宋体" w:cs="Times New Roman"/>
                <w:color w:val="auto"/>
              </w:rPr>
              <w:t>、BOD</w:t>
            </w:r>
            <w:r>
              <w:rPr>
                <w:rFonts w:ascii="Times New Roman" w:hAnsi="Times New Roman" w:eastAsia="宋体" w:cs="Times New Roman"/>
                <w:color w:val="auto"/>
                <w:vertAlign w:val="subscript"/>
              </w:rPr>
              <w:t>5</w:t>
            </w:r>
            <w:r>
              <w:rPr>
                <w:rFonts w:ascii="Times New Roman" w:hAnsi="Times New Roman" w:eastAsia="宋体" w:cs="Times New Roman"/>
                <w:color w:val="auto"/>
              </w:rPr>
              <w:t>、SS、NH</w:t>
            </w:r>
            <w:r>
              <w:rPr>
                <w:rFonts w:ascii="Times New Roman" w:hAnsi="Times New Roman" w:eastAsia="宋体" w:cs="Times New Roman"/>
                <w:color w:val="auto"/>
                <w:vertAlign w:val="subscript"/>
              </w:rPr>
              <w:t>3</w:t>
            </w:r>
            <w:r>
              <w:rPr>
                <w:rFonts w:ascii="Times New Roman" w:hAnsi="Times New Roman" w:eastAsia="宋体" w:cs="Times New Roman"/>
                <w:color w:val="auto"/>
              </w:rPr>
              <w:t>-N、</w:t>
            </w:r>
            <w:r>
              <w:rPr>
                <w:rFonts w:hint="default" w:ascii="Times New Roman" w:hAnsi="Times New Roman" w:eastAsia="宋体" w:cs="Times New Roman"/>
                <w:color w:val="auto"/>
              </w:rPr>
              <w:t>苯酚、甲醛</w:t>
            </w:r>
          </w:p>
        </w:tc>
        <w:tc>
          <w:tcPr>
            <w:tcW w:w="2284" w:type="dxa"/>
            <w:vAlign w:val="center"/>
          </w:tcPr>
          <w:p>
            <w:pPr>
              <w:jc w:val="center"/>
              <w:rPr>
                <w:rFonts w:ascii="Times New Roman" w:hAnsi="Times New Roman" w:cs="Times New Roman"/>
                <w:color w:val="auto"/>
                <w:szCs w:val="21"/>
              </w:rPr>
            </w:pPr>
            <w:r>
              <w:rPr>
                <w:rFonts w:hint="default" w:ascii="Times New Roman" w:hAnsi="Times New Roman" w:cs="Times New Roman"/>
                <w:color w:val="auto"/>
                <w:szCs w:val="21"/>
              </w:rPr>
              <w:t>自建污水处理站（调节+水解酸化+AO+沉淀）</w:t>
            </w:r>
          </w:p>
        </w:tc>
        <w:tc>
          <w:tcPr>
            <w:tcW w:w="2521" w:type="dxa"/>
            <w:vAlign w:val="center"/>
          </w:tcPr>
          <w:p>
            <w:pPr>
              <w:jc w:val="center"/>
              <w:rPr>
                <w:rFonts w:ascii="Times New Roman" w:hAnsi="Times New Roman" w:cs="Times New Roman"/>
                <w:color w:val="auto"/>
                <w:szCs w:val="21"/>
              </w:rPr>
            </w:pPr>
            <w:r>
              <w:rPr>
                <w:rFonts w:hint="default" w:ascii="Times New Roman" w:hAnsi="Times New Roman" w:cs="Times New Roman"/>
                <w:color w:val="auto"/>
                <w:szCs w:val="21"/>
              </w:rPr>
              <w:t>经厂区自建污水处理站处理后、排入云溪污水处理厂处理</w:t>
            </w:r>
          </w:p>
        </w:tc>
      </w:tr>
      <w:tr>
        <w:tblPrEx>
          <w:tblBorders>
            <w:top w:val="single" w:color="000000" w:sz="12" w:space="0"/>
            <w:left w:val="single" w:color="auto" w:sz="12" w:space="0"/>
            <w:bottom w:val="single" w:color="000000"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978" w:type="dxa"/>
            <w:vAlign w:val="center"/>
          </w:tcPr>
          <w:p>
            <w:pPr>
              <w:jc w:val="center"/>
              <w:rPr>
                <w:rFonts w:ascii="Times New Roman" w:hAnsi="Times New Roman" w:cs="Times New Roman"/>
                <w:color w:val="auto"/>
                <w:szCs w:val="21"/>
              </w:rPr>
            </w:pPr>
            <w:r>
              <w:rPr>
                <w:rFonts w:ascii="Times New Roman" w:hAnsi="Times New Roman" w:eastAsia="宋体" w:cs="Times New Roman"/>
                <w:color w:val="auto"/>
                <w:szCs w:val="21"/>
              </w:rPr>
              <w:t>生活污水</w:t>
            </w:r>
          </w:p>
        </w:tc>
        <w:tc>
          <w:tcPr>
            <w:tcW w:w="2739" w:type="dxa"/>
            <w:vAlign w:val="center"/>
          </w:tcPr>
          <w:p>
            <w:pPr>
              <w:jc w:val="center"/>
              <w:rPr>
                <w:rFonts w:ascii="Times New Roman" w:hAnsi="Times New Roman" w:cs="Times New Roman"/>
                <w:color w:val="auto"/>
                <w:szCs w:val="21"/>
              </w:rPr>
            </w:pPr>
            <w:r>
              <w:rPr>
                <w:rFonts w:ascii="Times New Roman" w:hAnsi="Times New Roman" w:eastAsia="宋体" w:cs="Times New Roman"/>
                <w:color w:val="auto"/>
              </w:rPr>
              <w:t>pH、COD</w:t>
            </w:r>
            <w:r>
              <w:rPr>
                <w:rFonts w:ascii="Times New Roman" w:hAnsi="Times New Roman" w:eastAsia="宋体" w:cs="Times New Roman"/>
                <w:color w:val="auto"/>
                <w:vertAlign w:val="subscript"/>
              </w:rPr>
              <w:t>Cr</w:t>
            </w:r>
            <w:r>
              <w:rPr>
                <w:rFonts w:ascii="Times New Roman" w:hAnsi="Times New Roman" w:eastAsia="宋体" w:cs="Times New Roman"/>
                <w:color w:val="auto"/>
              </w:rPr>
              <w:t>、BOD</w:t>
            </w:r>
            <w:r>
              <w:rPr>
                <w:rFonts w:ascii="Times New Roman" w:hAnsi="Times New Roman" w:eastAsia="宋体" w:cs="Times New Roman"/>
                <w:color w:val="auto"/>
                <w:vertAlign w:val="subscript"/>
              </w:rPr>
              <w:t>5</w:t>
            </w:r>
            <w:r>
              <w:rPr>
                <w:rFonts w:ascii="Times New Roman" w:hAnsi="Times New Roman" w:eastAsia="宋体" w:cs="Times New Roman"/>
                <w:color w:val="auto"/>
              </w:rPr>
              <w:t>、SS、NH</w:t>
            </w:r>
            <w:r>
              <w:rPr>
                <w:rFonts w:ascii="Times New Roman" w:hAnsi="Times New Roman" w:eastAsia="宋体" w:cs="Times New Roman"/>
                <w:color w:val="auto"/>
                <w:vertAlign w:val="subscript"/>
              </w:rPr>
              <w:t>3</w:t>
            </w:r>
            <w:r>
              <w:rPr>
                <w:rFonts w:ascii="Times New Roman" w:hAnsi="Times New Roman" w:eastAsia="宋体" w:cs="Times New Roman"/>
                <w:color w:val="auto"/>
              </w:rPr>
              <w:t>-N、动植物油</w:t>
            </w:r>
          </w:p>
        </w:tc>
        <w:tc>
          <w:tcPr>
            <w:tcW w:w="2284" w:type="dxa"/>
            <w:vAlign w:val="center"/>
          </w:tcPr>
          <w:p>
            <w:pPr>
              <w:jc w:val="center"/>
              <w:rPr>
                <w:rFonts w:ascii="Times New Roman" w:hAnsi="Times New Roman" w:eastAsia="宋体" w:cs="Times New Roman"/>
                <w:color w:val="auto"/>
                <w:szCs w:val="21"/>
              </w:rPr>
            </w:pPr>
            <w:r>
              <w:rPr>
                <w:rFonts w:hint="default" w:ascii="Times New Roman" w:hAnsi="Times New Roman" w:eastAsia="宋体" w:cs="Times New Roman"/>
                <w:color w:val="auto"/>
                <w:szCs w:val="21"/>
              </w:rPr>
              <w:t>隔油池+</w:t>
            </w:r>
            <w:r>
              <w:rPr>
                <w:rFonts w:ascii="Times New Roman" w:hAnsi="Times New Roman" w:eastAsia="宋体" w:cs="Times New Roman"/>
                <w:color w:val="auto"/>
                <w:szCs w:val="21"/>
              </w:rPr>
              <w:t>化粪池</w:t>
            </w:r>
            <w:r>
              <w:rPr>
                <w:rFonts w:hint="default" w:ascii="Times New Roman" w:hAnsi="Times New Roman" w:eastAsia="宋体" w:cs="Times New Roman"/>
                <w:color w:val="auto"/>
                <w:szCs w:val="21"/>
              </w:rPr>
              <w:t>预+</w:t>
            </w:r>
            <w:r>
              <w:rPr>
                <w:rFonts w:hint="default" w:ascii="Times New Roman" w:hAnsi="Times New Roman" w:cs="Times New Roman"/>
                <w:color w:val="auto"/>
                <w:szCs w:val="21"/>
              </w:rPr>
              <w:t>自建污水处理站（调节+水解酸化+AO+沉淀）</w:t>
            </w:r>
          </w:p>
        </w:tc>
        <w:tc>
          <w:tcPr>
            <w:tcW w:w="2521" w:type="dxa"/>
            <w:vAlign w:val="center"/>
          </w:tcPr>
          <w:p>
            <w:pPr>
              <w:jc w:val="center"/>
              <w:rPr>
                <w:rFonts w:ascii="Times New Roman" w:hAnsi="Times New Roman" w:cs="Times New Roman"/>
                <w:color w:val="auto"/>
                <w:szCs w:val="21"/>
              </w:rPr>
            </w:pPr>
            <w:r>
              <w:rPr>
                <w:rFonts w:hint="default" w:ascii="Times New Roman" w:hAnsi="Times New Roman" w:cs="Times New Roman"/>
                <w:color w:val="auto"/>
                <w:szCs w:val="21"/>
              </w:rPr>
              <w:t>通过隔油池+化粪池+厂区自建污水处理站处理后、排入云溪污水处理厂处理</w:t>
            </w:r>
          </w:p>
        </w:tc>
      </w:tr>
    </w:tbl>
    <w:p>
      <w:pPr>
        <w:spacing w:line="360" w:lineRule="auto"/>
        <w:ind w:firstLine="496" w:firstLineChars="200"/>
        <w:rPr>
          <w:rFonts w:ascii="Times New Roman" w:hAnsi="Times New Roman" w:cs="Times New Roman"/>
          <w:color w:val="auto"/>
          <w:sz w:val="24"/>
          <w:szCs w:val="24"/>
        </w:rPr>
      </w:pPr>
      <w:r>
        <w:rPr>
          <w:rFonts w:hint="default" w:ascii="Times New Roman" w:hAnsi="Times New Roman" w:cs="Times New Roman"/>
          <w:color w:val="auto"/>
          <w:spacing w:val="4"/>
          <w:sz w:val="24"/>
        </w:rPr>
        <w:t>（3）固体废物</w:t>
      </w:r>
      <w:r>
        <w:rPr>
          <w:rFonts w:ascii="Times New Roman" w:hAnsi="Times New Roman" w:cs="Times New Roman"/>
          <w:color w:val="auto"/>
          <w:sz w:val="24"/>
          <w:szCs w:val="24"/>
        </w:rPr>
        <w:t>暂存设施建设情况</w:t>
      </w:r>
    </w:p>
    <w:p>
      <w:pPr>
        <w:spacing w:line="360" w:lineRule="auto"/>
        <w:ind w:firstLine="480" w:firstLineChars="200"/>
        <w:rPr>
          <w:rFonts w:ascii="Times New Roman" w:hAnsi="Times New Roman" w:cs="Times New Roman"/>
          <w:color w:val="auto"/>
          <w:kern w:val="0"/>
          <w:sz w:val="24"/>
          <w:szCs w:val="24"/>
        </w:rPr>
      </w:pPr>
      <w:r>
        <w:rPr>
          <w:rFonts w:hint="default" w:ascii="Times New Roman" w:hAnsi="Times New Roman" w:cs="Times New Roman"/>
          <w:color w:val="auto"/>
          <w:sz w:val="24"/>
          <w:szCs w:val="24"/>
        </w:rPr>
        <w:t>本公司营运期间产生的固体废物</w:t>
      </w:r>
      <w:r>
        <w:rPr>
          <w:rFonts w:hint="default" w:ascii="Times New Roman" w:hAnsi="Times New Roman" w:cs="Times New Roman"/>
          <w:color w:val="auto"/>
          <w:kern w:val="0"/>
          <w:sz w:val="24"/>
          <w:szCs w:val="24"/>
        </w:rPr>
        <w:t>主要为废包装、废包装桶、生活垃圾、废过滤渣及滤网、污水站生化污泥、实验室废试剂瓶。</w:t>
      </w:r>
    </w:p>
    <w:p>
      <w:pPr>
        <w:jc w:val="center"/>
        <w:rPr>
          <w:rFonts w:ascii="Times New Roman" w:hAnsi="Times New Roman" w:eastAsia="宋体" w:cs="Times New Roman"/>
          <w:b/>
          <w:bCs/>
          <w:color w:val="auto"/>
          <w:szCs w:val="21"/>
        </w:rPr>
      </w:pPr>
    </w:p>
    <w:p>
      <w:pPr>
        <w:jc w:val="center"/>
        <w:rPr>
          <w:rFonts w:ascii="Times New Roman" w:hAnsi="Times New Roman" w:eastAsia="宋体" w:cs="Times New Roman"/>
          <w:b/>
          <w:bCs/>
          <w:color w:val="auto"/>
          <w:szCs w:val="21"/>
        </w:rPr>
      </w:pPr>
      <w:r>
        <w:rPr>
          <w:rFonts w:ascii="Times New Roman" w:hAnsi="Times New Roman" w:eastAsia="宋体" w:cs="Times New Roman"/>
          <w:b/>
          <w:bCs/>
          <w:color w:val="auto"/>
          <w:szCs w:val="21"/>
        </w:rPr>
        <w:t>表</w:t>
      </w:r>
      <w:r>
        <w:rPr>
          <w:rFonts w:hint="default" w:ascii="Times New Roman" w:hAnsi="Times New Roman" w:eastAsia="宋体" w:cs="Times New Roman"/>
          <w:b/>
          <w:bCs/>
          <w:color w:val="auto"/>
          <w:szCs w:val="21"/>
        </w:rPr>
        <w:t>3</w:t>
      </w:r>
      <w:r>
        <w:rPr>
          <w:rFonts w:ascii="Times New Roman" w:hAnsi="Times New Roman" w:eastAsia="宋体" w:cs="Times New Roman"/>
          <w:b/>
          <w:bCs/>
          <w:color w:val="auto"/>
          <w:szCs w:val="21"/>
        </w:rPr>
        <w:t xml:space="preserve">   </w:t>
      </w:r>
      <w:r>
        <w:rPr>
          <w:rFonts w:hint="default" w:ascii="Times New Roman" w:hAnsi="Times New Roman" w:eastAsia="宋体" w:cs="Times New Roman"/>
          <w:b/>
          <w:bCs/>
          <w:color w:val="auto"/>
          <w:szCs w:val="21"/>
        </w:rPr>
        <w:t>固体废物</w:t>
      </w:r>
      <w:r>
        <w:rPr>
          <w:rFonts w:ascii="Times New Roman" w:hAnsi="Times New Roman" w:eastAsia="宋体" w:cs="Times New Roman"/>
          <w:b/>
          <w:bCs/>
          <w:color w:val="auto"/>
          <w:szCs w:val="21"/>
        </w:rPr>
        <w:t>防治措施一览表</w:t>
      </w:r>
    </w:p>
    <w:tbl>
      <w:tblPr>
        <w:tblStyle w:val="28"/>
        <w:tblW w:w="4999"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50"/>
        <w:gridCol w:w="2995"/>
        <w:gridCol w:w="2005"/>
        <w:gridCol w:w="287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315" w:type="pct"/>
            <w:tcBorders>
              <w:tl2br w:val="nil"/>
              <w:tr2bl w:val="nil"/>
            </w:tcBorders>
            <w:noWrap/>
            <w:vAlign w:val="center"/>
          </w:tcPr>
          <w:p>
            <w:pPr>
              <w:ind w:left="-105" w:leftChars="-50" w:right="-105" w:rightChars="-50"/>
              <w:jc w:val="center"/>
              <w:rPr>
                <w:rFonts w:ascii="Times New Roman" w:hAnsi="Times New Roman" w:cs="Times New Roman"/>
                <w:b/>
                <w:color w:val="auto"/>
                <w:szCs w:val="21"/>
              </w:rPr>
            </w:pPr>
            <w:r>
              <w:rPr>
                <w:rFonts w:ascii="Times New Roman" w:hAnsi="Times New Roman" w:cs="Times New Roman"/>
                <w:b/>
                <w:color w:val="auto"/>
                <w:szCs w:val="21"/>
              </w:rPr>
              <w:t>序号</w:t>
            </w:r>
          </w:p>
        </w:tc>
        <w:tc>
          <w:tcPr>
            <w:tcW w:w="1796" w:type="pct"/>
            <w:tcBorders>
              <w:tl2br w:val="nil"/>
              <w:tr2bl w:val="nil"/>
            </w:tcBorders>
            <w:vAlign w:val="center"/>
          </w:tcPr>
          <w:p>
            <w:pPr>
              <w:jc w:val="center"/>
              <w:rPr>
                <w:rFonts w:ascii="Times New Roman" w:hAnsi="Times New Roman" w:cs="Times New Roman"/>
                <w:b/>
                <w:color w:val="auto"/>
                <w:szCs w:val="21"/>
              </w:rPr>
            </w:pPr>
            <w:r>
              <w:rPr>
                <w:rFonts w:ascii="Times New Roman" w:hAnsi="Times New Roman" w:cs="Times New Roman"/>
                <w:b/>
                <w:color w:val="auto"/>
                <w:szCs w:val="21"/>
              </w:rPr>
              <w:t>名称</w:t>
            </w:r>
          </w:p>
        </w:tc>
        <w:tc>
          <w:tcPr>
            <w:tcW w:w="1171" w:type="pct"/>
            <w:tcBorders>
              <w:tl2br w:val="nil"/>
              <w:tr2bl w:val="nil"/>
            </w:tcBorders>
            <w:vAlign w:val="center"/>
          </w:tcPr>
          <w:p>
            <w:pPr>
              <w:jc w:val="center"/>
              <w:rPr>
                <w:rFonts w:ascii="Times New Roman" w:hAnsi="Times New Roman" w:cs="Times New Roman"/>
                <w:b/>
                <w:color w:val="auto"/>
                <w:szCs w:val="21"/>
              </w:rPr>
            </w:pPr>
            <w:r>
              <w:rPr>
                <w:rFonts w:ascii="Times New Roman" w:hAnsi="Times New Roman" w:cs="Times New Roman"/>
                <w:b/>
                <w:color w:val="auto"/>
                <w:szCs w:val="21"/>
              </w:rPr>
              <w:t>属性</w:t>
            </w:r>
          </w:p>
        </w:tc>
        <w:tc>
          <w:tcPr>
            <w:tcW w:w="1717" w:type="pct"/>
            <w:tcBorders>
              <w:tl2br w:val="nil"/>
              <w:tr2bl w:val="nil"/>
            </w:tcBorders>
            <w:vAlign w:val="center"/>
          </w:tcPr>
          <w:p>
            <w:pPr>
              <w:jc w:val="center"/>
              <w:rPr>
                <w:rFonts w:ascii="Times New Roman" w:hAnsi="Times New Roman" w:cs="Times New Roman"/>
                <w:b/>
                <w:color w:val="auto"/>
                <w:szCs w:val="21"/>
              </w:rPr>
            </w:pPr>
            <w:r>
              <w:rPr>
                <w:rFonts w:ascii="Times New Roman" w:hAnsi="Times New Roman" w:cs="Times New Roman"/>
                <w:b/>
                <w:color w:val="auto"/>
                <w:szCs w:val="21"/>
              </w:rPr>
              <w:t>处理处置措施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5" w:type="pct"/>
            <w:tcBorders>
              <w:tl2br w:val="nil"/>
              <w:tr2bl w:val="nil"/>
            </w:tcBorders>
            <w:noWrap/>
            <w:vAlign w:val="center"/>
          </w:tcPr>
          <w:p>
            <w:pPr>
              <w:jc w:val="center"/>
              <w:rPr>
                <w:rFonts w:ascii="Times New Roman" w:hAnsi="Times New Roman" w:cs="Times New Roman"/>
                <w:color w:val="auto"/>
                <w:szCs w:val="21"/>
              </w:rPr>
            </w:pPr>
            <w:r>
              <w:rPr>
                <w:rFonts w:ascii="Times New Roman" w:hAnsi="Times New Roman" w:cs="Times New Roman"/>
                <w:color w:val="auto"/>
                <w:szCs w:val="21"/>
              </w:rPr>
              <w:t>1</w:t>
            </w:r>
          </w:p>
        </w:tc>
        <w:tc>
          <w:tcPr>
            <w:tcW w:w="1796"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废包装、废包装桶、实验室废试剂瓶</w:t>
            </w:r>
          </w:p>
        </w:tc>
        <w:tc>
          <w:tcPr>
            <w:tcW w:w="117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危险固废</w:t>
            </w:r>
          </w:p>
        </w:tc>
        <w:tc>
          <w:tcPr>
            <w:tcW w:w="1717" w:type="pct"/>
            <w:tcBorders>
              <w:tl2br w:val="nil"/>
              <w:tr2bl w:val="nil"/>
            </w:tcBorders>
            <w:vAlign w:val="center"/>
          </w:tcPr>
          <w:p>
            <w:pPr>
              <w:jc w:val="center"/>
              <w:rPr>
                <w:rFonts w:ascii="Times New Roman" w:hAnsi="Times New Roman" w:cs="Times New Roman"/>
                <w:color w:val="auto"/>
                <w:szCs w:val="21"/>
              </w:rPr>
            </w:pPr>
            <w:r>
              <w:rPr>
                <w:rFonts w:hint="eastAsia" w:ascii="Times New Roman" w:hAnsi="Times New Roman" w:cs="Times New Roman"/>
                <w:color w:val="auto"/>
                <w:szCs w:val="21"/>
                <w:lang w:val="en-US" w:eastAsia="zh-CN"/>
              </w:rPr>
              <w:t>交由湖南瀚洋环保科技有限公司</w:t>
            </w:r>
            <w:r>
              <w:rPr>
                <w:rFonts w:ascii="Times New Roman" w:hAnsi="Times New Roman" w:cs="Times New Roman"/>
                <w:color w:val="auto"/>
                <w:szCs w:val="21"/>
              </w:rPr>
              <w:t>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5" w:type="pct"/>
            <w:tcBorders>
              <w:tl2br w:val="nil"/>
              <w:tr2bl w:val="nil"/>
            </w:tcBorders>
            <w:noWrap/>
            <w:vAlign w:val="center"/>
          </w:tcPr>
          <w:p>
            <w:pPr>
              <w:jc w:val="center"/>
              <w:rPr>
                <w:rFonts w:ascii="Times New Roman" w:hAnsi="Times New Roman" w:cs="Times New Roman"/>
                <w:color w:val="auto"/>
                <w:szCs w:val="21"/>
              </w:rPr>
            </w:pPr>
            <w:r>
              <w:rPr>
                <w:rFonts w:ascii="Times New Roman" w:hAnsi="Times New Roman" w:cs="Times New Roman"/>
                <w:color w:val="auto"/>
                <w:szCs w:val="21"/>
              </w:rPr>
              <w:t>2</w:t>
            </w:r>
          </w:p>
        </w:tc>
        <w:tc>
          <w:tcPr>
            <w:tcW w:w="1796" w:type="pct"/>
            <w:tcBorders>
              <w:tl2br w:val="nil"/>
              <w:tr2bl w:val="nil"/>
            </w:tcBorders>
            <w:vAlign w:val="center"/>
          </w:tcPr>
          <w:p>
            <w:pPr>
              <w:ind w:left="-105" w:leftChars="-50" w:right="-105" w:rightChars="-50"/>
              <w:jc w:val="center"/>
              <w:rPr>
                <w:rFonts w:ascii="Times New Roman" w:hAnsi="Times New Roman" w:cs="Times New Roman"/>
                <w:color w:val="auto"/>
                <w:szCs w:val="21"/>
              </w:rPr>
            </w:pPr>
            <w:r>
              <w:rPr>
                <w:rFonts w:ascii="Times New Roman" w:hAnsi="Times New Roman" w:cs="Times New Roman"/>
                <w:color w:val="auto"/>
                <w:szCs w:val="21"/>
              </w:rPr>
              <w:t>废过滤渣及滤网</w:t>
            </w:r>
          </w:p>
        </w:tc>
        <w:tc>
          <w:tcPr>
            <w:tcW w:w="117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危险固废</w:t>
            </w:r>
          </w:p>
        </w:tc>
        <w:tc>
          <w:tcPr>
            <w:tcW w:w="1717" w:type="pct"/>
            <w:tcBorders>
              <w:tl2br w:val="nil"/>
              <w:tr2bl w:val="nil"/>
            </w:tcBorders>
            <w:vAlign w:val="center"/>
          </w:tcPr>
          <w:p>
            <w:pPr>
              <w:ind w:left="-105" w:leftChars="-50" w:right="-105" w:rightChars="-50"/>
              <w:jc w:val="center"/>
              <w:rPr>
                <w:rFonts w:ascii="Times New Roman" w:hAnsi="Times New Roman" w:cs="Times New Roman"/>
                <w:color w:val="auto"/>
                <w:szCs w:val="21"/>
              </w:rPr>
            </w:pPr>
            <w:r>
              <w:rPr>
                <w:rFonts w:hint="eastAsia" w:ascii="Times New Roman" w:hAnsi="Times New Roman" w:cs="Times New Roman"/>
                <w:color w:val="auto"/>
                <w:szCs w:val="21"/>
                <w:lang w:val="en-US" w:eastAsia="zh-CN"/>
              </w:rPr>
              <w:t>交由湖南瀚洋环保科技有限公司</w:t>
            </w:r>
            <w:r>
              <w:rPr>
                <w:rFonts w:ascii="Times New Roman" w:hAnsi="Times New Roman" w:cs="Times New Roman"/>
                <w:color w:val="auto"/>
                <w:szCs w:val="21"/>
              </w:rPr>
              <w:t>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5" w:type="pct"/>
            <w:tcBorders>
              <w:tl2br w:val="nil"/>
              <w:tr2bl w:val="nil"/>
            </w:tcBorders>
            <w:noWrap/>
            <w:vAlign w:val="center"/>
          </w:tcPr>
          <w:p>
            <w:pPr>
              <w:jc w:val="center"/>
              <w:rPr>
                <w:rFonts w:ascii="Times New Roman" w:hAnsi="Times New Roman" w:cs="Times New Roman"/>
                <w:color w:val="auto"/>
                <w:szCs w:val="21"/>
              </w:rPr>
            </w:pPr>
            <w:r>
              <w:rPr>
                <w:rFonts w:ascii="Times New Roman" w:hAnsi="Times New Roman" w:cs="Times New Roman"/>
                <w:color w:val="auto"/>
                <w:szCs w:val="21"/>
              </w:rPr>
              <w:t>3</w:t>
            </w:r>
          </w:p>
        </w:tc>
        <w:tc>
          <w:tcPr>
            <w:tcW w:w="1796"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废水处理产生的</w:t>
            </w:r>
            <w:r>
              <w:rPr>
                <w:rFonts w:hint="default" w:ascii="Times New Roman" w:hAnsi="Times New Roman" w:cs="Times New Roman"/>
                <w:color w:val="auto"/>
                <w:szCs w:val="21"/>
              </w:rPr>
              <w:t>生化</w:t>
            </w:r>
            <w:r>
              <w:rPr>
                <w:rFonts w:ascii="Times New Roman" w:hAnsi="Times New Roman" w:cs="Times New Roman"/>
                <w:color w:val="auto"/>
                <w:szCs w:val="21"/>
              </w:rPr>
              <w:t>污泥</w:t>
            </w:r>
          </w:p>
        </w:tc>
        <w:tc>
          <w:tcPr>
            <w:tcW w:w="1171" w:type="pct"/>
            <w:tcBorders>
              <w:tl2br w:val="nil"/>
              <w:tr2bl w:val="nil"/>
            </w:tcBorders>
            <w:vAlign w:val="center"/>
          </w:tcPr>
          <w:p>
            <w:pPr>
              <w:jc w:val="center"/>
              <w:rPr>
                <w:rFonts w:ascii="Times New Roman" w:hAnsi="Times New Roman" w:eastAsia="宋体" w:cs="Times New Roman"/>
                <w:color w:val="auto"/>
                <w:szCs w:val="21"/>
              </w:rPr>
            </w:pPr>
            <w:r>
              <w:rPr>
                <w:rFonts w:ascii="Times New Roman" w:hAnsi="Times New Roman" w:cs="Times New Roman"/>
                <w:color w:val="auto"/>
                <w:szCs w:val="21"/>
              </w:rPr>
              <w:t>一般固废</w:t>
            </w:r>
            <w:r>
              <w:rPr>
                <w:rFonts w:hint="default" w:ascii="Times New Roman" w:hAnsi="Times New Roman" w:cs="Times New Roman"/>
                <w:color w:val="auto"/>
                <w:szCs w:val="21"/>
              </w:rPr>
              <w:t>（初步判断）</w:t>
            </w:r>
          </w:p>
        </w:tc>
        <w:tc>
          <w:tcPr>
            <w:tcW w:w="1717" w:type="pct"/>
            <w:tcBorders>
              <w:tl2br w:val="nil"/>
              <w:tr2bl w:val="nil"/>
            </w:tcBorders>
            <w:vAlign w:val="center"/>
          </w:tcPr>
          <w:p>
            <w:pPr>
              <w:jc w:val="center"/>
              <w:rPr>
                <w:rFonts w:ascii="Times New Roman" w:hAnsi="Times New Roman" w:cs="Times New Roman"/>
                <w:color w:val="auto"/>
                <w:szCs w:val="21"/>
              </w:rPr>
            </w:pPr>
            <w:r>
              <w:rPr>
                <w:rFonts w:hint="eastAsia" w:ascii="Times New Roman" w:hAnsi="Times New Roman" w:cs="Times New Roman"/>
                <w:color w:val="auto"/>
                <w:szCs w:val="21"/>
                <w:lang w:val="en-US" w:eastAsia="zh-CN"/>
              </w:rPr>
              <w:t>交由湖南瀚洋环保科技有限公司</w:t>
            </w:r>
            <w:r>
              <w:rPr>
                <w:rFonts w:ascii="Times New Roman" w:hAnsi="Times New Roman" w:cs="Times New Roman"/>
                <w:color w:val="auto"/>
                <w:szCs w:val="21"/>
              </w:rPr>
              <w:t>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5" w:type="pct"/>
            <w:tcBorders>
              <w:tl2br w:val="nil"/>
              <w:tr2bl w:val="nil"/>
            </w:tcBorders>
            <w:noWrap/>
            <w:vAlign w:val="center"/>
          </w:tcPr>
          <w:p>
            <w:pPr>
              <w:jc w:val="center"/>
              <w:rPr>
                <w:rFonts w:ascii="Times New Roman" w:hAnsi="Times New Roman" w:cs="Times New Roman"/>
                <w:color w:val="auto"/>
                <w:szCs w:val="21"/>
              </w:rPr>
            </w:pPr>
            <w:r>
              <w:rPr>
                <w:rFonts w:ascii="Times New Roman" w:hAnsi="Times New Roman" w:cs="Times New Roman"/>
                <w:color w:val="auto"/>
                <w:szCs w:val="21"/>
              </w:rPr>
              <w:t>4</w:t>
            </w:r>
          </w:p>
        </w:tc>
        <w:tc>
          <w:tcPr>
            <w:tcW w:w="1796"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生活垃圾</w:t>
            </w:r>
          </w:p>
        </w:tc>
        <w:tc>
          <w:tcPr>
            <w:tcW w:w="1171"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生活垃圾</w:t>
            </w:r>
          </w:p>
        </w:tc>
        <w:tc>
          <w:tcPr>
            <w:tcW w:w="1717" w:type="pct"/>
            <w:tcBorders>
              <w:tl2br w:val="nil"/>
              <w:tr2bl w:val="nil"/>
            </w:tcBorders>
            <w:vAlign w:val="center"/>
          </w:tcPr>
          <w:p>
            <w:pPr>
              <w:jc w:val="center"/>
              <w:rPr>
                <w:rFonts w:ascii="Times New Roman" w:hAnsi="Times New Roman" w:cs="Times New Roman"/>
                <w:color w:val="auto"/>
                <w:szCs w:val="21"/>
              </w:rPr>
            </w:pPr>
            <w:r>
              <w:rPr>
                <w:rFonts w:ascii="Times New Roman" w:hAnsi="Times New Roman" w:cs="Times New Roman"/>
                <w:color w:val="auto"/>
                <w:szCs w:val="21"/>
              </w:rPr>
              <w:t>交环卫处理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4"/>
            <w:tcBorders>
              <w:tl2br w:val="nil"/>
              <w:tr2bl w:val="nil"/>
            </w:tcBorders>
            <w:noWrap/>
            <w:vAlign w:val="center"/>
          </w:tcPr>
          <w:p>
            <w:pPr>
              <w:rPr>
                <w:rFonts w:ascii="Times New Roman" w:hAnsi="Times New Roman" w:eastAsia="宋体" w:cs="Times New Roman"/>
                <w:color w:val="auto"/>
                <w:szCs w:val="21"/>
              </w:rPr>
            </w:pPr>
            <w:r>
              <w:rPr>
                <w:rFonts w:hint="default" w:ascii="Times New Roman" w:hAnsi="Times New Roman" w:cs="Times New Roman"/>
                <w:color w:val="auto"/>
                <w:szCs w:val="21"/>
              </w:rPr>
              <w:t>备注：环评要求，本项目污水处理站产生的生化污泥，根据《固体废物鉴别标准  通则（GB34330-2017）相关规定进行对生化污泥属性进行鉴别，如鉴别属于危险废物，则生化污泥按《建设项目危险废物环境影响评价指南（2017年第43号）》进行处置（交有危险废物资质单位处置。）</w:t>
            </w:r>
          </w:p>
        </w:tc>
      </w:tr>
    </w:tbl>
    <w:p>
      <w:pPr>
        <w:spacing w:before="156" w:beforeLines="50" w:line="360" w:lineRule="auto"/>
        <w:ind w:firstLine="420" w:firstLineChars="200"/>
        <w:rPr>
          <w:rFonts w:ascii="Times New Roman" w:hAnsi="Times New Roman" w:cs="Times New Roman"/>
          <w:color w:val="auto"/>
        </w:rPr>
      </w:pPr>
      <w:r>
        <w:rPr>
          <w:rFonts w:ascii="Times New Roman" w:hAnsi="Times New Roman" w:cs="Times New Roman"/>
          <w:color w:val="auto"/>
        </w:rPr>
        <w:t>项目危险废物基本情况见下表。</w:t>
      </w:r>
    </w:p>
    <w:p>
      <w:pPr>
        <w:adjustRightInd w:val="0"/>
        <w:snapToGrid w:val="0"/>
        <w:spacing w:line="360" w:lineRule="auto"/>
        <w:jc w:val="center"/>
        <w:rPr>
          <w:rFonts w:ascii="Times New Roman" w:hAnsi="Times New Roman" w:eastAsia="黑体" w:cs="Times New Roman"/>
          <w:color w:val="auto"/>
        </w:rPr>
      </w:pPr>
      <w:r>
        <w:rPr>
          <w:rFonts w:hint="default" w:ascii="Times New Roman" w:hAnsi="Times New Roman" w:eastAsia="黑体" w:cs="Times New Roman"/>
          <w:snapToGrid w:val="0"/>
          <w:color w:val="auto"/>
        </w:rPr>
        <w:t xml:space="preserve">表4   </w:t>
      </w:r>
      <w:r>
        <w:rPr>
          <w:rFonts w:ascii="Times New Roman" w:hAnsi="Times New Roman" w:eastAsia="黑体" w:cs="Times New Roman"/>
          <w:snapToGrid w:val="0"/>
          <w:color w:val="auto"/>
        </w:rPr>
        <w:t>危险废物汇总表</w:t>
      </w:r>
    </w:p>
    <w:tbl>
      <w:tblPr>
        <w:tblStyle w:val="28"/>
        <w:tblW w:w="4996"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83"/>
        <w:gridCol w:w="776"/>
        <w:gridCol w:w="1196"/>
        <w:gridCol w:w="794"/>
        <w:gridCol w:w="608"/>
        <w:gridCol w:w="488"/>
        <w:gridCol w:w="488"/>
        <w:gridCol w:w="836"/>
        <w:gridCol w:w="666"/>
        <w:gridCol w:w="940"/>
        <w:gridCol w:w="124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5" w:hRule="atLeast"/>
        </w:trPr>
        <w:tc>
          <w:tcPr>
            <w:tcW w:w="318"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名称</w:t>
            </w:r>
          </w:p>
        </w:tc>
        <w:tc>
          <w:tcPr>
            <w:tcW w:w="401"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危险废物类别</w:t>
            </w:r>
          </w:p>
        </w:tc>
        <w:tc>
          <w:tcPr>
            <w:tcW w:w="503"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危险废物代码</w:t>
            </w:r>
          </w:p>
        </w:tc>
        <w:tc>
          <w:tcPr>
            <w:tcW w:w="442"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产生量(t/a)</w:t>
            </w:r>
          </w:p>
        </w:tc>
        <w:tc>
          <w:tcPr>
            <w:tcW w:w="391"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产生工序及装置</w:t>
            </w:r>
          </w:p>
        </w:tc>
        <w:tc>
          <w:tcPr>
            <w:tcW w:w="321"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形态</w:t>
            </w:r>
          </w:p>
        </w:tc>
        <w:tc>
          <w:tcPr>
            <w:tcW w:w="321"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主要成分</w:t>
            </w:r>
          </w:p>
        </w:tc>
        <w:tc>
          <w:tcPr>
            <w:tcW w:w="525"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有害成分</w:t>
            </w:r>
          </w:p>
        </w:tc>
        <w:tc>
          <w:tcPr>
            <w:tcW w:w="425"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产废周期</w:t>
            </w:r>
          </w:p>
        </w:tc>
        <w:tc>
          <w:tcPr>
            <w:tcW w:w="586"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危险特性</w:t>
            </w:r>
          </w:p>
        </w:tc>
        <w:tc>
          <w:tcPr>
            <w:tcW w:w="762"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污染防治措施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318" w:type="pct"/>
            <w:tcBorders>
              <w:tl2br w:val="nil"/>
              <w:tr2bl w:val="nil"/>
            </w:tcBorders>
            <w:vAlign w:val="center"/>
          </w:tcPr>
          <w:p>
            <w:pPr>
              <w:ind w:left="-105" w:leftChars="-50" w:right="-105" w:rightChars="-50"/>
              <w:jc w:val="center"/>
              <w:rPr>
                <w:rFonts w:ascii="Times New Roman" w:hAnsi="Times New Roman" w:cs="Times New Roman"/>
                <w:color w:val="auto"/>
                <w:sz w:val="21"/>
                <w:szCs w:val="21"/>
              </w:rPr>
            </w:pPr>
            <w:r>
              <w:rPr>
                <w:rFonts w:ascii="Times New Roman" w:hAnsi="Times New Roman" w:cs="Times New Roman"/>
                <w:color w:val="auto"/>
                <w:sz w:val="21"/>
                <w:szCs w:val="21"/>
              </w:rPr>
              <w:t>废包装、废包装桶</w:t>
            </w:r>
          </w:p>
        </w:tc>
        <w:tc>
          <w:tcPr>
            <w:tcW w:w="401" w:type="pct"/>
            <w:vMerge w:val="restar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HW49</w:t>
            </w:r>
          </w:p>
        </w:tc>
        <w:tc>
          <w:tcPr>
            <w:tcW w:w="503" w:type="pct"/>
            <w:vMerge w:val="restar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900-041-49</w:t>
            </w:r>
          </w:p>
        </w:tc>
        <w:tc>
          <w:tcPr>
            <w:tcW w:w="442"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2</w:t>
            </w:r>
          </w:p>
        </w:tc>
        <w:tc>
          <w:tcPr>
            <w:tcW w:w="391"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物料投料</w:t>
            </w:r>
          </w:p>
        </w:tc>
        <w:tc>
          <w:tcPr>
            <w:tcW w:w="321"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固态</w:t>
            </w:r>
          </w:p>
        </w:tc>
        <w:tc>
          <w:tcPr>
            <w:tcW w:w="321" w:type="pct"/>
            <w:tcBorders>
              <w:tl2br w:val="nil"/>
              <w:tr2bl w:val="nil"/>
            </w:tcBorders>
            <w:vAlign w:val="center"/>
          </w:tcPr>
          <w:p>
            <w:pPr>
              <w:adjustRightInd w:val="0"/>
              <w:snapToGrid w:val="0"/>
              <w:ind w:left="-53" w:leftChars="-25" w:right="-53" w:rightChars="-25"/>
              <w:jc w:val="center"/>
              <w:rPr>
                <w:rFonts w:ascii="Times New Roman" w:hAnsi="Times New Roman" w:cs="Times New Roman"/>
                <w:color w:val="auto"/>
                <w:sz w:val="21"/>
                <w:szCs w:val="21"/>
              </w:rPr>
            </w:pPr>
            <w:r>
              <w:rPr>
                <w:rFonts w:ascii="Times New Roman" w:hAnsi="Times New Roman" w:cs="Times New Roman"/>
                <w:color w:val="auto"/>
                <w:sz w:val="21"/>
                <w:szCs w:val="21"/>
              </w:rPr>
              <w:t>有机物料</w:t>
            </w:r>
          </w:p>
        </w:tc>
        <w:tc>
          <w:tcPr>
            <w:tcW w:w="525" w:type="pct"/>
            <w:tcBorders>
              <w:tl2br w:val="nil"/>
              <w:tr2bl w:val="nil"/>
            </w:tcBorders>
            <w:vAlign w:val="center"/>
          </w:tcPr>
          <w:p>
            <w:pPr>
              <w:adjustRightInd w:val="0"/>
              <w:snapToGrid w:val="0"/>
              <w:ind w:left="-53" w:leftChars="-25" w:right="-53" w:rightChars="-25"/>
              <w:jc w:val="center"/>
              <w:rPr>
                <w:rFonts w:ascii="Times New Roman" w:hAnsi="Times New Roman" w:cs="Times New Roman"/>
                <w:color w:val="auto"/>
                <w:sz w:val="21"/>
                <w:szCs w:val="21"/>
              </w:rPr>
            </w:pPr>
            <w:r>
              <w:rPr>
                <w:rFonts w:ascii="Times New Roman" w:hAnsi="Times New Roman" w:cs="Times New Roman"/>
                <w:color w:val="auto"/>
                <w:sz w:val="21"/>
                <w:szCs w:val="21"/>
              </w:rPr>
              <w:t>危险化学品</w:t>
            </w:r>
          </w:p>
        </w:tc>
        <w:tc>
          <w:tcPr>
            <w:tcW w:w="425" w:type="pct"/>
            <w:vMerge w:val="restar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年</w:t>
            </w:r>
          </w:p>
        </w:tc>
        <w:tc>
          <w:tcPr>
            <w:tcW w:w="586" w:type="pct"/>
            <w:vMerge w:val="restar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T/In</w:t>
            </w:r>
          </w:p>
        </w:tc>
        <w:tc>
          <w:tcPr>
            <w:tcW w:w="762" w:type="pct"/>
            <w:vMerge w:val="restart"/>
            <w:tcBorders>
              <w:tl2br w:val="nil"/>
              <w:tr2bl w:val="nil"/>
            </w:tcBorders>
            <w:vAlign w:val="center"/>
          </w:tcPr>
          <w:p>
            <w:pPr>
              <w:adjustRightInd w:val="0"/>
              <w:snapToGrid w:val="0"/>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交由湖南瀚洋环保科技有限公司处置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318" w:type="pct"/>
            <w:tcBorders>
              <w:tl2br w:val="nil"/>
              <w:tr2bl w:val="nil"/>
            </w:tcBorders>
            <w:vAlign w:val="center"/>
          </w:tcPr>
          <w:p>
            <w:pPr>
              <w:ind w:left="-105" w:leftChars="-50" w:right="-105" w:rightChars="-50"/>
              <w:jc w:val="center"/>
              <w:rPr>
                <w:rFonts w:ascii="Times New Roman" w:hAnsi="Times New Roman" w:cs="Times New Roman"/>
                <w:color w:val="auto"/>
                <w:sz w:val="21"/>
                <w:szCs w:val="21"/>
              </w:rPr>
            </w:pPr>
            <w:r>
              <w:rPr>
                <w:rFonts w:ascii="Times New Roman" w:hAnsi="Times New Roman" w:cs="Times New Roman"/>
                <w:color w:val="auto"/>
                <w:sz w:val="21"/>
                <w:szCs w:val="21"/>
              </w:rPr>
              <w:t>实验室废试剂瓶</w:t>
            </w:r>
          </w:p>
        </w:tc>
        <w:tc>
          <w:tcPr>
            <w:tcW w:w="401" w:type="pct"/>
            <w:vMerge w:val="continue"/>
            <w:tcBorders>
              <w:tl2br w:val="nil"/>
              <w:tr2bl w:val="nil"/>
            </w:tcBorders>
            <w:vAlign w:val="center"/>
          </w:tcPr>
          <w:p>
            <w:pPr>
              <w:adjustRightInd w:val="0"/>
              <w:snapToGrid w:val="0"/>
              <w:jc w:val="center"/>
              <w:rPr>
                <w:rFonts w:ascii="Times New Roman" w:hAnsi="Times New Roman" w:cs="Times New Roman"/>
                <w:color w:val="auto"/>
                <w:sz w:val="21"/>
                <w:szCs w:val="21"/>
              </w:rPr>
            </w:pPr>
          </w:p>
        </w:tc>
        <w:tc>
          <w:tcPr>
            <w:tcW w:w="503" w:type="pct"/>
            <w:vMerge w:val="continue"/>
            <w:tcBorders>
              <w:tl2br w:val="nil"/>
              <w:tr2bl w:val="nil"/>
            </w:tcBorders>
            <w:vAlign w:val="center"/>
          </w:tcPr>
          <w:p>
            <w:pPr>
              <w:adjustRightInd w:val="0"/>
              <w:snapToGrid w:val="0"/>
              <w:jc w:val="center"/>
              <w:rPr>
                <w:rFonts w:ascii="Times New Roman" w:hAnsi="Times New Roman" w:cs="Times New Roman"/>
                <w:color w:val="auto"/>
                <w:sz w:val="21"/>
                <w:szCs w:val="21"/>
              </w:rPr>
            </w:pPr>
          </w:p>
        </w:tc>
        <w:tc>
          <w:tcPr>
            <w:tcW w:w="442"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0.03</w:t>
            </w:r>
          </w:p>
        </w:tc>
        <w:tc>
          <w:tcPr>
            <w:tcW w:w="391"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试验</w:t>
            </w:r>
          </w:p>
        </w:tc>
        <w:tc>
          <w:tcPr>
            <w:tcW w:w="321"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固态</w:t>
            </w:r>
          </w:p>
        </w:tc>
        <w:tc>
          <w:tcPr>
            <w:tcW w:w="321" w:type="pct"/>
            <w:tcBorders>
              <w:tl2br w:val="nil"/>
              <w:tr2bl w:val="nil"/>
            </w:tcBorders>
            <w:vAlign w:val="center"/>
          </w:tcPr>
          <w:p>
            <w:pPr>
              <w:adjustRightInd w:val="0"/>
              <w:snapToGrid w:val="0"/>
              <w:ind w:left="-53" w:leftChars="-25" w:right="-53" w:rightChars="-25"/>
              <w:jc w:val="center"/>
              <w:rPr>
                <w:rFonts w:ascii="Times New Roman" w:hAnsi="Times New Roman" w:cs="Times New Roman"/>
                <w:color w:val="auto"/>
                <w:sz w:val="21"/>
                <w:szCs w:val="21"/>
              </w:rPr>
            </w:pPr>
            <w:r>
              <w:rPr>
                <w:rFonts w:ascii="Times New Roman" w:hAnsi="Times New Roman" w:cs="Times New Roman"/>
                <w:color w:val="auto"/>
                <w:sz w:val="21"/>
                <w:szCs w:val="21"/>
              </w:rPr>
              <w:t>酸碱</w:t>
            </w:r>
          </w:p>
        </w:tc>
        <w:tc>
          <w:tcPr>
            <w:tcW w:w="525" w:type="pct"/>
            <w:tcBorders>
              <w:tl2br w:val="nil"/>
              <w:tr2bl w:val="nil"/>
            </w:tcBorders>
            <w:vAlign w:val="center"/>
          </w:tcPr>
          <w:p>
            <w:pPr>
              <w:adjustRightInd w:val="0"/>
              <w:snapToGrid w:val="0"/>
              <w:ind w:left="-53" w:leftChars="-25" w:right="-53" w:rightChars="-25"/>
              <w:jc w:val="center"/>
              <w:rPr>
                <w:rFonts w:ascii="Times New Roman" w:hAnsi="Times New Roman" w:cs="Times New Roman"/>
                <w:color w:val="auto"/>
                <w:sz w:val="21"/>
                <w:szCs w:val="21"/>
              </w:rPr>
            </w:pPr>
            <w:r>
              <w:rPr>
                <w:rFonts w:ascii="Times New Roman" w:hAnsi="Times New Roman" w:cs="Times New Roman"/>
                <w:color w:val="auto"/>
                <w:sz w:val="21"/>
                <w:szCs w:val="21"/>
              </w:rPr>
              <w:t>酸碱</w:t>
            </w:r>
          </w:p>
        </w:tc>
        <w:tc>
          <w:tcPr>
            <w:tcW w:w="425" w:type="pct"/>
            <w:vMerge w:val="continue"/>
            <w:tcBorders>
              <w:tl2br w:val="nil"/>
              <w:tr2bl w:val="nil"/>
            </w:tcBorders>
            <w:vAlign w:val="center"/>
          </w:tcPr>
          <w:p>
            <w:pPr>
              <w:adjustRightInd w:val="0"/>
              <w:snapToGrid w:val="0"/>
              <w:jc w:val="center"/>
              <w:rPr>
                <w:rFonts w:ascii="Times New Roman" w:hAnsi="Times New Roman" w:cs="Times New Roman"/>
                <w:color w:val="auto"/>
                <w:sz w:val="21"/>
                <w:szCs w:val="21"/>
              </w:rPr>
            </w:pPr>
          </w:p>
        </w:tc>
        <w:tc>
          <w:tcPr>
            <w:tcW w:w="586" w:type="pct"/>
            <w:vMerge w:val="continue"/>
            <w:tcBorders>
              <w:tl2br w:val="nil"/>
              <w:tr2bl w:val="nil"/>
            </w:tcBorders>
            <w:vAlign w:val="center"/>
          </w:tcPr>
          <w:p>
            <w:pPr>
              <w:adjustRightInd w:val="0"/>
              <w:snapToGrid w:val="0"/>
              <w:jc w:val="center"/>
              <w:rPr>
                <w:rFonts w:ascii="Times New Roman" w:hAnsi="Times New Roman" w:cs="Times New Roman"/>
                <w:color w:val="auto"/>
                <w:sz w:val="21"/>
                <w:szCs w:val="21"/>
              </w:rPr>
            </w:pPr>
          </w:p>
        </w:tc>
        <w:tc>
          <w:tcPr>
            <w:tcW w:w="762" w:type="pct"/>
            <w:vMerge w:val="continue"/>
            <w:tcBorders>
              <w:tl2br w:val="nil"/>
              <w:tr2bl w:val="nil"/>
            </w:tcBorders>
            <w:vAlign w:val="center"/>
          </w:tcPr>
          <w:p>
            <w:pPr>
              <w:adjustRightInd w:val="0"/>
              <w:snapToGrid w:val="0"/>
              <w:jc w:val="center"/>
              <w:rPr>
                <w:rFonts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318" w:type="pct"/>
            <w:tcBorders>
              <w:tl2br w:val="nil"/>
              <w:tr2bl w:val="nil"/>
            </w:tcBorders>
            <w:vAlign w:val="center"/>
          </w:tcPr>
          <w:p>
            <w:pPr>
              <w:ind w:left="-105" w:leftChars="-50" w:right="-105" w:rightChars="-50"/>
              <w:jc w:val="center"/>
              <w:rPr>
                <w:rFonts w:ascii="Times New Roman" w:hAnsi="Times New Roman" w:cs="Times New Roman"/>
                <w:color w:val="auto"/>
                <w:sz w:val="21"/>
                <w:szCs w:val="21"/>
              </w:rPr>
            </w:pPr>
            <w:r>
              <w:rPr>
                <w:rFonts w:ascii="Times New Roman" w:hAnsi="Times New Roman" w:cs="Times New Roman"/>
                <w:color w:val="auto"/>
                <w:sz w:val="21"/>
                <w:szCs w:val="21"/>
              </w:rPr>
              <w:t>废过滤渣及滤网</w:t>
            </w:r>
          </w:p>
        </w:tc>
        <w:tc>
          <w:tcPr>
            <w:tcW w:w="401"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HW13有机树脂类废物</w:t>
            </w:r>
          </w:p>
        </w:tc>
        <w:tc>
          <w:tcPr>
            <w:tcW w:w="503"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265-103-13</w:t>
            </w:r>
          </w:p>
        </w:tc>
        <w:tc>
          <w:tcPr>
            <w:tcW w:w="442"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0.5076</w:t>
            </w:r>
          </w:p>
        </w:tc>
        <w:tc>
          <w:tcPr>
            <w:tcW w:w="391"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产品过滤</w:t>
            </w:r>
          </w:p>
        </w:tc>
        <w:tc>
          <w:tcPr>
            <w:tcW w:w="321"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固态</w:t>
            </w:r>
          </w:p>
        </w:tc>
        <w:tc>
          <w:tcPr>
            <w:tcW w:w="321" w:type="pct"/>
            <w:tcBorders>
              <w:tl2br w:val="nil"/>
              <w:tr2bl w:val="nil"/>
            </w:tcBorders>
            <w:vAlign w:val="center"/>
          </w:tcPr>
          <w:p>
            <w:pPr>
              <w:adjustRightInd w:val="0"/>
              <w:snapToGrid w:val="0"/>
              <w:ind w:left="-53" w:leftChars="-25" w:right="-53" w:rightChars="-25"/>
              <w:jc w:val="center"/>
              <w:rPr>
                <w:rFonts w:ascii="Times New Roman" w:hAnsi="Times New Roman" w:cs="Times New Roman"/>
                <w:color w:val="auto"/>
                <w:sz w:val="21"/>
                <w:szCs w:val="21"/>
              </w:rPr>
            </w:pPr>
            <w:r>
              <w:rPr>
                <w:rFonts w:ascii="Times New Roman" w:hAnsi="Times New Roman" w:cs="Times New Roman"/>
                <w:color w:val="auto"/>
                <w:sz w:val="21"/>
                <w:szCs w:val="21"/>
              </w:rPr>
              <w:t>/</w:t>
            </w:r>
          </w:p>
        </w:tc>
        <w:tc>
          <w:tcPr>
            <w:tcW w:w="525"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危险化学品</w:t>
            </w:r>
          </w:p>
        </w:tc>
        <w:tc>
          <w:tcPr>
            <w:tcW w:w="425"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半年</w:t>
            </w:r>
          </w:p>
        </w:tc>
        <w:tc>
          <w:tcPr>
            <w:tcW w:w="586"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T</w:t>
            </w:r>
          </w:p>
        </w:tc>
        <w:tc>
          <w:tcPr>
            <w:tcW w:w="762" w:type="pct"/>
            <w:tcBorders>
              <w:tl2br w:val="nil"/>
              <w:tr2bl w:val="nil"/>
            </w:tcBorders>
            <w:vAlign w:val="center"/>
          </w:tcPr>
          <w:p>
            <w:pPr>
              <w:adjustRightInd w:val="0"/>
              <w:snapToGrid w:val="0"/>
              <w:jc w:val="center"/>
              <w:rPr>
                <w:rFonts w:ascii="Times New Roman" w:hAnsi="Times New Roman" w:cs="Times New Roman"/>
                <w:color w:val="auto"/>
                <w:sz w:val="21"/>
                <w:szCs w:val="21"/>
              </w:rPr>
            </w:pPr>
            <w:r>
              <w:rPr>
                <w:rFonts w:hint="eastAsia" w:ascii="Times New Roman" w:hAnsi="Times New Roman" w:cs="Times New Roman"/>
                <w:color w:val="auto"/>
                <w:szCs w:val="21"/>
                <w:lang w:val="en-US" w:eastAsia="zh-CN"/>
              </w:rPr>
              <w:t>湖南瀚洋环保科技有限公司</w:t>
            </w:r>
            <w:r>
              <w:rPr>
                <w:rFonts w:ascii="Times New Roman" w:hAnsi="Times New Roman" w:cs="Times New Roman"/>
                <w:color w:val="auto"/>
                <w:szCs w:val="21"/>
              </w:rPr>
              <w:t>处置</w:t>
            </w:r>
          </w:p>
        </w:tc>
      </w:tr>
    </w:tbl>
    <w:p>
      <w:pPr>
        <w:spacing w:line="360" w:lineRule="auto"/>
        <w:ind w:firstLine="496" w:firstLineChars="200"/>
        <w:rPr>
          <w:rFonts w:ascii="Times New Roman" w:hAnsi="Times New Roman" w:cs="Times New Roman"/>
          <w:color w:val="auto"/>
          <w:spacing w:val="4"/>
          <w:sz w:val="24"/>
        </w:rPr>
      </w:pPr>
      <w:r>
        <w:rPr>
          <w:rFonts w:hint="default" w:ascii="Times New Roman" w:hAnsi="Times New Roman" w:cs="Times New Roman"/>
          <w:color w:val="auto"/>
          <w:spacing w:val="4"/>
          <w:sz w:val="24"/>
        </w:rPr>
        <w:t>（4）降噪设施建设情况</w:t>
      </w:r>
    </w:p>
    <w:p>
      <w:pPr>
        <w:spacing w:line="360" w:lineRule="auto"/>
        <w:ind w:firstLine="496" w:firstLineChars="200"/>
        <w:rPr>
          <w:rFonts w:ascii="Times New Roman" w:hAnsi="Times New Roman" w:cs="Times New Roman"/>
          <w:color w:val="auto"/>
          <w:spacing w:val="4"/>
          <w:sz w:val="24"/>
        </w:rPr>
      </w:pPr>
      <w:r>
        <w:rPr>
          <w:rFonts w:hint="default" w:ascii="Times New Roman" w:hAnsi="Times New Roman" w:cs="Times New Roman"/>
          <w:color w:val="auto"/>
          <w:spacing w:val="4"/>
          <w:sz w:val="24"/>
        </w:rPr>
        <w:t>项目对生产设备采取了减震措施，通过墙体阻隔、绿化带的吸声作用减少噪声对周边的影响。</w:t>
      </w:r>
    </w:p>
    <w:p>
      <w:pPr>
        <w:spacing w:line="360" w:lineRule="auto"/>
        <w:rPr>
          <w:rFonts w:ascii="Times New Roman" w:hAnsi="Times New Roman" w:cs="Times New Roman"/>
          <w:b/>
          <w:color w:val="auto"/>
          <w:sz w:val="24"/>
          <w:szCs w:val="24"/>
        </w:rPr>
      </w:pPr>
      <w:r>
        <w:rPr>
          <w:rFonts w:hint="default" w:ascii="Times New Roman" w:hAnsi="Times New Roman" w:cs="Times New Roman"/>
          <w:b/>
          <w:color w:val="auto"/>
          <w:sz w:val="24"/>
          <w:szCs w:val="24"/>
        </w:rPr>
        <w:t>四、</w:t>
      </w:r>
      <w:r>
        <w:rPr>
          <w:rFonts w:ascii="Times New Roman" w:hAnsi="Times New Roman" w:cs="Times New Roman"/>
          <w:b/>
          <w:bCs/>
          <w:color w:val="auto"/>
          <w:sz w:val="24"/>
          <w:szCs w:val="24"/>
        </w:rPr>
        <w:t>环评批复落实</w:t>
      </w:r>
      <w:r>
        <w:rPr>
          <w:rFonts w:hint="default" w:ascii="Times New Roman" w:hAnsi="Times New Roman" w:cs="Times New Roman"/>
          <w:b/>
          <w:bCs/>
          <w:color w:val="auto"/>
          <w:sz w:val="24"/>
          <w:szCs w:val="24"/>
        </w:rPr>
        <w:t>情况</w:t>
      </w:r>
    </w:p>
    <w:p>
      <w:pPr>
        <w:pStyle w:val="57"/>
        <w:spacing w:line="360" w:lineRule="auto"/>
        <w:ind w:firstLine="480"/>
        <w:rPr>
          <w:rFonts w:ascii="Times New Roman" w:hAnsi="Times New Roman" w:cs="Times New Roman"/>
          <w:color w:val="auto"/>
          <w:sz w:val="24"/>
          <w:szCs w:val="24"/>
        </w:rPr>
      </w:pPr>
      <w:r>
        <w:rPr>
          <w:rFonts w:ascii="Times New Roman" w:hAnsi="Times New Roman" w:cs="Times New Roman"/>
          <w:color w:val="auto"/>
          <w:sz w:val="24"/>
          <w:szCs w:val="24"/>
        </w:rPr>
        <w:t>项目环评批复落实情况见表</w:t>
      </w:r>
      <w:r>
        <w:rPr>
          <w:rFonts w:hint="default" w:ascii="Times New Roman" w:hAnsi="Times New Roman" w:cs="Times New Roman"/>
          <w:color w:val="auto"/>
          <w:sz w:val="24"/>
          <w:szCs w:val="24"/>
        </w:rPr>
        <w:t>5</w:t>
      </w:r>
      <w:r>
        <w:rPr>
          <w:rFonts w:ascii="Times New Roman" w:hAnsi="Times New Roman" w:cs="Times New Roman"/>
          <w:color w:val="auto"/>
          <w:sz w:val="24"/>
          <w:szCs w:val="24"/>
        </w:rPr>
        <w:t>。</w:t>
      </w:r>
    </w:p>
    <w:p>
      <w:pPr>
        <w:jc w:val="center"/>
        <w:rPr>
          <w:rFonts w:ascii="Times New Roman" w:hAnsi="Times New Roman" w:cs="Times New Roman"/>
          <w:b/>
          <w:bCs/>
          <w:color w:val="auto"/>
          <w:szCs w:val="21"/>
        </w:rPr>
      </w:pPr>
      <w:r>
        <w:rPr>
          <w:rFonts w:ascii="Times New Roman" w:hAnsi="Times New Roman" w:cs="Times New Roman"/>
          <w:b/>
          <w:bCs/>
          <w:color w:val="auto"/>
          <w:szCs w:val="21"/>
        </w:rPr>
        <w:t>表</w:t>
      </w:r>
      <w:r>
        <w:rPr>
          <w:rFonts w:hint="default" w:ascii="Times New Roman" w:hAnsi="Times New Roman" w:cs="Times New Roman"/>
          <w:b/>
          <w:bCs/>
          <w:color w:val="auto"/>
          <w:szCs w:val="21"/>
        </w:rPr>
        <w:t>5</w:t>
      </w:r>
      <w:r>
        <w:rPr>
          <w:rFonts w:ascii="Times New Roman" w:hAnsi="Times New Roman" w:cs="Times New Roman"/>
          <w:b/>
          <w:bCs/>
          <w:color w:val="auto"/>
          <w:szCs w:val="21"/>
        </w:rPr>
        <w:t xml:space="preserve">  环评批复落实情况</w:t>
      </w:r>
    </w:p>
    <w:tbl>
      <w:tblPr>
        <w:tblStyle w:val="28"/>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28" w:type="dxa"/>
          <w:left w:w="57" w:type="dxa"/>
          <w:bottom w:w="28" w:type="dxa"/>
          <w:right w:w="57" w:type="dxa"/>
        </w:tblCellMar>
      </w:tblPr>
      <w:tblGrid>
        <w:gridCol w:w="625"/>
        <w:gridCol w:w="3658"/>
        <w:gridCol w:w="3713"/>
        <w:gridCol w:w="42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340" w:hRule="atLeast"/>
        </w:trPr>
        <w:tc>
          <w:tcPr>
            <w:tcW w:w="371" w:type="pct"/>
            <w:vAlign w:val="center"/>
          </w:tcPr>
          <w:p>
            <w:pPr>
              <w:adjustRightInd w:val="0"/>
              <w:snapToGrid w:val="0"/>
              <w:jc w:val="center"/>
              <w:rPr>
                <w:rFonts w:ascii="Times New Roman" w:hAnsi="Times New Roman" w:cs="Times New Roman"/>
                <w:color w:val="auto"/>
              </w:rPr>
            </w:pPr>
            <w:r>
              <w:rPr>
                <w:rFonts w:hint="default" w:ascii="Times New Roman" w:hAnsi="Times New Roman" w:cs="Times New Roman"/>
                <w:color w:val="auto"/>
              </w:rPr>
              <w:t>项目</w:t>
            </w:r>
          </w:p>
        </w:tc>
        <w:tc>
          <w:tcPr>
            <w:tcW w:w="2172"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环评批复</w:t>
            </w:r>
          </w:p>
        </w:tc>
        <w:tc>
          <w:tcPr>
            <w:tcW w:w="2205"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企业实际情况</w:t>
            </w:r>
          </w:p>
        </w:tc>
        <w:tc>
          <w:tcPr>
            <w:tcW w:w="250"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340" w:hRule="atLeast"/>
        </w:trPr>
        <w:tc>
          <w:tcPr>
            <w:tcW w:w="371" w:type="pct"/>
            <w:vAlign w:val="center"/>
          </w:tcPr>
          <w:p>
            <w:pPr>
              <w:adjustRightInd w:val="0"/>
              <w:snapToGrid w:val="0"/>
              <w:jc w:val="center"/>
              <w:rPr>
                <w:rFonts w:ascii="Times New Roman" w:hAnsi="Times New Roman" w:cs="Times New Roman"/>
                <w:color w:val="auto"/>
              </w:rPr>
            </w:pPr>
            <w:r>
              <w:rPr>
                <w:rFonts w:hint="default" w:ascii="Times New Roman" w:hAnsi="Times New Roman" w:cs="Times New Roman"/>
                <w:color w:val="auto"/>
              </w:rPr>
              <w:t>施工前污染防治</w:t>
            </w:r>
          </w:p>
        </w:tc>
        <w:tc>
          <w:tcPr>
            <w:tcW w:w="2172" w:type="pct"/>
            <w:vAlign w:val="center"/>
          </w:tcPr>
          <w:p>
            <w:pPr>
              <w:adjustRightInd w:val="0"/>
              <w:snapToGrid w:val="0"/>
              <w:jc w:val="left"/>
              <w:rPr>
                <w:rFonts w:ascii="Times New Roman" w:hAnsi="Times New Roman" w:cs="Times New Roman"/>
                <w:color w:val="auto"/>
              </w:rPr>
            </w:pPr>
            <w:r>
              <w:rPr>
                <w:rFonts w:ascii="Times New Roman" w:hAnsi="Times New Roman" w:cs="Times New Roman"/>
                <w:color w:val="auto"/>
              </w:rPr>
              <w:t>切实做好施工期环境保护工作。尽量缩短施工期，合理安排高噪声设备的作业时间，加强施工机械设备管理及维护；建筑垃圾、废弃土方送到指定地点合理处置；施工废水经沉淀处理循环使用，不外排。</w:t>
            </w:r>
          </w:p>
        </w:tc>
        <w:tc>
          <w:tcPr>
            <w:tcW w:w="2205" w:type="pct"/>
            <w:vAlign w:val="center"/>
          </w:tcPr>
          <w:p>
            <w:pPr>
              <w:adjustRightInd w:val="0"/>
              <w:snapToGrid w:val="0"/>
              <w:rPr>
                <w:rFonts w:ascii="Times New Roman" w:hAnsi="Times New Roman" w:cs="Times New Roman"/>
                <w:color w:val="auto"/>
              </w:rPr>
            </w:pPr>
            <w:r>
              <w:rPr>
                <w:rFonts w:ascii="Times New Roman" w:hAnsi="Times New Roman" w:cs="Times New Roman"/>
                <w:color w:val="auto"/>
              </w:rPr>
              <w:t>目前企业施工期已结束，施工产生的影响已消失。</w:t>
            </w:r>
          </w:p>
        </w:tc>
        <w:tc>
          <w:tcPr>
            <w:tcW w:w="250"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340" w:hRule="atLeast"/>
        </w:trPr>
        <w:tc>
          <w:tcPr>
            <w:tcW w:w="371" w:type="pct"/>
            <w:vMerge w:val="restart"/>
            <w:vAlign w:val="center"/>
          </w:tcPr>
          <w:p>
            <w:pPr>
              <w:adjustRightInd w:val="0"/>
              <w:snapToGrid w:val="0"/>
              <w:jc w:val="center"/>
              <w:rPr>
                <w:rFonts w:ascii="Times New Roman" w:hAnsi="Times New Roman" w:cs="Times New Roman"/>
                <w:color w:val="auto"/>
              </w:rPr>
            </w:pPr>
            <w:r>
              <w:rPr>
                <w:rFonts w:hint="default" w:ascii="Times New Roman" w:hAnsi="Times New Roman" w:cs="Times New Roman"/>
                <w:color w:val="auto"/>
              </w:rPr>
              <w:t>水污染防治</w:t>
            </w:r>
          </w:p>
        </w:tc>
        <w:tc>
          <w:tcPr>
            <w:tcW w:w="2172" w:type="pct"/>
            <w:vAlign w:val="center"/>
          </w:tcPr>
          <w:p>
            <w:pPr>
              <w:adjustRightInd w:val="0"/>
              <w:snapToGrid w:val="0"/>
              <w:jc w:val="left"/>
              <w:rPr>
                <w:rFonts w:ascii="Times New Roman" w:hAnsi="Times New Roman" w:cs="Times New Roman"/>
                <w:color w:val="auto"/>
              </w:rPr>
            </w:pPr>
            <w:r>
              <w:rPr>
                <w:rFonts w:ascii="Times New Roman" w:hAnsi="Times New Roman" w:cs="Times New Roman"/>
                <w:color w:val="auto"/>
              </w:rPr>
              <w:t>废水污染防治工作。严格按照“雨污分流、清污分流”的原则规范设计厂区雨水及污水管网。项目生产废水与地面清洗水、经预处理后的生活污水、初期雨水经处理达到云溪区污水处理厂进水水质标准后，通过管道排入云溪区污水处理厂处理达标后排放。</w:t>
            </w:r>
          </w:p>
        </w:tc>
        <w:tc>
          <w:tcPr>
            <w:tcW w:w="2205" w:type="pct"/>
            <w:vAlign w:val="center"/>
          </w:tcPr>
          <w:p>
            <w:pPr>
              <w:adjustRightInd w:val="0"/>
              <w:snapToGrid w:val="0"/>
              <w:rPr>
                <w:rFonts w:ascii="Times New Roman" w:hAnsi="Times New Roman" w:cs="Times New Roman"/>
                <w:color w:val="auto"/>
              </w:rPr>
            </w:pPr>
            <w:r>
              <w:rPr>
                <w:rFonts w:ascii="Times New Roman" w:hAnsi="Times New Roman" w:cs="Times New Roman"/>
                <w:color w:val="auto"/>
              </w:rPr>
              <w:t>企业已按照“雨污分流、清污分流”的原则规范设计厂区雨水及污水管网；企业场内设置一座废水处理站，</w:t>
            </w:r>
            <w:r>
              <w:rPr>
                <w:rFonts w:hint="default" w:ascii="Times New Roman" w:hAnsi="Times New Roman" w:cs="Times New Roman"/>
                <w:color w:val="auto"/>
              </w:rPr>
              <w:t>企业蒸发釜和精馏塔废水、真空脱水、真空水箱废水、废气装置喷淋废水、初期雨水和经隔油化粪池预处理的生活污水由场区污水管网收集后进厂内污水处理站处理</w:t>
            </w:r>
            <w:r>
              <w:rPr>
                <w:rFonts w:ascii="Times New Roman" w:hAnsi="Times New Roman" w:cs="Times New Roman"/>
                <w:color w:val="auto"/>
              </w:rPr>
              <w:t>后满足</w:t>
            </w:r>
            <w:r>
              <w:rPr>
                <w:rFonts w:ascii="Times New Roman" w:hAnsi="Times New Roman" w:cs="Times New Roman"/>
                <w:color w:val="auto"/>
                <w:spacing w:val="6"/>
              </w:rPr>
              <w:t>《合成树脂工业污染物排放标准》（GB31572-2015）中表1的间接排放限值，同时废水排放应满足云溪污水处理厂纳污限值要求后</w:t>
            </w:r>
            <w:r>
              <w:rPr>
                <w:rFonts w:ascii="Times New Roman" w:hAnsi="Times New Roman" w:cs="Times New Roman"/>
                <w:color w:val="auto"/>
              </w:rPr>
              <w:t>通过园区污水管网进入云溪区污水处理厂处理达标后排放。</w:t>
            </w:r>
          </w:p>
        </w:tc>
        <w:tc>
          <w:tcPr>
            <w:tcW w:w="250"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340" w:hRule="atLeast"/>
        </w:trPr>
        <w:tc>
          <w:tcPr>
            <w:tcW w:w="371" w:type="pct"/>
            <w:vMerge w:val="continue"/>
            <w:vAlign w:val="center"/>
          </w:tcPr>
          <w:p>
            <w:pPr>
              <w:adjustRightInd w:val="0"/>
              <w:snapToGrid w:val="0"/>
              <w:jc w:val="center"/>
              <w:rPr>
                <w:rFonts w:ascii="Times New Roman" w:hAnsi="Times New Roman" w:cs="Times New Roman"/>
                <w:color w:val="auto"/>
              </w:rPr>
            </w:pPr>
          </w:p>
        </w:tc>
        <w:tc>
          <w:tcPr>
            <w:tcW w:w="2172" w:type="pct"/>
            <w:vAlign w:val="center"/>
          </w:tcPr>
          <w:p>
            <w:pPr>
              <w:adjustRightInd w:val="0"/>
              <w:snapToGrid w:val="0"/>
              <w:jc w:val="left"/>
              <w:rPr>
                <w:rFonts w:ascii="Times New Roman" w:hAnsi="Times New Roman" w:cs="Times New Roman"/>
                <w:color w:val="auto"/>
              </w:rPr>
            </w:pPr>
            <w:r>
              <w:rPr>
                <w:rFonts w:ascii="Times New Roman" w:hAnsi="Times New Roman" w:cs="Times New Roman"/>
                <w:color w:val="auto"/>
              </w:rPr>
              <w:t>按照分区防控的原则落实报告书提出地下水污染防治措施，做好生产车间、罐区等区域的防腐、防渗工作，强化管理，避免由于泄漏等造成物料或者污染物下渗污染地下水。</w:t>
            </w:r>
          </w:p>
        </w:tc>
        <w:tc>
          <w:tcPr>
            <w:tcW w:w="2205" w:type="pct"/>
            <w:vAlign w:val="center"/>
          </w:tcPr>
          <w:p>
            <w:pPr>
              <w:adjustRightInd w:val="0"/>
              <w:snapToGrid w:val="0"/>
              <w:rPr>
                <w:rFonts w:ascii="Times New Roman" w:hAnsi="Times New Roman" w:cs="Times New Roman"/>
                <w:color w:val="auto"/>
              </w:rPr>
            </w:pPr>
            <w:r>
              <w:rPr>
                <w:rFonts w:ascii="Times New Roman" w:hAnsi="Times New Roman" w:cs="Times New Roman"/>
                <w:color w:val="auto"/>
              </w:rPr>
              <w:t>生产车间、罐区、危险废物暂存间均按要求进行的防腐和防渗；罐区设置有围堰，危险暂存间、甲类仓库等设置泄漏沟和泄漏收集池等，避免由于泄漏等造成物料或者污染物下渗污染地下水。</w:t>
            </w:r>
          </w:p>
        </w:tc>
        <w:tc>
          <w:tcPr>
            <w:tcW w:w="250"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340" w:hRule="atLeast"/>
        </w:trPr>
        <w:tc>
          <w:tcPr>
            <w:tcW w:w="371" w:type="pct"/>
            <w:vAlign w:val="center"/>
          </w:tcPr>
          <w:p>
            <w:pPr>
              <w:adjustRightInd w:val="0"/>
              <w:snapToGrid w:val="0"/>
              <w:jc w:val="center"/>
              <w:rPr>
                <w:rFonts w:ascii="Times New Roman" w:hAnsi="Times New Roman" w:cs="Times New Roman"/>
                <w:color w:val="auto"/>
              </w:rPr>
            </w:pPr>
            <w:r>
              <w:rPr>
                <w:rFonts w:hint="default" w:ascii="Times New Roman" w:hAnsi="Times New Roman" w:cs="Times New Roman"/>
                <w:color w:val="auto"/>
              </w:rPr>
              <w:t>废气污染防治</w:t>
            </w:r>
          </w:p>
        </w:tc>
        <w:tc>
          <w:tcPr>
            <w:tcW w:w="2172" w:type="pct"/>
            <w:vAlign w:val="center"/>
          </w:tcPr>
          <w:p>
            <w:pPr>
              <w:adjustRightInd w:val="0"/>
              <w:snapToGrid w:val="0"/>
              <w:jc w:val="left"/>
              <w:rPr>
                <w:rFonts w:ascii="Times New Roman" w:hAnsi="Times New Roman" w:cs="Times New Roman"/>
                <w:color w:val="auto"/>
              </w:rPr>
            </w:pPr>
            <w:r>
              <w:rPr>
                <w:rFonts w:ascii="Times New Roman" w:hAnsi="Times New Roman" w:cs="Times New Roman"/>
                <w:color w:val="auto"/>
              </w:rPr>
              <w:t>废气污染防治工作。严格控制项目废气污染，加强日常监管，定期对设备、管道、阀门、法兰等进行维护和管理，杜绝生产过程中的跑、冒、滴、漏，最大限度减少生产过程中的废气无组织排放，厂区VOCs执行《挥发性有机物无组织排放控制标准》（GB37822-2019）中表A1无组织排放限值，厂界氨气、硫化氢和臭气浓度执行《恶臭污染物排放标准》（GB14554-93）厂界标准值；导热油炉废气经处理，满足《</w:t>
            </w:r>
            <w:r>
              <w:rPr>
                <w:rFonts w:ascii="Times New Roman" w:hAnsi="Times New Roman" w:cs="Times New Roman"/>
                <w:color w:val="auto"/>
              </w:rPr>
              <w:fldChar w:fldCharType="begin"/>
            </w:r>
            <w:r>
              <w:rPr>
                <w:rFonts w:ascii="Times New Roman" w:hAnsi="Times New Roman" w:cs="Times New Roman"/>
                <w:color w:val="auto"/>
              </w:rPr>
              <w:instrText xml:space="preserve"> HYPERLINK "http://www.baidu.com/link?url=RKqVQyhC8AUb_-AyQS97JRhN0f4gIuZ46jpSnFbCI6LJaKLGov1H-caZWMkqoJrlaHr72UX38uN3N-Myyp3QsFarLMjUpauQgYkM9ue13nS" </w:instrText>
            </w:r>
            <w:r>
              <w:rPr>
                <w:rFonts w:ascii="Times New Roman" w:hAnsi="Times New Roman" w:cs="Times New Roman"/>
                <w:color w:val="auto"/>
              </w:rPr>
              <w:fldChar w:fldCharType="separate"/>
            </w:r>
            <w:r>
              <w:rPr>
                <w:rStyle w:val="33"/>
                <w:rFonts w:ascii="Times New Roman" w:hAnsi="Times New Roman" w:cs="Times New Roman"/>
                <w:color w:val="auto"/>
                <w:u w:val="none"/>
              </w:rPr>
              <w:t>锅炉大气污染物排放标准</w:t>
            </w:r>
            <w:r>
              <w:rPr>
                <w:rStyle w:val="33"/>
                <w:rFonts w:ascii="Times New Roman" w:hAnsi="Times New Roman" w:cs="Times New Roman"/>
                <w:color w:val="auto"/>
                <w:u w:val="none"/>
              </w:rPr>
              <w:fldChar w:fldCharType="end"/>
            </w:r>
            <w:r>
              <w:rPr>
                <w:rFonts w:ascii="Times New Roman" w:hAnsi="Times New Roman" w:cs="Times New Roman"/>
                <w:color w:val="auto"/>
              </w:rPr>
              <w:t>》（GB13271-2014）中表3燃气锅炉大气污染物特别排放限值后，通过1根15m排气筒排放；生产装置区和储罐区有组织废气经处理，氨气、苯酚、甲醛达到《合成树脂工业污染物排放标准》（GB31572-2015）中表4大气污染物排放限值，VOCs达到</w:t>
            </w:r>
            <w:r>
              <w:rPr>
                <w:rFonts w:ascii="Times New Roman" w:hAnsi="Times New Roman" w:cs="Times New Roman"/>
                <w:color w:val="auto"/>
              </w:rPr>
              <w:fldChar w:fldCharType="begin"/>
            </w:r>
            <w:r>
              <w:rPr>
                <w:rFonts w:ascii="Times New Roman" w:hAnsi="Times New Roman" w:cs="Times New Roman"/>
                <w:color w:val="auto"/>
              </w:rPr>
              <w:instrText xml:space="preserve"> HYPERLINK "http://www.baidu.com/link?url=NXEoRSGx3bx_0S32dIHhXZgX6hYj2TrGlqbEAJW4DDfbP-neScgzfZc-3bErtHxNqMgcHP0LGpVh9Sr5hoDHtcXGhsCC2zd3xFfTTLWt6gK" </w:instrText>
            </w:r>
            <w:r>
              <w:rPr>
                <w:rFonts w:ascii="Times New Roman" w:hAnsi="Times New Roman" w:cs="Times New Roman"/>
                <w:color w:val="auto"/>
              </w:rPr>
              <w:fldChar w:fldCharType="separate"/>
            </w:r>
            <w:r>
              <w:rPr>
                <w:rStyle w:val="33"/>
                <w:rFonts w:ascii="Times New Roman" w:hAnsi="Times New Roman" w:cs="Times New Roman"/>
                <w:color w:val="auto"/>
                <w:u w:val="none"/>
              </w:rPr>
              <w:t>《工业企业挥发性有机物排放控制标准</w:t>
            </w:r>
            <w:r>
              <w:rPr>
                <w:rStyle w:val="33"/>
                <w:rFonts w:ascii="Times New Roman" w:hAnsi="Times New Roman" w:cs="Times New Roman"/>
                <w:color w:val="auto"/>
                <w:u w:val="none"/>
              </w:rPr>
              <w:fldChar w:fldCharType="end"/>
            </w:r>
            <w:r>
              <w:rPr>
                <w:rFonts w:ascii="Times New Roman" w:hAnsi="Times New Roman" w:cs="Times New Roman"/>
                <w:color w:val="auto"/>
              </w:rPr>
              <w:t>》（</w:t>
            </w:r>
            <w:r>
              <w:rPr>
                <w:rFonts w:hint="eastAsia" w:ascii="Times New Roman" w:hAnsi="Times New Roman" w:cs="Times New Roman"/>
                <w:color w:val="auto"/>
                <w:lang w:eastAsia="zh-CN"/>
              </w:rPr>
              <w:t>DB12/524-20</w:t>
            </w:r>
            <w:r>
              <w:rPr>
                <w:rFonts w:hint="eastAsia" w:ascii="Times New Roman" w:hAnsi="Times New Roman" w:cs="Times New Roman"/>
                <w:color w:val="auto"/>
                <w:lang w:val="en-US" w:eastAsia="zh-CN"/>
              </w:rPr>
              <w:t>14</w:t>
            </w:r>
            <w:r>
              <w:rPr>
                <w:rFonts w:ascii="Times New Roman" w:hAnsi="Times New Roman" w:cs="Times New Roman"/>
                <w:color w:val="auto"/>
              </w:rPr>
              <w:t>）中其他行业标准限值后，通过1根30m排气筒排放；污水处理站废气收集后经处理，氨气、硫化氢达到《恶臭污染物排放标准》（GB14554-93）中表2恶臭污染物排放标准值，VOCs达到</w:t>
            </w:r>
            <w:r>
              <w:rPr>
                <w:rFonts w:ascii="Times New Roman" w:hAnsi="Times New Roman" w:cs="Times New Roman"/>
                <w:color w:val="auto"/>
              </w:rPr>
              <w:fldChar w:fldCharType="begin"/>
            </w:r>
            <w:r>
              <w:rPr>
                <w:rFonts w:ascii="Times New Roman" w:hAnsi="Times New Roman" w:cs="Times New Roman"/>
                <w:color w:val="auto"/>
              </w:rPr>
              <w:instrText xml:space="preserve"> HYPERLINK "http://www.baidu.com/link?url=NXEoRSGx3bx_0S32dIHhXZgX6hYj2TrGlqbEAJW4DDfbP-neScgzfZc-3bErtHxNqMgcHP0LGpVh9Sr5hoDHtcXGhsCC2zd3xFfTTLWt6gK" </w:instrText>
            </w:r>
            <w:r>
              <w:rPr>
                <w:rFonts w:ascii="Times New Roman" w:hAnsi="Times New Roman" w:cs="Times New Roman"/>
                <w:color w:val="auto"/>
              </w:rPr>
              <w:fldChar w:fldCharType="separate"/>
            </w:r>
            <w:r>
              <w:rPr>
                <w:rStyle w:val="33"/>
                <w:rFonts w:ascii="Times New Roman" w:hAnsi="Times New Roman" w:cs="Times New Roman"/>
                <w:color w:val="auto"/>
                <w:u w:val="none"/>
              </w:rPr>
              <w:t>《工业企业挥发性有机物排放控制标准</w:t>
            </w:r>
            <w:r>
              <w:rPr>
                <w:rStyle w:val="33"/>
                <w:rFonts w:ascii="Times New Roman" w:hAnsi="Times New Roman" w:cs="Times New Roman"/>
                <w:color w:val="auto"/>
                <w:u w:val="none"/>
              </w:rPr>
              <w:fldChar w:fldCharType="end"/>
            </w:r>
            <w:r>
              <w:rPr>
                <w:rFonts w:ascii="Times New Roman" w:hAnsi="Times New Roman" w:cs="Times New Roman"/>
                <w:color w:val="auto"/>
              </w:rPr>
              <w:t>》（</w:t>
            </w:r>
            <w:r>
              <w:rPr>
                <w:rFonts w:hint="eastAsia" w:ascii="Times New Roman" w:hAnsi="Times New Roman" w:cs="Times New Roman"/>
                <w:color w:val="auto"/>
                <w:lang w:eastAsia="zh-CN"/>
              </w:rPr>
              <w:t>DB12/524-20</w:t>
            </w:r>
            <w:r>
              <w:rPr>
                <w:rFonts w:hint="eastAsia" w:ascii="Times New Roman" w:hAnsi="Times New Roman" w:cs="Times New Roman"/>
                <w:color w:val="auto"/>
                <w:lang w:val="en-US" w:eastAsia="zh-CN"/>
              </w:rPr>
              <w:t>14</w:t>
            </w:r>
            <w:r>
              <w:rPr>
                <w:rFonts w:ascii="Times New Roman" w:hAnsi="Times New Roman" w:cs="Times New Roman"/>
                <w:color w:val="auto"/>
              </w:rPr>
              <w:t>）中其他行业标准限值后，通过1根15m排气筒排放；食堂油烟经处理后执行《饮食业油烟排放标准》（GB18483-2001）。</w:t>
            </w:r>
          </w:p>
        </w:tc>
        <w:tc>
          <w:tcPr>
            <w:tcW w:w="2205" w:type="pct"/>
            <w:vAlign w:val="center"/>
          </w:tcPr>
          <w:p>
            <w:pPr>
              <w:adjustRightInd w:val="0"/>
              <w:snapToGrid w:val="0"/>
              <w:rPr>
                <w:rFonts w:ascii="Times New Roman" w:hAnsi="Times New Roman" w:cs="Times New Roman"/>
                <w:color w:val="auto"/>
              </w:rPr>
            </w:pPr>
            <w:r>
              <w:rPr>
                <w:rFonts w:ascii="Times New Roman" w:hAnsi="Times New Roman" w:cs="Times New Roman"/>
                <w:color w:val="auto"/>
              </w:rPr>
              <w:t>企业定期对废气措施、设备、管道、阀门、法兰等进行维护和管理，减少废气无组织排放。</w:t>
            </w:r>
          </w:p>
          <w:p>
            <w:pPr>
              <w:adjustRightInd w:val="0"/>
              <w:snapToGrid w:val="0"/>
              <w:rPr>
                <w:rFonts w:ascii="Times New Roman" w:hAnsi="Times New Roman" w:cs="Times New Roman"/>
                <w:color w:val="auto"/>
              </w:rPr>
            </w:pPr>
            <w:r>
              <w:rPr>
                <w:rFonts w:ascii="Times New Roman" w:hAnsi="Times New Roman" w:cs="Times New Roman"/>
                <w:color w:val="auto"/>
              </w:rPr>
              <w:t>反应釜、回收釜、高位槽、包装、储罐区废气采取强制冷凝+水吸收+酸吸收+水吸收+除雾板+30m排气筒；</w:t>
            </w:r>
          </w:p>
          <w:p>
            <w:pPr>
              <w:pStyle w:val="13"/>
              <w:adjustRightInd w:val="0"/>
              <w:snapToGrid w:val="0"/>
              <w:spacing w:after="0"/>
              <w:rPr>
                <w:rFonts w:ascii="Times New Roman" w:hAnsi="Times New Roman" w:cs="Times New Roman"/>
                <w:color w:val="auto"/>
              </w:rPr>
            </w:pPr>
            <w:r>
              <w:rPr>
                <w:rFonts w:ascii="Times New Roman" w:hAnsi="Times New Roman" w:cs="Times New Roman"/>
                <w:color w:val="auto"/>
              </w:rPr>
              <w:t>企业导热油炉采用电能，因此不会产生燃天然气废气。</w:t>
            </w:r>
          </w:p>
          <w:p>
            <w:pPr>
              <w:pStyle w:val="13"/>
              <w:adjustRightInd w:val="0"/>
              <w:snapToGrid w:val="0"/>
              <w:spacing w:after="0"/>
              <w:rPr>
                <w:rFonts w:ascii="Times New Roman" w:hAnsi="Times New Roman" w:cs="Times New Roman"/>
                <w:color w:val="auto"/>
              </w:rPr>
            </w:pPr>
            <w:r>
              <w:rPr>
                <w:rFonts w:ascii="Times New Roman" w:hAnsi="Times New Roman" w:cs="Times New Roman"/>
                <w:color w:val="auto"/>
              </w:rPr>
              <w:t>污水处理站的臭气收集</w:t>
            </w:r>
            <w:r>
              <w:rPr>
                <w:rFonts w:hint="default" w:ascii="Times New Roman" w:hAnsi="Times New Roman" w:cs="Times New Roman"/>
                <w:color w:val="auto"/>
              </w:rPr>
              <w:t>后</w:t>
            </w:r>
            <w:r>
              <w:rPr>
                <w:rFonts w:ascii="Times New Roman" w:hAnsi="Times New Roman" w:cs="Times New Roman"/>
                <w:color w:val="auto"/>
              </w:rPr>
              <w:t>，采用</w:t>
            </w:r>
            <w:r>
              <w:rPr>
                <w:rFonts w:hint="eastAsia" w:ascii="Times New Roman" w:hAnsi="Times New Roman" w:cs="Times New Roman"/>
                <w:color w:val="auto"/>
                <w:lang w:val="en-US" w:eastAsia="zh-CN"/>
              </w:rPr>
              <w:t>稀硫酸</w:t>
            </w:r>
            <w:r>
              <w:rPr>
                <w:rFonts w:ascii="Times New Roman" w:hAnsi="Times New Roman" w:cs="Times New Roman"/>
                <w:color w:val="auto"/>
              </w:rPr>
              <w:t>喷淋进行处理+15m排气筒。</w:t>
            </w:r>
          </w:p>
          <w:p>
            <w:pPr>
              <w:pStyle w:val="13"/>
              <w:adjustRightInd w:val="0"/>
              <w:snapToGrid w:val="0"/>
              <w:spacing w:after="0"/>
              <w:rPr>
                <w:rFonts w:ascii="Times New Roman" w:hAnsi="Times New Roman" w:cs="Times New Roman"/>
                <w:color w:val="auto"/>
              </w:rPr>
            </w:pPr>
            <w:r>
              <w:rPr>
                <w:rFonts w:ascii="Times New Roman" w:hAnsi="Times New Roman" w:cs="Times New Roman"/>
                <w:color w:val="auto"/>
              </w:rPr>
              <w:t>食堂饮食油烟通过油烟净化器处理后引至楼顶排放。</w:t>
            </w:r>
          </w:p>
        </w:tc>
        <w:tc>
          <w:tcPr>
            <w:tcW w:w="250"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340" w:hRule="atLeast"/>
        </w:trPr>
        <w:tc>
          <w:tcPr>
            <w:tcW w:w="371" w:type="pct"/>
            <w:vAlign w:val="center"/>
          </w:tcPr>
          <w:p>
            <w:pPr>
              <w:adjustRightInd w:val="0"/>
              <w:snapToGrid w:val="0"/>
              <w:jc w:val="center"/>
              <w:rPr>
                <w:rFonts w:ascii="Times New Roman" w:hAnsi="Times New Roman" w:cs="Times New Roman"/>
                <w:color w:val="auto"/>
              </w:rPr>
            </w:pPr>
            <w:r>
              <w:rPr>
                <w:rFonts w:hint="default" w:ascii="Times New Roman" w:hAnsi="Times New Roman" w:cs="Times New Roman"/>
                <w:color w:val="auto"/>
              </w:rPr>
              <w:t>噪声污染防治</w:t>
            </w:r>
          </w:p>
        </w:tc>
        <w:tc>
          <w:tcPr>
            <w:tcW w:w="2172" w:type="pct"/>
            <w:vAlign w:val="center"/>
          </w:tcPr>
          <w:p>
            <w:pPr>
              <w:adjustRightInd w:val="0"/>
              <w:snapToGrid w:val="0"/>
              <w:jc w:val="left"/>
              <w:rPr>
                <w:rFonts w:ascii="Times New Roman" w:hAnsi="Times New Roman" w:cs="Times New Roman"/>
                <w:color w:val="auto"/>
              </w:rPr>
            </w:pPr>
            <w:r>
              <w:rPr>
                <w:rFonts w:ascii="Times New Roman" w:hAnsi="Times New Roman" w:cs="Times New Roman"/>
                <w:color w:val="auto"/>
              </w:rPr>
              <w:t>噪声污染防治工作。采用低噪声设备，合理安排工作时间，对产生噪声的设备和工序进行合理布局，确保厂界噪声达到《工业企业厂界环境噪声排放标准》(GB12348-2008)中的3类标准要求。</w:t>
            </w:r>
          </w:p>
        </w:tc>
        <w:tc>
          <w:tcPr>
            <w:tcW w:w="2205" w:type="pct"/>
            <w:vAlign w:val="center"/>
          </w:tcPr>
          <w:p>
            <w:pPr>
              <w:adjustRightInd w:val="0"/>
              <w:snapToGrid w:val="0"/>
              <w:rPr>
                <w:rFonts w:ascii="Times New Roman" w:hAnsi="Times New Roman" w:cs="Times New Roman"/>
                <w:color w:val="auto"/>
              </w:rPr>
            </w:pPr>
            <w:r>
              <w:rPr>
                <w:rFonts w:ascii="Times New Roman" w:hAnsi="Times New Roman" w:cs="Times New Roman"/>
                <w:color w:val="auto"/>
              </w:rPr>
              <w:t>企业已采取隔音、减振等措施减少设备运行带来的噪声。</w:t>
            </w:r>
          </w:p>
        </w:tc>
        <w:tc>
          <w:tcPr>
            <w:tcW w:w="250"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340" w:hRule="atLeast"/>
        </w:trPr>
        <w:tc>
          <w:tcPr>
            <w:tcW w:w="371" w:type="pct"/>
            <w:vAlign w:val="center"/>
          </w:tcPr>
          <w:p>
            <w:pPr>
              <w:adjustRightInd w:val="0"/>
              <w:snapToGrid w:val="0"/>
              <w:jc w:val="center"/>
              <w:rPr>
                <w:rFonts w:ascii="Times New Roman" w:hAnsi="Times New Roman" w:cs="Times New Roman"/>
                <w:color w:val="auto"/>
              </w:rPr>
            </w:pPr>
            <w:r>
              <w:rPr>
                <w:rFonts w:hint="default" w:ascii="Times New Roman" w:hAnsi="Times New Roman" w:cs="Times New Roman"/>
                <w:color w:val="auto"/>
              </w:rPr>
              <w:t>固废管理</w:t>
            </w:r>
          </w:p>
        </w:tc>
        <w:tc>
          <w:tcPr>
            <w:tcW w:w="2172" w:type="pct"/>
            <w:vAlign w:val="center"/>
          </w:tcPr>
          <w:p>
            <w:pPr>
              <w:adjustRightInd w:val="0"/>
              <w:snapToGrid w:val="0"/>
              <w:jc w:val="left"/>
              <w:rPr>
                <w:rFonts w:ascii="Times New Roman" w:hAnsi="Times New Roman" w:cs="Times New Roman"/>
                <w:color w:val="auto"/>
              </w:rPr>
            </w:pPr>
            <w:r>
              <w:rPr>
                <w:rFonts w:ascii="Times New Roman" w:hAnsi="Times New Roman" w:cs="Times New Roman"/>
                <w:color w:val="auto"/>
              </w:rPr>
              <w:t>固体废物防治工作。按“无害化、减量化、资源化”原则，做好固体分类收集、暂存工作，建立健全固体废物产生、转运、处置管理台帐。严格按《危险废物贮存污染控制标准（GB18597-2001）》及2013年修改单要求建设危险废物暂存间，废包装物、废试剂瓶、废过滤渣及废滤网应送有资质的单位安全处置，并执行转移联单制度；按《一般工业固体废物贮存、处置场污染控制标准》（GB18599-2001）及2013年修改单要求建设、贮存和运输一般固体废物；项目建成后应对废水处理污泥进行危险废物性质鉴别，根据鉴别结果确定污泥属性，若属于危险废物则应交有资质的单位处置；生活垃圾交由环卫部门统一收集处理。</w:t>
            </w:r>
          </w:p>
        </w:tc>
        <w:tc>
          <w:tcPr>
            <w:tcW w:w="2205" w:type="pct"/>
            <w:vAlign w:val="center"/>
          </w:tcPr>
          <w:p>
            <w:pPr>
              <w:adjustRightInd w:val="0"/>
              <w:snapToGrid w:val="0"/>
              <w:rPr>
                <w:rFonts w:ascii="Times New Roman" w:hAnsi="Times New Roman" w:cs="Times New Roman"/>
                <w:color w:val="auto"/>
              </w:rPr>
            </w:pPr>
            <w:r>
              <w:rPr>
                <w:rFonts w:ascii="Times New Roman" w:hAnsi="Times New Roman" w:cs="Times New Roman"/>
                <w:color w:val="auto"/>
              </w:rPr>
              <w:t>企业已按《一般工业固体废物贮存和填埋污染控制标准》（GB18599-2020）相关要求建设一般废物暂存间；按《危险废物贮存污染控制标准（GB18597-2001）》已建设的危险废物暂存间；产生的危险废物均委托有危险废物资质单位处置；建立健全固体废物产生、转运、处置管理台帐；</w:t>
            </w:r>
          </w:p>
          <w:p>
            <w:pPr>
              <w:pStyle w:val="13"/>
              <w:rPr>
                <w:rFonts w:ascii="Times New Roman" w:hAnsi="Times New Roman" w:cs="Times New Roman"/>
                <w:color w:val="auto"/>
              </w:rPr>
            </w:pPr>
            <w:r>
              <w:rPr>
                <w:rFonts w:ascii="Times New Roman" w:hAnsi="Times New Roman" w:cs="Times New Roman"/>
                <w:color w:val="auto"/>
              </w:rPr>
              <w:t>生活垃圾交给市政环卫部门清运</w:t>
            </w:r>
            <w:r>
              <w:rPr>
                <w:rFonts w:hint="default" w:ascii="Times New Roman" w:hAnsi="Times New Roman" w:cs="Times New Roman"/>
                <w:color w:val="auto"/>
              </w:rPr>
              <w:t>。</w:t>
            </w:r>
          </w:p>
        </w:tc>
        <w:tc>
          <w:tcPr>
            <w:tcW w:w="250"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340" w:hRule="atLeast"/>
        </w:trPr>
        <w:tc>
          <w:tcPr>
            <w:tcW w:w="371" w:type="pct"/>
            <w:vMerge w:val="restart"/>
            <w:vAlign w:val="center"/>
          </w:tcPr>
          <w:p>
            <w:pPr>
              <w:adjustRightInd w:val="0"/>
              <w:snapToGrid w:val="0"/>
              <w:jc w:val="center"/>
              <w:rPr>
                <w:rFonts w:ascii="Times New Roman" w:hAnsi="Times New Roman" w:cs="Times New Roman"/>
                <w:color w:val="auto"/>
              </w:rPr>
            </w:pPr>
            <w:r>
              <w:rPr>
                <w:rFonts w:ascii="Times New Roman" w:hAnsi="Times New Roman" w:eastAsia="宋体" w:cs="Times New Roman"/>
                <w:color w:val="auto"/>
              </w:rPr>
              <w:t>环境管理和风险防范</w:t>
            </w:r>
          </w:p>
        </w:tc>
        <w:tc>
          <w:tcPr>
            <w:tcW w:w="2172" w:type="pct"/>
            <w:vAlign w:val="center"/>
          </w:tcPr>
          <w:p>
            <w:pPr>
              <w:adjustRightInd w:val="0"/>
              <w:snapToGrid w:val="0"/>
              <w:jc w:val="left"/>
              <w:rPr>
                <w:rFonts w:ascii="Times New Roman" w:hAnsi="Times New Roman" w:cs="Times New Roman"/>
                <w:color w:val="auto"/>
              </w:rPr>
            </w:pPr>
            <w:r>
              <w:rPr>
                <w:rFonts w:ascii="Times New Roman" w:hAnsi="Times New Roman" w:cs="Times New Roman"/>
                <w:color w:val="auto"/>
              </w:rPr>
              <w:t>本项目装置区、储罐区和污水站周围设置100m的环境防护距离，防护距离范围内禁止新建学校、医院、集中居民区等环境敏感点。</w:t>
            </w:r>
          </w:p>
        </w:tc>
        <w:tc>
          <w:tcPr>
            <w:tcW w:w="2205" w:type="pct"/>
            <w:vAlign w:val="center"/>
          </w:tcPr>
          <w:p>
            <w:pPr>
              <w:adjustRightInd w:val="0"/>
              <w:snapToGrid w:val="0"/>
              <w:rPr>
                <w:rFonts w:ascii="Times New Roman" w:hAnsi="Times New Roman" w:cs="Times New Roman"/>
                <w:color w:val="auto"/>
              </w:rPr>
            </w:pPr>
            <w:r>
              <w:rPr>
                <w:rFonts w:ascii="Times New Roman" w:hAnsi="Times New Roman" w:cs="Times New Roman"/>
                <w:color w:val="auto"/>
              </w:rPr>
              <w:t>装置区、储罐区和污水站100m为卫生防护距离内无学校、居民点等敏感建筑。</w:t>
            </w:r>
          </w:p>
        </w:tc>
        <w:tc>
          <w:tcPr>
            <w:tcW w:w="250"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57" w:type="dxa"/>
            <w:bottom w:w="28" w:type="dxa"/>
            <w:right w:w="57" w:type="dxa"/>
          </w:tblCellMar>
        </w:tblPrEx>
        <w:trPr>
          <w:trHeight w:val="340" w:hRule="atLeast"/>
        </w:trPr>
        <w:tc>
          <w:tcPr>
            <w:tcW w:w="371" w:type="pct"/>
            <w:vMerge w:val="continue"/>
            <w:vAlign w:val="center"/>
          </w:tcPr>
          <w:p>
            <w:pPr>
              <w:adjustRightInd w:val="0"/>
              <w:snapToGrid w:val="0"/>
              <w:jc w:val="center"/>
              <w:rPr>
                <w:rFonts w:ascii="Times New Roman" w:hAnsi="Times New Roman" w:cs="Times New Roman"/>
                <w:color w:val="auto"/>
              </w:rPr>
            </w:pPr>
          </w:p>
        </w:tc>
        <w:tc>
          <w:tcPr>
            <w:tcW w:w="2172" w:type="pct"/>
            <w:vAlign w:val="center"/>
          </w:tcPr>
          <w:p>
            <w:pPr>
              <w:adjustRightInd w:val="0"/>
              <w:snapToGrid w:val="0"/>
              <w:jc w:val="left"/>
              <w:rPr>
                <w:rFonts w:ascii="Times New Roman" w:hAnsi="Times New Roman" w:cs="Times New Roman"/>
                <w:color w:val="auto"/>
              </w:rPr>
            </w:pPr>
            <w:r>
              <w:rPr>
                <w:rFonts w:ascii="Times New Roman" w:hAnsi="Times New Roman" w:cs="Times New Roman"/>
                <w:color w:val="auto"/>
              </w:rPr>
              <w:t>加强营运期风险防范。落实各项风险防范措施，加强设施设备的维护和管理，严格按照《突发环境事件应急预案管理暂行办法》要求制定事故环境应急预案，储备风险救助物资并组织演练，杜绝环境风险事故发生。</w:t>
            </w:r>
          </w:p>
        </w:tc>
        <w:tc>
          <w:tcPr>
            <w:tcW w:w="2205" w:type="pct"/>
            <w:vAlign w:val="center"/>
          </w:tcPr>
          <w:p>
            <w:pPr>
              <w:adjustRightInd w:val="0"/>
              <w:snapToGrid w:val="0"/>
              <w:rPr>
                <w:rFonts w:ascii="Times New Roman" w:hAnsi="Times New Roman" w:cs="Times New Roman"/>
                <w:color w:val="auto"/>
              </w:rPr>
            </w:pPr>
            <w:r>
              <w:rPr>
                <w:rFonts w:ascii="Times New Roman" w:hAnsi="Times New Roman" w:cs="Times New Roman"/>
                <w:color w:val="auto"/>
              </w:rPr>
              <w:t>企业已落实相关的风险措施，设置应急事故池、初期雨水池；雨水设置有阀门；生产车间、罐区、危险废物暂存间均按要求进行的防腐和防渗；罐区设置有围堰，危险暂存间、甲类仓库等设置泄漏沟和泄漏收集池等；目前企业</w:t>
            </w:r>
            <w:r>
              <w:rPr>
                <w:rFonts w:hint="eastAsia" w:ascii="Times New Roman" w:hAnsi="Times New Roman" w:cs="Times New Roman"/>
                <w:color w:val="auto"/>
                <w:lang w:val="en-US" w:eastAsia="zh-CN"/>
              </w:rPr>
              <w:t>已于</w:t>
            </w:r>
            <w:r>
              <w:rPr>
                <w:rFonts w:hint="eastAsia" w:ascii="Times New Roman" w:hAnsi="Times New Roman" w:cs="Times New Roman"/>
                <w:color w:val="auto"/>
              </w:rPr>
              <w:t>2021年12月28日进行了突发环境事件应急预案备案，备案编号为430603--2021--058-H。</w:t>
            </w:r>
            <w:r>
              <w:rPr>
                <w:rFonts w:ascii="Times New Roman" w:hAnsi="Times New Roman" w:cs="Times New Roman"/>
                <w:color w:val="auto"/>
              </w:rPr>
              <w:t>。</w:t>
            </w:r>
          </w:p>
        </w:tc>
        <w:tc>
          <w:tcPr>
            <w:tcW w:w="250" w:type="pct"/>
            <w:vAlign w:val="center"/>
          </w:tcPr>
          <w:p>
            <w:pPr>
              <w:adjustRightInd w:val="0"/>
              <w:snapToGrid w:val="0"/>
              <w:jc w:val="center"/>
              <w:rPr>
                <w:rFonts w:ascii="Times New Roman" w:hAnsi="Times New Roman" w:cs="Times New Roman"/>
                <w:color w:val="auto"/>
              </w:rPr>
            </w:pPr>
            <w:r>
              <w:rPr>
                <w:rFonts w:ascii="Times New Roman" w:hAnsi="Times New Roman" w:cs="Times New Roman"/>
                <w:color w:val="auto"/>
              </w:rPr>
              <w:t>/</w:t>
            </w:r>
          </w:p>
        </w:tc>
      </w:tr>
    </w:tbl>
    <w:p>
      <w:pPr>
        <w:rPr>
          <w:rFonts w:ascii="Times New Roman" w:hAnsi="Times New Roman" w:cs="Times New Roman"/>
          <w:b/>
          <w:color w:val="auto"/>
          <w:sz w:val="24"/>
          <w:szCs w:val="24"/>
        </w:rPr>
      </w:pPr>
      <w:r>
        <w:rPr>
          <w:rFonts w:hint="default" w:ascii="Times New Roman" w:hAnsi="Times New Roman" w:cs="Times New Roman"/>
          <w:b/>
          <w:color w:val="auto"/>
          <w:sz w:val="24"/>
          <w:szCs w:val="24"/>
        </w:rPr>
        <w:t>五、</w:t>
      </w:r>
      <w:r>
        <w:rPr>
          <w:rFonts w:hint="default" w:ascii="Times New Roman" w:hAnsi="Times New Roman" w:cs="Times New Roman"/>
          <w:b/>
          <w:bCs/>
          <w:color w:val="auto"/>
          <w:sz w:val="24"/>
          <w:szCs w:val="24"/>
        </w:rPr>
        <w:t>环保管理制度情况</w:t>
      </w:r>
    </w:p>
    <w:p>
      <w:pPr>
        <w:pStyle w:val="57"/>
        <w:spacing w:line="360" w:lineRule="auto"/>
        <w:ind w:firstLine="480"/>
        <w:rPr>
          <w:rFonts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①</w:t>
      </w:r>
      <w:r>
        <w:rPr>
          <w:rFonts w:ascii="Times New Roman" w:hAnsi="Times New Roman" w:eastAsia="宋体" w:cs="Times New Roman"/>
          <w:color w:val="auto"/>
          <w:sz w:val="24"/>
          <w:szCs w:val="24"/>
        </w:rPr>
        <w:t>环保“三同时”落实情况</w:t>
      </w:r>
    </w:p>
    <w:p>
      <w:pPr>
        <w:pStyle w:val="57"/>
        <w:spacing w:line="360" w:lineRule="auto"/>
        <w:ind w:firstLine="48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项目坚决贯彻环保“三同时”制度，我公司委托有资质的设计单位、施工单位进行设计、施工，确保了环保设施与主体工程均同时设计、同时施工、同时投入使用。</w:t>
      </w:r>
    </w:p>
    <w:p>
      <w:pPr>
        <w:pStyle w:val="57"/>
        <w:spacing w:line="360" w:lineRule="auto"/>
        <w:ind w:firstLine="480"/>
        <w:rPr>
          <w:rFonts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②</w:t>
      </w:r>
      <w:r>
        <w:rPr>
          <w:rFonts w:ascii="Times New Roman" w:hAnsi="Times New Roman" w:eastAsia="宋体" w:cs="Times New Roman"/>
          <w:color w:val="auto"/>
          <w:sz w:val="24"/>
          <w:szCs w:val="24"/>
        </w:rPr>
        <w:t>环保制度定制和落实情况</w:t>
      </w:r>
    </w:p>
    <w:p>
      <w:pPr>
        <w:pStyle w:val="57"/>
        <w:spacing w:line="360" w:lineRule="auto"/>
        <w:ind w:firstLine="48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项目成立了环保小组，制定了生产设施岗位操作流程牌并悬挂在岗位附近明显位置，制定了岗位操作手册并发放至生产一线员工；制定了一系列的环保设施运行操作规程、环保设施管理制度等，环保小组进行存档，定期培训，制作标识牌粘贴上墙。</w:t>
      </w:r>
    </w:p>
    <w:p>
      <w:pPr>
        <w:pStyle w:val="57"/>
        <w:spacing w:line="360" w:lineRule="auto"/>
        <w:ind w:firstLine="480"/>
        <w:rPr>
          <w:rFonts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③</w:t>
      </w:r>
      <w:r>
        <w:rPr>
          <w:rFonts w:ascii="Times New Roman" w:hAnsi="Times New Roman" w:eastAsia="宋体" w:cs="Times New Roman"/>
          <w:color w:val="auto"/>
          <w:sz w:val="24"/>
          <w:szCs w:val="24"/>
        </w:rPr>
        <w:t>委托有资质单位进行验收监测。</w:t>
      </w:r>
    </w:p>
    <w:p>
      <w:pPr>
        <w:pStyle w:val="57"/>
        <w:spacing w:line="360" w:lineRule="auto"/>
        <w:ind w:firstLine="480"/>
        <w:jc w:val="right"/>
        <w:rPr>
          <w:rFonts w:ascii="Times New Roman" w:hAnsi="Times New Roman" w:cs="Times New Roman"/>
          <w:color w:val="auto"/>
          <w:sz w:val="24"/>
          <w:szCs w:val="24"/>
        </w:rPr>
      </w:pPr>
      <w:r>
        <w:rPr>
          <w:rFonts w:hint="default" w:ascii="Times New Roman" w:hAnsi="Times New Roman" w:cs="Times New Roman"/>
          <w:color w:val="auto"/>
          <w:sz w:val="24"/>
          <w:szCs w:val="24"/>
        </w:rPr>
        <w:t>岳阳中展科技有限公司</w:t>
      </w:r>
    </w:p>
    <w:p>
      <w:pPr>
        <w:pStyle w:val="57"/>
        <w:spacing w:line="360" w:lineRule="auto"/>
        <w:ind w:firstLine="480"/>
        <w:jc w:val="right"/>
        <w:rPr>
          <w:rFonts w:ascii="Times New Roman" w:hAnsi="Times New Roman" w:cs="Times New Roman"/>
          <w:color w:val="auto"/>
          <w:sz w:val="24"/>
          <w:szCs w:val="24"/>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cs="Times New Roman"/>
          <w:color w:val="auto"/>
          <w:sz w:val="24"/>
          <w:szCs w:val="24"/>
        </w:rPr>
        <w:t>202</w:t>
      </w:r>
      <w:r>
        <w:rPr>
          <w:rFonts w:hint="eastAsia" w:ascii="Times New Roman" w:hAnsi="Times New Roman" w:cs="Times New Roman"/>
          <w:color w:val="auto"/>
          <w:sz w:val="24"/>
          <w:szCs w:val="24"/>
          <w:lang w:val="en-US" w:eastAsia="zh-CN"/>
        </w:rPr>
        <w:t>2</w:t>
      </w:r>
      <w:r>
        <w:rPr>
          <w:rFonts w:ascii="Times New Roman" w:hAnsi="Times New Roman" w:cs="Times New Roman"/>
          <w:color w:val="auto"/>
          <w:sz w:val="24"/>
          <w:szCs w:val="24"/>
        </w:rPr>
        <w:t>年</w:t>
      </w:r>
      <w:r>
        <w:rPr>
          <w:rFonts w:hint="default" w:ascii="Times New Roman" w:hAnsi="Times New Roman" w:cs="Times New Roman"/>
          <w:color w:val="auto"/>
          <w:sz w:val="24"/>
          <w:szCs w:val="24"/>
        </w:rPr>
        <w:t>5</w:t>
      </w:r>
      <w:r>
        <w:rPr>
          <w:rFonts w:ascii="Times New Roman" w:hAnsi="Times New Roman" w:cs="Times New Roman"/>
          <w:color w:val="auto"/>
          <w:sz w:val="24"/>
          <w:szCs w:val="24"/>
        </w:rPr>
        <w:t>月5日</w:t>
      </w:r>
    </w:p>
    <w:p>
      <w:pPr>
        <w:spacing w:line="360" w:lineRule="auto"/>
        <w:outlineLvl w:val="0"/>
        <w:rPr>
          <w:rFonts w:hint="default" w:ascii="Times New Roman" w:hAnsi="Times New Roman" w:cs="Times New Roman"/>
          <w:b/>
          <w:color w:val="auto"/>
          <w:sz w:val="24"/>
          <w:szCs w:val="24"/>
          <w:highlight w:val="none"/>
        </w:rPr>
      </w:pPr>
      <w:bookmarkStart w:id="167" w:name="_Toc27170"/>
      <w:bookmarkStart w:id="168" w:name="_Toc85120932"/>
      <w:r>
        <w:rPr>
          <w:rFonts w:hint="default" w:ascii="Times New Roman" w:hAnsi="Times New Roman" w:cs="Times New Roman"/>
          <w:b/>
          <w:color w:val="auto"/>
          <w:sz w:val="24"/>
          <w:szCs w:val="24"/>
        </w:rPr>
        <w:t>附件</w:t>
      </w:r>
      <w:r>
        <w:rPr>
          <w:rFonts w:hint="default" w:ascii="Times New Roman" w:hAnsi="Times New Roman" w:cs="Times New Roman"/>
          <w:b/>
          <w:color w:val="auto"/>
          <w:sz w:val="24"/>
          <w:szCs w:val="24"/>
          <w:lang w:eastAsia="zh-CN"/>
        </w:rPr>
        <w:t>1</w:t>
      </w:r>
      <w:r>
        <w:rPr>
          <w:rFonts w:hint="default" w:ascii="Times New Roman" w:hAnsi="Times New Roman" w:cs="Times New Roman"/>
          <w:b/>
          <w:color w:val="auto"/>
          <w:sz w:val="24"/>
          <w:szCs w:val="24"/>
          <w:lang w:val="en-US" w:eastAsia="zh-CN"/>
        </w:rPr>
        <w:t>1</w:t>
      </w:r>
      <w:r>
        <w:rPr>
          <w:rFonts w:hint="default" w:ascii="Times New Roman" w:hAnsi="Times New Roman" w:cs="Times New Roman"/>
          <w:b/>
          <w:color w:val="auto"/>
          <w:sz w:val="24"/>
          <w:szCs w:val="24"/>
        </w:rPr>
        <w:t>：建设项目竣工时间公示及调试起止日期公示</w:t>
      </w:r>
      <w:bookmarkEnd w:id="167"/>
      <w:bookmarkEnd w:id="168"/>
    </w:p>
    <w:p>
      <w:pPr>
        <w:pStyle w:val="13"/>
        <w:rPr>
          <w:rFonts w:hint="default" w:ascii="Times New Roman" w:hAnsi="Times New Roman" w:cs="Times New Roman" w:eastAsiaTheme="minorEastAsia"/>
          <w:b/>
          <w:color w:val="auto"/>
          <w:sz w:val="24"/>
          <w:szCs w:val="24"/>
          <w:lang w:val="en-US" w:eastAsia="zh-CN"/>
        </w:rPr>
      </w:pPr>
      <w:r>
        <w:rPr>
          <w:rFonts w:hint="default" w:ascii="Times New Roman" w:hAnsi="Times New Roman" w:cs="Times New Roman"/>
          <w:b/>
          <w:color w:val="auto"/>
          <w:sz w:val="24"/>
          <w:szCs w:val="24"/>
          <w:lang w:val="en-US" w:eastAsia="zh-CN"/>
        </w:rPr>
        <w:t>网上调试公示：</w:t>
      </w:r>
    </w:p>
    <w:p>
      <w:pPr>
        <w:spacing w:line="360" w:lineRule="auto"/>
        <w:jc w:val="center"/>
        <w:rPr>
          <w:rFonts w:ascii="Times New Roman" w:hAnsi="Times New Roman" w:cs="Times New Roman"/>
          <w:b/>
          <w:color w:val="auto"/>
          <w:sz w:val="24"/>
          <w:szCs w:val="24"/>
        </w:rPr>
      </w:pPr>
      <w:r>
        <w:rPr>
          <w:rFonts w:ascii="Times New Roman" w:hAnsi="Times New Roman" w:cs="Times New Roman"/>
          <w:color w:val="auto"/>
        </w:rPr>
        <w:drawing>
          <wp:inline distT="0" distB="0" distL="114300" distR="114300">
            <wp:extent cx="5272405" cy="2624455"/>
            <wp:effectExtent l="0" t="0" r="4445" b="4445"/>
            <wp:docPr id="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8"/>
                    <pic:cNvPicPr>
                      <a:picLocks noChangeAspect="1"/>
                    </pic:cNvPicPr>
                  </pic:nvPicPr>
                  <pic:blipFill>
                    <a:blip r:embed="rId70"/>
                    <a:stretch>
                      <a:fillRect/>
                    </a:stretch>
                  </pic:blipFill>
                  <pic:spPr>
                    <a:xfrm>
                      <a:off x="0" y="0"/>
                      <a:ext cx="5272405" cy="2624455"/>
                    </a:xfrm>
                    <a:prstGeom prst="rect">
                      <a:avLst/>
                    </a:prstGeom>
                    <a:noFill/>
                    <a:ln>
                      <a:noFill/>
                    </a:ln>
                  </pic:spPr>
                </pic:pic>
              </a:graphicData>
            </a:graphic>
          </wp:inline>
        </w:drawing>
      </w:r>
    </w:p>
    <w:p>
      <w:pPr>
        <w:spacing w:line="360" w:lineRule="auto"/>
        <w:rPr>
          <w:rFonts w:ascii="Times New Roman" w:hAnsi="Times New Roman" w:cs="Times New Roman"/>
          <w:b/>
          <w:color w:val="auto"/>
          <w:sz w:val="24"/>
          <w:szCs w:val="24"/>
        </w:rPr>
      </w:pPr>
    </w:p>
    <w:p>
      <w:pPr>
        <w:pStyle w:val="13"/>
        <w:rPr>
          <w:rFonts w:ascii="Times New Roman" w:hAnsi="Times New Roman" w:cs="Times New Roman"/>
          <w:color w:val="auto"/>
        </w:rPr>
      </w:pPr>
    </w:p>
    <w:p>
      <w:pPr>
        <w:pStyle w:val="13"/>
        <w:rPr>
          <w:rFonts w:ascii="Times New Roman" w:hAnsi="Times New Roman" w:cs="Times New Roman"/>
          <w:color w:val="auto"/>
        </w:rPr>
      </w:pPr>
    </w:p>
    <w:p>
      <w:pPr>
        <w:pStyle w:val="13"/>
        <w:rPr>
          <w:rFonts w:ascii="Times New Roman" w:hAnsi="Times New Roman" w:cs="Times New Roman"/>
          <w:color w:val="auto"/>
        </w:rPr>
      </w:pPr>
    </w:p>
    <w:p>
      <w:pPr>
        <w:pStyle w:val="13"/>
        <w:rPr>
          <w:rFonts w:ascii="Times New Roman" w:hAnsi="Times New Roman" w:cs="Times New Roman"/>
          <w:color w:val="auto"/>
        </w:rPr>
      </w:pPr>
    </w:p>
    <w:p>
      <w:pPr>
        <w:pStyle w:val="13"/>
        <w:rPr>
          <w:rFonts w:ascii="Times New Roman" w:hAnsi="Times New Roman" w:cs="Times New Roman"/>
          <w:color w:val="auto"/>
        </w:rPr>
      </w:pPr>
    </w:p>
    <w:p>
      <w:pPr>
        <w:pStyle w:val="13"/>
        <w:rPr>
          <w:rFonts w:ascii="Times New Roman" w:hAnsi="Times New Roman" w:cs="Times New Roman"/>
          <w:color w:val="auto"/>
        </w:rPr>
      </w:pPr>
    </w:p>
    <w:p>
      <w:pPr>
        <w:pStyle w:val="13"/>
        <w:rPr>
          <w:rFonts w:ascii="Times New Roman" w:hAnsi="Times New Roman" w:cs="Times New Roman"/>
          <w:color w:val="auto"/>
        </w:rPr>
      </w:pPr>
    </w:p>
    <w:p>
      <w:pPr>
        <w:pStyle w:val="13"/>
        <w:rPr>
          <w:rFonts w:ascii="Times New Roman" w:hAnsi="Times New Roman" w:cs="Times New Roman"/>
          <w:color w:val="auto"/>
        </w:rPr>
      </w:pPr>
    </w:p>
    <w:p>
      <w:pPr>
        <w:pStyle w:val="13"/>
        <w:rPr>
          <w:rFonts w:ascii="Times New Roman" w:hAnsi="Times New Roman" w:cs="Times New Roman"/>
          <w:color w:val="auto"/>
        </w:rPr>
      </w:pPr>
    </w:p>
    <w:p>
      <w:pPr>
        <w:pStyle w:val="13"/>
        <w:rPr>
          <w:rFonts w:ascii="Times New Roman" w:hAnsi="Times New Roman" w:cs="Times New Roman"/>
          <w:color w:val="auto"/>
        </w:rPr>
      </w:pPr>
    </w:p>
    <w:p>
      <w:pPr>
        <w:pStyle w:val="13"/>
        <w:rPr>
          <w:rFonts w:ascii="Times New Roman" w:hAnsi="Times New Roman" w:cs="Times New Roman"/>
          <w:color w:val="auto"/>
        </w:rPr>
      </w:pPr>
    </w:p>
    <w:p>
      <w:pPr>
        <w:pStyle w:val="13"/>
        <w:rPr>
          <w:rFonts w:ascii="Times New Roman" w:hAnsi="Times New Roman" w:cs="Times New Roman"/>
          <w:color w:val="auto"/>
        </w:rPr>
      </w:pPr>
    </w:p>
    <w:p>
      <w:pPr>
        <w:pStyle w:val="13"/>
        <w:rPr>
          <w:rFonts w:ascii="Times New Roman" w:hAnsi="Times New Roman" w:cs="Times New Roman"/>
          <w:color w:val="auto"/>
        </w:rPr>
      </w:pPr>
    </w:p>
    <w:p>
      <w:pPr>
        <w:pStyle w:val="13"/>
        <w:rPr>
          <w:rFonts w:ascii="Times New Roman" w:hAnsi="Times New Roman" w:cs="Times New Roman"/>
          <w:color w:val="auto"/>
        </w:rPr>
      </w:pPr>
    </w:p>
    <w:p>
      <w:pPr>
        <w:pStyle w:val="13"/>
        <w:rPr>
          <w:rFonts w:ascii="Times New Roman" w:hAnsi="Times New Roman" w:cs="Times New Roman"/>
          <w:color w:val="auto"/>
        </w:rPr>
      </w:pPr>
    </w:p>
    <w:p>
      <w:pPr>
        <w:pStyle w:val="13"/>
        <w:rPr>
          <w:rFonts w:ascii="Times New Roman" w:hAnsi="Times New Roman" w:cs="Times New Roman"/>
          <w:color w:val="auto"/>
        </w:rPr>
      </w:pPr>
    </w:p>
    <w:p>
      <w:pPr>
        <w:pStyle w:val="13"/>
        <w:rPr>
          <w:rFonts w:ascii="Times New Roman" w:hAnsi="Times New Roman" w:cs="Times New Roman"/>
          <w:color w:val="auto"/>
        </w:rPr>
      </w:pPr>
    </w:p>
    <w:p>
      <w:pPr>
        <w:pStyle w:val="13"/>
        <w:rPr>
          <w:rFonts w:ascii="Times New Roman" w:hAnsi="Times New Roman" w:cs="Times New Roman"/>
          <w:b/>
          <w:color w:val="auto"/>
          <w:sz w:val="24"/>
          <w:szCs w:val="24"/>
        </w:rPr>
      </w:pPr>
    </w:p>
    <w:p>
      <w:pPr>
        <w:pStyle w:val="13"/>
        <w:rPr>
          <w:rFonts w:ascii="Times New Roman" w:hAnsi="Times New Roman" w:cs="Times New Roman"/>
          <w:b/>
          <w:color w:val="auto"/>
          <w:sz w:val="24"/>
          <w:szCs w:val="24"/>
        </w:rPr>
      </w:pPr>
    </w:p>
    <w:p>
      <w:pPr>
        <w:pStyle w:val="13"/>
        <w:rPr>
          <w:rFonts w:hint="default" w:ascii="Times New Roman" w:hAnsi="Times New Roman" w:cs="Times New Roman" w:eastAsiaTheme="minorEastAsia"/>
          <w:b/>
          <w:color w:val="auto"/>
          <w:sz w:val="24"/>
          <w:szCs w:val="24"/>
          <w:lang w:eastAsia="zh-CN"/>
        </w:rPr>
      </w:pPr>
      <w:r>
        <w:rPr>
          <w:rFonts w:hint="default" w:ascii="Times New Roman" w:hAnsi="Times New Roman" w:cs="Times New Roman"/>
          <w:b/>
          <w:color w:val="auto"/>
          <w:sz w:val="24"/>
          <w:szCs w:val="24"/>
        </w:rPr>
        <w:t>现场调试公示</w:t>
      </w:r>
      <w:r>
        <w:rPr>
          <w:rFonts w:hint="default" w:ascii="Times New Roman" w:hAnsi="Times New Roman" w:cs="Times New Roman"/>
          <w:b/>
          <w:color w:val="auto"/>
          <w:sz w:val="24"/>
          <w:szCs w:val="24"/>
          <w:lang w:eastAsia="zh-CN"/>
        </w:rPr>
        <w:t>：</w:t>
      </w:r>
    </w:p>
    <w:p>
      <w:pPr>
        <w:pStyle w:val="14"/>
        <w:rPr>
          <w:rFonts w:hint="default" w:ascii="Times New Roman" w:hAnsi="Times New Roman" w:eastAsia="新宋体-18030" w:cs="Times New Roman"/>
          <w:color w:val="auto"/>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新宋体-18030" w:cs="Times New Roman"/>
          <w:color w:val="auto"/>
          <w:lang w:eastAsia="zh-CN"/>
        </w:rPr>
        <w:drawing>
          <wp:inline distT="0" distB="0" distL="114300" distR="114300">
            <wp:extent cx="5273040" cy="7028180"/>
            <wp:effectExtent l="0" t="0" r="3810" b="1270"/>
            <wp:docPr id="2" name="图片 2" descr="调试公示照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调试公示照片"/>
                    <pic:cNvPicPr>
                      <a:picLocks noChangeAspect="1"/>
                    </pic:cNvPicPr>
                  </pic:nvPicPr>
                  <pic:blipFill>
                    <a:blip r:embed="rId71"/>
                    <a:stretch>
                      <a:fillRect/>
                    </a:stretch>
                  </pic:blipFill>
                  <pic:spPr>
                    <a:xfrm>
                      <a:off x="0" y="0"/>
                      <a:ext cx="5273040" cy="7028180"/>
                    </a:xfrm>
                    <a:prstGeom prst="rect">
                      <a:avLst/>
                    </a:prstGeom>
                  </pic:spPr>
                </pic:pic>
              </a:graphicData>
            </a:graphic>
          </wp:inline>
        </w:drawing>
      </w:r>
    </w:p>
    <w:p>
      <w:pPr>
        <w:spacing w:line="360" w:lineRule="auto"/>
        <w:outlineLvl w:val="0"/>
        <w:rPr>
          <w:rFonts w:ascii="Times New Roman" w:hAnsi="Times New Roman" w:cs="Times New Roman"/>
          <w:b/>
          <w:color w:val="auto"/>
          <w:sz w:val="24"/>
          <w:szCs w:val="24"/>
        </w:rPr>
      </w:pPr>
      <w:bookmarkStart w:id="169" w:name="_Toc25313"/>
      <w:bookmarkStart w:id="170" w:name="_Toc85120933"/>
      <w:r>
        <w:rPr>
          <w:rFonts w:hint="default" w:ascii="Times New Roman" w:hAnsi="Times New Roman" w:cs="Times New Roman"/>
          <w:b/>
          <w:color w:val="auto"/>
          <w:sz w:val="24"/>
          <w:szCs w:val="24"/>
        </w:rPr>
        <w:t>附件</w:t>
      </w:r>
      <w:r>
        <w:rPr>
          <w:rFonts w:hint="default" w:ascii="Times New Roman" w:hAnsi="Times New Roman" w:cs="Times New Roman"/>
          <w:b/>
          <w:color w:val="auto"/>
          <w:sz w:val="24"/>
          <w:szCs w:val="24"/>
          <w:lang w:val="en-US" w:eastAsia="zh-CN"/>
        </w:rPr>
        <w:t>12</w:t>
      </w:r>
      <w:r>
        <w:rPr>
          <w:rFonts w:ascii="Times New Roman" w:hAnsi="Times New Roman" w:cs="Times New Roman"/>
          <w:b/>
          <w:color w:val="auto"/>
          <w:sz w:val="24"/>
          <w:szCs w:val="24"/>
        </w:rPr>
        <w:t>：</w:t>
      </w:r>
      <w:r>
        <w:rPr>
          <w:rFonts w:hint="default" w:ascii="Times New Roman" w:hAnsi="Times New Roman" w:cs="Times New Roman"/>
          <w:b/>
          <w:color w:val="auto"/>
          <w:sz w:val="24"/>
          <w:szCs w:val="24"/>
          <w:lang w:val="en-US" w:eastAsia="zh-CN"/>
        </w:rPr>
        <w:t>其</w:t>
      </w:r>
      <w:r>
        <w:rPr>
          <w:rFonts w:hint="default" w:ascii="Times New Roman" w:hAnsi="Times New Roman" w:cs="Times New Roman"/>
          <w:b/>
          <w:color w:val="auto"/>
          <w:sz w:val="24"/>
          <w:szCs w:val="24"/>
        </w:rPr>
        <w:t>他需要说明的事项</w:t>
      </w:r>
      <w:bookmarkEnd w:id="169"/>
      <w:bookmarkEnd w:id="170"/>
    </w:p>
    <w:p>
      <w:pPr>
        <w:pStyle w:val="57"/>
        <w:spacing w:line="360" w:lineRule="auto"/>
        <w:ind w:firstLine="0" w:firstLineChars="0"/>
        <w:rPr>
          <w:rFonts w:ascii="Times New Roman" w:hAnsi="Times New Roman" w:eastAsia="宋体" w:cs="Times New Roman"/>
          <w:b/>
          <w:bCs/>
          <w:color w:val="auto"/>
          <w:sz w:val="24"/>
          <w:szCs w:val="24"/>
        </w:rPr>
      </w:pPr>
      <w:bookmarkStart w:id="171" w:name="_Toc505257899"/>
      <w:bookmarkStart w:id="172" w:name="_Toc505698657"/>
      <w:bookmarkStart w:id="173" w:name="_Toc505097119"/>
      <w:bookmarkStart w:id="174" w:name="_Toc505333965"/>
      <w:r>
        <w:rPr>
          <w:rFonts w:ascii="Times New Roman" w:hAnsi="Times New Roman" w:eastAsia="宋体" w:cs="Times New Roman"/>
          <w:b/>
          <w:bCs/>
          <w:color w:val="auto"/>
          <w:sz w:val="24"/>
          <w:szCs w:val="24"/>
        </w:rPr>
        <w:t>1</w:t>
      </w:r>
      <w:r>
        <w:rPr>
          <w:rFonts w:hint="default" w:ascii="Times New Roman" w:hAnsi="Times New Roman" w:eastAsia="宋体" w:cs="Times New Roman"/>
          <w:b/>
          <w:bCs/>
          <w:color w:val="auto"/>
          <w:sz w:val="24"/>
          <w:szCs w:val="24"/>
        </w:rPr>
        <w:t>、</w:t>
      </w:r>
      <w:r>
        <w:rPr>
          <w:rFonts w:ascii="Times New Roman" w:hAnsi="Times New Roman" w:eastAsia="宋体" w:cs="Times New Roman"/>
          <w:b/>
          <w:bCs/>
          <w:color w:val="auto"/>
          <w:sz w:val="24"/>
          <w:szCs w:val="24"/>
        </w:rPr>
        <w:t>环境保护设施设计、施工和验收过程简况</w:t>
      </w:r>
      <w:bookmarkEnd w:id="171"/>
      <w:bookmarkEnd w:id="172"/>
      <w:bookmarkEnd w:id="173"/>
      <w:bookmarkEnd w:id="174"/>
    </w:p>
    <w:p>
      <w:pPr>
        <w:pStyle w:val="57"/>
        <w:spacing w:line="360" w:lineRule="auto"/>
        <w:ind w:firstLine="0" w:firstLineChars="0"/>
        <w:rPr>
          <w:rFonts w:ascii="Times New Roman" w:hAnsi="Times New Roman" w:eastAsia="宋体" w:cs="Times New Roman"/>
          <w:b/>
          <w:bCs/>
          <w:color w:val="auto"/>
          <w:sz w:val="24"/>
          <w:szCs w:val="24"/>
        </w:rPr>
      </w:pPr>
      <w:bookmarkStart w:id="175" w:name="_Toc505698658"/>
      <w:bookmarkStart w:id="176" w:name="_Toc505097120"/>
      <w:bookmarkStart w:id="177" w:name="_Toc505257900"/>
      <w:bookmarkStart w:id="178" w:name="_Toc505333966"/>
      <w:r>
        <w:rPr>
          <w:rFonts w:ascii="Times New Roman" w:hAnsi="Times New Roman" w:eastAsia="宋体" w:cs="Times New Roman"/>
          <w:b/>
          <w:bCs/>
          <w:color w:val="auto"/>
          <w:sz w:val="24"/>
          <w:szCs w:val="24"/>
        </w:rPr>
        <w:t>1.1设计简况</w:t>
      </w:r>
      <w:bookmarkEnd w:id="175"/>
      <w:bookmarkEnd w:id="176"/>
      <w:bookmarkEnd w:id="177"/>
      <w:bookmarkEnd w:id="178"/>
    </w:p>
    <w:p>
      <w:pPr>
        <w:pStyle w:val="57"/>
        <w:spacing w:line="360" w:lineRule="auto"/>
        <w:ind w:firstLine="48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本项目环境保护设施纳入了初步设计，环境保护设施的设计符合环境保护设计规范的要求，初步设计中编制了环境保护篇章，落实了防止污染的措施以及环境保护设施投资概算。</w:t>
      </w:r>
    </w:p>
    <w:p>
      <w:pPr>
        <w:pStyle w:val="57"/>
        <w:spacing w:line="360" w:lineRule="auto"/>
        <w:ind w:firstLine="0" w:firstLineChars="0"/>
        <w:rPr>
          <w:rFonts w:ascii="Times New Roman" w:hAnsi="Times New Roman" w:eastAsia="宋体" w:cs="Times New Roman"/>
          <w:b/>
          <w:bCs/>
          <w:color w:val="auto"/>
          <w:sz w:val="24"/>
          <w:szCs w:val="24"/>
        </w:rPr>
      </w:pPr>
      <w:bookmarkStart w:id="179" w:name="_Toc505257901"/>
      <w:bookmarkStart w:id="180" w:name="_Toc505333967"/>
      <w:bookmarkStart w:id="181" w:name="_Toc505097121"/>
      <w:bookmarkStart w:id="182" w:name="_Toc505698659"/>
      <w:r>
        <w:rPr>
          <w:rFonts w:ascii="Times New Roman" w:hAnsi="Times New Roman" w:eastAsia="宋体" w:cs="Times New Roman"/>
          <w:b/>
          <w:bCs/>
          <w:color w:val="auto"/>
          <w:sz w:val="24"/>
          <w:szCs w:val="24"/>
        </w:rPr>
        <w:t>1.2施工简况</w:t>
      </w:r>
      <w:bookmarkEnd w:id="179"/>
      <w:bookmarkEnd w:id="180"/>
      <w:bookmarkEnd w:id="181"/>
      <w:bookmarkEnd w:id="182"/>
    </w:p>
    <w:p>
      <w:pPr>
        <w:pStyle w:val="57"/>
        <w:spacing w:line="360" w:lineRule="auto"/>
        <w:ind w:firstLine="480"/>
        <w:rPr>
          <w:rFonts w:ascii="Times New Roman" w:hAnsi="Times New Roman" w:eastAsia="宋体" w:cs="Times New Roman"/>
          <w:color w:val="auto"/>
          <w:sz w:val="24"/>
          <w:szCs w:val="24"/>
          <w:highlight w:val="magenta"/>
        </w:rPr>
      </w:pPr>
      <w:r>
        <w:rPr>
          <w:rFonts w:ascii="Times New Roman" w:hAnsi="Times New Roman" w:eastAsia="宋体" w:cs="Times New Roman"/>
          <w:color w:val="auto"/>
          <w:sz w:val="24"/>
          <w:szCs w:val="24"/>
        </w:rPr>
        <w:t>本项目已于2021年1</w:t>
      </w:r>
      <w:r>
        <w:rPr>
          <w:rFonts w:hint="default" w:ascii="Times New Roman" w:hAnsi="Times New Roman" w:eastAsia="宋体" w:cs="Times New Roman"/>
          <w:color w:val="auto"/>
          <w:sz w:val="24"/>
          <w:szCs w:val="24"/>
        </w:rPr>
        <w:t>0</w:t>
      </w:r>
      <w:r>
        <w:rPr>
          <w:rFonts w:ascii="Times New Roman" w:hAnsi="Times New Roman" w:eastAsia="宋体" w:cs="Times New Roman"/>
          <w:color w:val="auto"/>
          <w:sz w:val="24"/>
          <w:szCs w:val="24"/>
        </w:rPr>
        <w:t>月运营，</w:t>
      </w:r>
      <w:r>
        <w:rPr>
          <w:rFonts w:hint="default" w:ascii="Times New Roman" w:hAnsi="Times New Roman" w:cs="Times New Roman"/>
          <w:bCs/>
          <w:color w:val="auto"/>
          <w:sz w:val="24"/>
          <w:szCs w:val="24"/>
        </w:rPr>
        <w:t>项目</w:t>
      </w:r>
      <w:r>
        <w:rPr>
          <w:rFonts w:hint="default" w:ascii="Times New Roman" w:hAnsi="Times New Roman" w:cs="Times New Roman"/>
          <w:color w:val="auto"/>
          <w:sz w:val="24"/>
          <w:szCs w:val="24"/>
        </w:rPr>
        <w:t>2</w:t>
      </w:r>
      <w:r>
        <w:rPr>
          <w:rFonts w:ascii="Times New Roman" w:hAnsi="Times New Roman" w:cs="Times New Roman"/>
          <w:color w:val="auto"/>
          <w:sz w:val="24"/>
          <w:szCs w:val="24"/>
        </w:rPr>
        <w:t>0</w:t>
      </w:r>
      <w:r>
        <w:rPr>
          <w:rFonts w:hint="default" w:ascii="Times New Roman" w:hAnsi="Times New Roman" w:cs="Times New Roman"/>
          <w:color w:val="auto"/>
          <w:sz w:val="24"/>
          <w:szCs w:val="24"/>
        </w:rPr>
        <w:t>19年4月委托湖南博咨环境技术咨询服务有限公司编制完成了《</w:t>
      </w:r>
      <w:r>
        <w:rPr>
          <w:rFonts w:hint="default" w:ascii="Times New Roman" w:hAnsi="Times New Roman" w:cs="Times New Roman"/>
          <w:color w:val="auto"/>
          <w:kern w:val="0"/>
          <w:sz w:val="24"/>
          <w:szCs w:val="24"/>
        </w:rPr>
        <w:t>岳阳中展科技有限公司12.6kt/a特种胺项目</w:t>
      </w:r>
      <w:r>
        <w:rPr>
          <w:rFonts w:hint="default" w:ascii="Times New Roman" w:hAnsi="Times New Roman" w:cs="Times New Roman"/>
          <w:color w:val="auto"/>
          <w:sz w:val="24"/>
          <w:szCs w:val="24"/>
        </w:rPr>
        <w:t>环境影响报告书》。于2019年7月30日获得由岳阳市生态环境局出具的批复（文号：岳环评〔2019〕104号）。</w:t>
      </w:r>
      <w:r>
        <w:rPr>
          <w:rFonts w:hint="default" w:ascii="Times New Roman" w:hAnsi="Times New Roman" w:cs="Times New Roman"/>
          <w:color w:val="auto"/>
          <w:sz w:val="24"/>
          <w:szCs w:val="24"/>
          <w:highlight w:val="none"/>
        </w:rPr>
        <w:t>2021年</w:t>
      </w:r>
      <w:r>
        <w:rPr>
          <w:rFonts w:hint="default" w:ascii="Times New Roman" w:hAnsi="Times New Roman" w:cs="Times New Roman"/>
          <w:color w:val="auto"/>
          <w:sz w:val="24"/>
          <w:szCs w:val="24"/>
          <w:highlight w:val="none"/>
          <w:lang w:val="en-US" w:eastAsia="zh-CN"/>
        </w:rPr>
        <w:t>10</w:t>
      </w:r>
      <w:r>
        <w:rPr>
          <w:rFonts w:hint="default" w:ascii="Times New Roman" w:hAnsi="Times New Roman" w:cs="Times New Roman"/>
          <w:color w:val="auto"/>
          <w:sz w:val="24"/>
          <w:szCs w:val="24"/>
          <w:highlight w:val="none"/>
        </w:rPr>
        <w:t>月</w:t>
      </w:r>
      <w:r>
        <w:rPr>
          <w:rFonts w:hint="default" w:ascii="Times New Roman" w:hAnsi="Times New Roman" w:cs="Times New Roman"/>
          <w:color w:val="auto"/>
          <w:sz w:val="24"/>
          <w:szCs w:val="24"/>
          <w:highlight w:val="none"/>
          <w:lang w:val="en-US" w:eastAsia="zh-CN"/>
        </w:rPr>
        <w:t>25</w:t>
      </w:r>
      <w:r>
        <w:rPr>
          <w:rFonts w:hint="default" w:ascii="Times New Roman" w:hAnsi="Times New Roman" w:cs="Times New Roman"/>
          <w:color w:val="auto"/>
          <w:sz w:val="24"/>
          <w:szCs w:val="24"/>
          <w:highlight w:val="none"/>
        </w:rPr>
        <w:t>日进行了排污许可登记，登记编号为</w:t>
      </w:r>
      <w:r>
        <w:rPr>
          <w:rFonts w:ascii="Times New Roman" w:hAnsi="Times New Roman" w:cs="Times New Roman"/>
          <w:color w:val="auto"/>
          <w:sz w:val="24"/>
          <w:szCs w:val="24"/>
          <w:highlight w:val="none"/>
        </w:rPr>
        <w:t>9143060</w:t>
      </w:r>
      <w:r>
        <w:rPr>
          <w:rFonts w:hint="default" w:ascii="Times New Roman" w:hAnsi="Times New Roman" w:cs="Times New Roman"/>
          <w:color w:val="auto"/>
          <w:sz w:val="24"/>
          <w:szCs w:val="24"/>
          <w:highlight w:val="none"/>
          <w:lang w:val="en-US" w:eastAsia="zh-CN"/>
        </w:rPr>
        <w:t>37506052529</w:t>
      </w:r>
      <w:r>
        <w:rPr>
          <w:rFonts w:ascii="Times New Roman" w:hAnsi="Times New Roman" w:cs="Times New Roman"/>
          <w:color w:val="auto"/>
          <w:sz w:val="24"/>
          <w:szCs w:val="24"/>
          <w:highlight w:val="none"/>
        </w:rPr>
        <w:t>001</w:t>
      </w:r>
      <w:r>
        <w:rPr>
          <w:rFonts w:hint="default" w:ascii="Times New Roman" w:hAnsi="Times New Roman" w:cs="Times New Roman"/>
          <w:color w:val="auto"/>
          <w:sz w:val="24"/>
          <w:szCs w:val="24"/>
          <w:highlight w:val="none"/>
          <w:lang w:val="en-US" w:eastAsia="zh-CN"/>
        </w:rPr>
        <w:t>V</w:t>
      </w:r>
      <w:r>
        <w:rPr>
          <w:rFonts w:hint="default" w:ascii="Times New Roman" w:hAnsi="Times New Roman" w:cs="Times New Roman"/>
          <w:color w:val="auto"/>
          <w:sz w:val="24"/>
          <w:szCs w:val="24"/>
          <w:highlight w:val="none"/>
        </w:rPr>
        <w:t>。</w:t>
      </w:r>
    </w:p>
    <w:p>
      <w:pPr>
        <w:pStyle w:val="57"/>
        <w:spacing w:line="360" w:lineRule="auto"/>
        <w:ind w:firstLine="0" w:firstLineChars="0"/>
        <w:rPr>
          <w:rFonts w:ascii="Times New Roman" w:hAnsi="Times New Roman" w:eastAsia="宋体" w:cs="Times New Roman"/>
          <w:b/>
          <w:bCs/>
          <w:color w:val="auto"/>
          <w:sz w:val="24"/>
          <w:szCs w:val="24"/>
        </w:rPr>
      </w:pPr>
      <w:bookmarkStart w:id="183" w:name="_Toc505097122"/>
      <w:bookmarkStart w:id="184" w:name="_Toc505257902"/>
      <w:bookmarkStart w:id="185" w:name="_Toc505698660"/>
      <w:bookmarkStart w:id="186" w:name="_Toc505333968"/>
      <w:r>
        <w:rPr>
          <w:rFonts w:ascii="Times New Roman" w:hAnsi="Times New Roman" w:eastAsia="宋体" w:cs="Times New Roman"/>
          <w:b/>
          <w:bCs/>
          <w:color w:val="auto"/>
          <w:sz w:val="24"/>
          <w:szCs w:val="24"/>
        </w:rPr>
        <w:t>1.3验收过程简况</w:t>
      </w:r>
      <w:bookmarkEnd w:id="183"/>
      <w:bookmarkEnd w:id="184"/>
      <w:bookmarkEnd w:id="185"/>
      <w:bookmarkEnd w:id="186"/>
    </w:p>
    <w:p>
      <w:pPr>
        <w:pStyle w:val="57"/>
        <w:spacing w:line="360" w:lineRule="auto"/>
        <w:ind w:firstLine="480"/>
        <w:rPr>
          <w:rFonts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rPr>
        <w:t>岳阳中展科技有限公司</w:t>
      </w:r>
      <w:r>
        <w:rPr>
          <w:rFonts w:ascii="Times New Roman" w:hAnsi="Times New Roman" w:eastAsia="宋体" w:cs="Times New Roman"/>
          <w:color w:val="auto"/>
          <w:sz w:val="24"/>
          <w:szCs w:val="24"/>
        </w:rPr>
        <w:t>（以下简称：我公司）于</w:t>
      </w:r>
      <w:r>
        <w:rPr>
          <w:rFonts w:hint="default" w:ascii="Times New Roman" w:hAnsi="Times New Roman" w:eastAsia="宋体" w:cs="Times New Roman"/>
          <w:color w:val="auto"/>
          <w:sz w:val="24"/>
          <w:szCs w:val="24"/>
        </w:rPr>
        <w:t>2</w:t>
      </w:r>
      <w:r>
        <w:rPr>
          <w:rFonts w:ascii="Times New Roman" w:hAnsi="Times New Roman" w:eastAsia="宋体" w:cs="Times New Roman"/>
          <w:color w:val="auto"/>
          <w:sz w:val="24"/>
          <w:szCs w:val="24"/>
        </w:rPr>
        <w:t>02</w:t>
      </w:r>
      <w:r>
        <w:rPr>
          <w:rFonts w:hint="default" w:ascii="Times New Roman" w:hAnsi="Times New Roman" w:eastAsia="宋体" w:cs="Times New Roman"/>
          <w:color w:val="auto"/>
          <w:sz w:val="24"/>
          <w:szCs w:val="24"/>
        </w:rPr>
        <w:t>2年5月5</w:t>
      </w:r>
      <w:r>
        <w:rPr>
          <w:rFonts w:ascii="Times New Roman" w:hAnsi="Times New Roman" w:eastAsia="宋体" w:cs="Times New Roman"/>
          <w:color w:val="auto"/>
          <w:sz w:val="24"/>
          <w:szCs w:val="24"/>
        </w:rPr>
        <w:t>日进行了企业自查，确定了验收监测方案并于</w:t>
      </w:r>
      <w:r>
        <w:rPr>
          <w:rFonts w:ascii="Times New Roman" w:hAnsi="Times New Roman" w:cs="Times New Roman"/>
          <w:color w:val="auto"/>
          <w:sz w:val="24"/>
          <w:szCs w:val="24"/>
        </w:rPr>
        <w:t>202</w:t>
      </w:r>
      <w:r>
        <w:rPr>
          <w:rFonts w:hint="default" w:ascii="Times New Roman" w:hAnsi="Times New Roman" w:cs="Times New Roman"/>
          <w:color w:val="auto"/>
          <w:sz w:val="24"/>
          <w:szCs w:val="24"/>
        </w:rPr>
        <w:t>2</w:t>
      </w:r>
      <w:r>
        <w:rPr>
          <w:rFonts w:ascii="Times New Roman" w:hAnsi="Times New Roman" w:cs="Times New Roman"/>
          <w:color w:val="auto"/>
          <w:sz w:val="24"/>
          <w:szCs w:val="24"/>
        </w:rPr>
        <w:t>年</w:t>
      </w:r>
      <w:r>
        <w:rPr>
          <w:rFonts w:hint="default" w:ascii="Times New Roman" w:hAnsi="Times New Roman" w:cs="Times New Roman"/>
          <w:color w:val="auto"/>
          <w:sz w:val="24"/>
          <w:szCs w:val="24"/>
        </w:rPr>
        <w:t>5</w:t>
      </w:r>
      <w:r>
        <w:rPr>
          <w:rFonts w:ascii="Times New Roman" w:hAnsi="Times New Roman" w:cs="Times New Roman"/>
          <w:color w:val="auto"/>
          <w:sz w:val="24"/>
          <w:szCs w:val="24"/>
        </w:rPr>
        <w:t>月</w:t>
      </w:r>
      <w:r>
        <w:rPr>
          <w:rFonts w:hint="default" w:ascii="Times New Roman" w:hAnsi="Times New Roman" w:cs="Times New Roman"/>
          <w:color w:val="auto"/>
          <w:sz w:val="24"/>
          <w:szCs w:val="24"/>
        </w:rPr>
        <w:t>28日</w:t>
      </w:r>
      <w:r>
        <w:rPr>
          <w:rFonts w:ascii="Times New Roman" w:hAnsi="Times New Roman" w:cs="Times New Roman"/>
          <w:color w:val="auto"/>
          <w:sz w:val="24"/>
          <w:szCs w:val="24"/>
        </w:rPr>
        <w:t>~</w:t>
      </w:r>
      <w:r>
        <w:rPr>
          <w:rFonts w:hint="default" w:ascii="Times New Roman" w:hAnsi="Times New Roman" w:cs="Times New Roman"/>
          <w:color w:val="auto"/>
          <w:sz w:val="24"/>
          <w:szCs w:val="24"/>
        </w:rPr>
        <w:t>5月29</w:t>
      </w:r>
      <w:r>
        <w:rPr>
          <w:rFonts w:ascii="Times New Roman" w:hAnsi="Times New Roman" w:cs="Times New Roman"/>
          <w:color w:val="auto"/>
          <w:sz w:val="24"/>
          <w:szCs w:val="24"/>
        </w:rPr>
        <w:t>日</w:t>
      </w:r>
      <w:r>
        <w:rPr>
          <w:rFonts w:ascii="Times New Roman" w:hAnsi="Times New Roman" w:eastAsia="宋体" w:cs="Times New Roman"/>
          <w:color w:val="auto"/>
          <w:sz w:val="24"/>
          <w:szCs w:val="24"/>
        </w:rPr>
        <w:t>委托</w:t>
      </w:r>
      <w:r>
        <w:rPr>
          <w:rFonts w:hint="default" w:ascii="Times New Roman" w:hAnsi="Times New Roman" w:eastAsia="宋体" w:cs="Times New Roman"/>
          <w:color w:val="auto"/>
          <w:sz w:val="24"/>
          <w:szCs w:val="24"/>
        </w:rPr>
        <w:t>湖南桓泓检测技术有限公司</w:t>
      </w:r>
      <w:r>
        <w:rPr>
          <w:rFonts w:ascii="Times New Roman" w:hAnsi="Times New Roman" w:eastAsia="宋体" w:cs="Times New Roman"/>
          <w:color w:val="auto"/>
          <w:sz w:val="24"/>
          <w:szCs w:val="24"/>
        </w:rPr>
        <w:t>承担项目监测工作，我公司结合验收监测结果编制完成此竣工验收监测</w:t>
      </w:r>
      <w:r>
        <w:rPr>
          <w:rFonts w:hint="default" w:ascii="Times New Roman" w:hAnsi="Times New Roman" w:eastAsia="宋体" w:cs="Times New Roman"/>
          <w:color w:val="auto"/>
          <w:sz w:val="24"/>
          <w:szCs w:val="24"/>
        </w:rPr>
        <w:t>报告书</w:t>
      </w:r>
      <w:r>
        <w:rPr>
          <w:rFonts w:ascii="Times New Roman" w:hAnsi="Times New Roman" w:eastAsia="宋体" w:cs="Times New Roman"/>
          <w:color w:val="auto"/>
          <w:sz w:val="24"/>
          <w:szCs w:val="24"/>
        </w:rPr>
        <w:t>。</w:t>
      </w:r>
    </w:p>
    <w:p>
      <w:pPr>
        <w:pStyle w:val="57"/>
        <w:spacing w:line="360" w:lineRule="auto"/>
        <w:ind w:firstLine="0" w:firstLineChars="0"/>
        <w:rPr>
          <w:rFonts w:ascii="Times New Roman" w:hAnsi="Times New Roman" w:eastAsia="宋体" w:cs="Times New Roman"/>
          <w:b/>
          <w:bCs/>
          <w:color w:val="auto"/>
          <w:sz w:val="24"/>
          <w:szCs w:val="24"/>
        </w:rPr>
      </w:pPr>
      <w:r>
        <w:rPr>
          <w:rFonts w:ascii="Times New Roman" w:hAnsi="Times New Roman" w:eastAsia="宋体" w:cs="Times New Roman"/>
          <w:b/>
          <w:bCs/>
          <w:color w:val="auto"/>
          <w:sz w:val="24"/>
          <w:szCs w:val="24"/>
        </w:rPr>
        <w:t>1.4公众反馈意见及处理情况</w:t>
      </w:r>
    </w:p>
    <w:p>
      <w:pPr>
        <w:pStyle w:val="57"/>
        <w:spacing w:line="360" w:lineRule="auto"/>
        <w:ind w:firstLine="48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项目在营运期间，未收到关于本项目的环保投诉。</w:t>
      </w:r>
    </w:p>
    <w:p>
      <w:pPr>
        <w:pStyle w:val="57"/>
        <w:spacing w:line="360" w:lineRule="auto"/>
        <w:ind w:firstLine="0" w:firstLineChars="0"/>
        <w:rPr>
          <w:rFonts w:ascii="Times New Roman" w:hAnsi="Times New Roman" w:eastAsia="宋体" w:cs="Times New Roman"/>
          <w:b/>
          <w:bCs/>
          <w:color w:val="auto"/>
          <w:sz w:val="24"/>
          <w:szCs w:val="24"/>
        </w:rPr>
      </w:pPr>
      <w:bookmarkStart w:id="187" w:name="_Toc505257903"/>
      <w:bookmarkStart w:id="188" w:name="_Toc505333969"/>
      <w:bookmarkStart w:id="189" w:name="_Toc505698661"/>
      <w:bookmarkStart w:id="190" w:name="_Toc505097123"/>
      <w:r>
        <w:rPr>
          <w:rFonts w:ascii="Times New Roman" w:hAnsi="Times New Roman" w:eastAsia="宋体" w:cs="Times New Roman"/>
          <w:b/>
          <w:bCs/>
          <w:color w:val="auto"/>
          <w:sz w:val="24"/>
          <w:szCs w:val="24"/>
        </w:rPr>
        <w:t>2</w:t>
      </w:r>
      <w:r>
        <w:rPr>
          <w:rFonts w:hint="default" w:ascii="Times New Roman" w:hAnsi="Times New Roman" w:eastAsia="宋体" w:cs="Times New Roman"/>
          <w:b/>
          <w:bCs/>
          <w:color w:val="auto"/>
          <w:sz w:val="24"/>
          <w:szCs w:val="24"/>
        </w:rPr>
        <w:t>、</w:t>
      </w:r>
      <w:r>
        <w:rPr>
          <w:rFonts w:ascii="Times New Roman" w:hAnsi="Times New Roman" w:eastAsia="宋体" w:cs="Times New Roman"/>
          <w:b/>
          <w:bCs/>
          <w:color w:val="auto"/>
          <w:sz w:val="24"/>
          <w:szCs w:val="24"/>
        </w:rPr>
        <w:t>其他环境保护措施的实施情况</w:t>
      </w:r>
      <w:bookmarkEnd w:id="187"/>
      <w:bookmarkEnd w:id="188"/>
      <w:bookmarkEnd w:id="189"/>
      <w:bookmarkEnd w:id="190"/>
    </w:p>
    <w:p>
      <w:pPr>
        <w:pStyle w:val="57"/>
        <w:spacing w:line="360" w:lineRule="auto"/>
        <w:ind w:firstLine="48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本项目环境影响</w:t>
      </w:r>
      <w:r>
        <w:rPr>
          <w:rFonts w:hint="default" w:ascii="Times New Roman" w:hAnsi="Times New Roman" w:eastAsia="宋体" w:cs="Times New Roman"/>
          <w:color w:val="auto"/>
          <w:sz w:val="24"/>
          <w:szCs w:val="24"/>
        </w:rPr>
        <w:t>报告书</w:t>
      </w:r>
      <w:r>
        <w:rPr>
          <w:rFonts w:ascii="Times New Roman" w:hAnsi="Times New Roman" w:eastAsia="宋体" w:cs="Times New Roman"/>
          <w:color w:val="auto"/>
          <w:sz w:val="24"/>
          <w:szCs w:val="24"/>
        </w:rPr>
        <w:t>及其审批部门审批决定中提出的除环境保护设施外的其他环境保护措施主要包括制度措施和配套措施等，现将需要说明的措施内容和要求梳理如下：</w:t>
      </w:r>
    </w:p>
    <w:p>
      <w:pPr>
        <w:pStyle w:val="57"/>
        <w:spacing w:line="360" w:lineRule="auto"/>
        <w:ind w:firstLine="0" w:firstLineChars="0"/>
        <w:rPr>
          <w:rFonts w:ascii="Times New Roman" w:hAnsi="Times New Roman" w:eastAsia="宋体" w:cs="Times New Roman"/>
          <w:b/>
          <w:bCs/>
          <w:color w:val="auto"/>
          <w:sz w:val="24"/>
          <w:szCs w:val="24"/>
        </w:rPr>
      </w:pPr>
      <w:bookmarkStart w:id="191" w:name="_Toc505698662"/>
      <w:bookmarkStart w:id="192" w:name="_Toc505257904"/>
      <w:bookmarkStart w:id="193" w:name="_Toc505097124"/>
      <w:bookmarkStart w:id="194" w:name="_Toc505333970"/>
      <w:r>
        <w:rPr>
          <w:rFonts w:ascii="Times New Roman" w:hAnsi="Times New Roman" w:eastAsia="宋体" w:cs="Times New Roman"/>
          <w:b/>
          <w:bCs/>
          <w:color w:val="auto"/>
          <w:sz w:val="24"/>
          <w:szCs w:val="24"/>
        </w:rPr>
        <w:t>2.1制度措施落实情况</w:t>
      </w:r>
      <w:bookmarkEnd w:id="191"/>
      <w:bookmarkEnd w:id="192"/>
      <w:bookmarkEnd w:id="193"/>
      <w:bookmarkEnd w:id="194"/>
    </w:p>
    <w:p>
      <w:pPr>
        <w:pStyle w:val="57"/>
        <w:spacing w:line="360" w:lineRule="auto"/>
        <w:ind w:firstLine="480"/>
        <w:rPr>
          <w:rFonts w:ascii="Times New Roman" w:hAnsi="Times New Roman" w:eastAsia="宋体" w:cs="Times New Roman"/>
          <w:color w:val="auto"/>
          <w:sz w:val="24"/>
          <w:szCs w:val="24"/>
        </w:rPr>
      </w:pPr>
      <w:bookmarkStart w:id="195" w:name="_Toc505698663"/>
      <w:bookmarkStart w:id="196" w:name="_Toc505097125"/>
      <w:bookmarkStart w:id="197" w:name="_Toc505333971"/>
      <w:bookmarkStart w:id="198" w:name="_Toc505257905"/>
      <w:r>
        <w:rPr>
          <w:rFonts w:ascii="Times New Roman" w:hAnsi="Times New Roman" w:eastAsia="宋体" w:cs="Times New Roman"/>
          <w:color w:val="auto"/>
          <w:sz w:val="24"/>
          <w:szCs w:val="24"/>
        </w:rPr>
        <w:t>（1）环保组织机构及规章制度</w:t>
      </w:r>
      <w:bookmarkEnd w:id="195"/>
      <w:bookmarkEnd w:id="196"/>
      <w:bookmarkEnd w:id="197"/>
      <w:bookmarkEnd w:id="198"/>
    </w:p>
    <w:p>
      <w:pPr>
        <w:pStyle w:val="57"/>
        <w:spacing w:line="360" w:lineRule="auto"/>
        <w:ind w:firstLine="48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本项目按照有关规定制定了有关环境保护和环境安全等方面的规定，涉及到污染物排放、生产岗位管理等多个环境保护方面的内容。明确规定了环境保护管理职责，并严格按照公司环境保护管理和安全的规定进行了落实。</w:t>
      </w:r>
    </w:p>
    <w:p>
      <w:pPr>
        <w:pStyle w:val="57"/>
        <w:spacing w:line="360" w:lineRule="auto"/>
        <w:ind w:firstLine="48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公司及时记录环保设施的运行情况，要求有环保设施的岗位及时记录环保设施的运行情况，发现问题及时解决，保证环保设施的完好和正常运行。</w:t>
      </w:r>
    </w:p>
    <w:p>
      <w:pPr>
        <w:pStyle w:val="57"/>
        <w:spacing w:line="360" w:lineRule="auto"/>
        <w:ind w:firstLine="480"/>
        <w:rPr>
          <w:rFonts w:ascii="Times New Roman" w:hAnsi="Times New Roman" w:eastAsia="宋体" w:cs="Times New Roman"/>
          <w:color w:val="auto"/>
          <w:sz w:val="24"/>
          <w:szCs w:val="24"/>
        </w:rPr>
      </w:pPr>
      <w:bookmarkStart w:id="199" w:name="_Toc505333973"/>
      <w:bookmarkStart w:id="200" w:name="_Toc505698665"/>
      <w:bookmarkStart w:id="201" w:name="_Toc505257907"/>
      <w:r>
        <w:rPr>
          <w:rFonts w:ascii="Times New Roman" w:hAnsi="Times New Roman" w:eastAsia="宋体" w:cs="Times New Roman"/>
          <w:color w:val="auto"/>
          <w:sz w:val="24"/>
          <w:szCs w:val="24"/>
        </w:rPr>
        <w:t>环境监测计划</w:t>
      </w:r>
      <w:bookmarkEnd w:id="199"/>
      <w:bookmarkEnd w:id="200"/>
      <w:bookmarkEnd w:id="201"/>
    </w:p>
    <w:p>
      <w:pPr>
        <w:pStyle w:val="57"/>
        <w:spacing w:line="360" w:lineRule="auto"/>
        <w:ind w:firstLine="48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项目验收期间组织了环境监测，后期运营中将根据要求开展环境监测。</w:t>
      </w:r>
    </w:p>
    <w:p>
      <w:pPr>
        <w:pStyle w:val="57"/>
        <w:spacing w:line="360" w:lineRule="auto"/>
        <w:ind w:firstLine="0" w:firstLineChars="0"/>
        <w:rPr>
          <w:rFonts w:ascii="Times New Roman" w:hAnsi="Times New Roman" w:eastAsia="宋体" w:cs="Times New Roman"/>
          <w:b/>
          <w:bCs/>
          <w:color w:val="auto"/>
          <w:sz w:val="24"/>
          <w:szCs w:val="24"/>
        </w:rPr>
      </w:pPr>
      <w:bookmarkStart w:id="202" w:name="_Toc505333974"/>
      <w:bookmarkStart w:id="203" w:name="_Toc505097127"/>
      <w:bookmarkStart w:id="204" w:name="_Toc505257908"/>
      <w:bookmarkStart w:id="205" w:name="_Toc505698666"/>
      <w:r>
        <w:rPr>
          <w:rFonts w:ascii="Times New Roman" w:hAnsi="Times New Roman" w:eastAsia="宋体" w:cs="Times New Roman"/>
          <w:b/>
          <w:bCs/>
          <w:color w:val="auto"/>
          <w:sz w:val="24"/>
          <w:szCs w:val="24"/>
        </w:rPr>
        <w:t>2.2其他措施落实情况</w:t>
      </w:r>
      <w:bookmarkEnd w:id="202"/>
      <w:bookmarkEnd w:id="203"/>
      <w:bookmarkEnd w:id="204"/>
      <w:bookmarkEnd w:id="205"/>
    </w:p>
    <w:p>
      <w:pPr>
        <w:pStyle w:val="57"/>
        <w:spacing w:line="360" w:lineRule="auto"/>
        <w:ind w:firstLine="480"/>
        <w:rPr>
          <w:rFonts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①</w:t>
      </w:r>
      <w:r>
        <w:rPr>
          <w:rFonts w:ascii="Times New Roman" w:hAnsi="Times New Roman" w:eastAsia="宋体" w:cs="Times New Roman"/>
          <w:color w:val="auto"/>
          <w:sz w:val="24"/>
          <w:szCs w:val="24"/>
        </w:rPr>
        <w:t>根据环评及批复要求，保证各项污染防治措施的正常运行，严格生产操作规程，防止各种事故带来的环境污染与破坏。</w:t>
      </w:r>
    </w:p>
    <w:p>
      <w:pPr>
        <w:pStyle w:val="57"/>
        <w:spacing w:line="360" w:lineRule="auto"/>
        <w:ind w:firstLine="480"/>
        <w:rPr>
          <w:rFonts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②</w:t>
      </w:r>
      <w:r>
        <w:rPr>
          <w:rFonts w:ascii="Times New Roman" w:hAnsi="Times New Roman" w:eastAsia="宋体" w:cs="Times New Roman"/>
          <w:color w:val="auto"/>
          <w:sz w:val="24"/>
          <w:szCs w:val="24"/>
        </w:rPr>
        <w:t>项目不涉及生态补偿保护等内容。</w:t>
      </w:r>
    </w:p>
    <w:p>
      <w:pPr>
        <w:pStyle w:val="57"/>
        <w:spacing w:line="360" w:lineRule="auto"/>
        <w:ind w:firstLine="480"/>
        <w:rPr>
          <w:rFonts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③</w:t>
      </w:r>
      <w:r>
        <w:rPr>
          <w:rFonts w:ascii="Times New Roman" w:hAnsi="Times New Roman" w:eastAsia="宋体" w:cs="Times New Roman"/>
          <w:color w:val="auto"/>
          <w:sz w:val="24"/>
          <w:szCs w:val="24"/>
        </w:rPr>
        <w:t>项目位</w:t>
      </w:r>
      <w:r>
        <w:rPr>
          <w:rFonts w:hint="default" w:ascii="Times New Roman" w:hAnsi="Times New Roman" w:cs="Times New Roman"/>
          <w:color w:val="auto"/>
          <w:sz w:val="24"/>
          <w:szCs w:val="24"/>
        </w:rPr>
        <w:t>湖南岳阳绿色化工产业园内</w:t>
      </w:r>
      <w:r>
        <w:rPr>
          <w:rFonts w:ascii="Times New Roman" w:hAnsi="Times New Roman" w:eastAsia="宋体" w:cs="Times New Roman"/>
          <w:color w:val="auto"/>
          <w:sz w:val="24"/>
          <w:szCs w:val="24"/>
        </w:rPr>
        <w:t>，不涉及征地拆迁问题。</w:t>
      </w:r>
    </w:p>
    <w:p>
      <w:pPr>
        <w:pStyle w:val="57"/>
        <w:numPr>
          <w:ilvl w:val="0"/>
          <w:numId w:val="3"/>
        </w:numPr>
        <w:spacing w:line="360" w:lineRule="auto"/>
        <w:ind w:left="0" w:leftChars="0" w:firstLine="0" w:firstLineChars="0"/>
        <w:rPr>
          <w:rFonts w:ascii="Times New Roman" w:hAnsi="Times New Roman" w:eastAsia="宋体" w:cs="Times New Roman"/>
          <w:b/>
          <w:bCs/>
          <w:color w:val="auto"/>
          <w:sz w:val="24"/>
          <w:szCs w:val="24"/>
        </w:rPr>
      </w:pPr>
      <w:bookmarkStart w:id="206" w:name="_Toc505257909"/>
      <w:bookmarkStart w:id="207" w:name="_Toc505097128"/>
      <w:bookmarkStart w:id="208" w:name="_Toc505333975"/>
      <w:bookmarkStart w:id="209" w:name="_Toc505698667"/>
      <w:r>
        <w:rPr>
          <w:rFonts w:ascii="Times New Roman" w:hAnsi="Times New Roman" w:eastAsia="宋体" w:cs="Times New Roman"/>
          <w:b/>
          <w:bCs/>
          <w:color w:val="auto"/>
          <w:sz w:val="24"/>
          <w:szCs w:val="24"/>
        </w:rPr>
        <w:t>整改工作情况</w:t>
      </w:r>
      <w:bookmarkEnd w:id="206"/>
      <w:bookmarkEnd w:id="207"/>
      <w:bookmarkEnd w:id="208"/>
      <w:bookmarkEnd w:id="209"/>
    </w:p>
    <w:p>
      <w:pPr>
        <w:pStyle w:val="57"/>
        <w:numPr>
          <w:ilvl w:val="0"/>
          <w:numId w:val="0"/>
        </w:numPr>
        <w:spacing w:line="360" w:lineRule="auto"/>
        <w:ind w:leftChars="0" w:firstLine="480" w:firstLineChars="200"/>
        <w:rPr>
          <w:rFonts w:hint="default"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按照2022年9月本项目竣工环境保护验收会议专家提出意见，逐条进行了整改落实，并于2022年11月9日至11月10日进行补充验收监测，根据补充监测结果，完善了本项目竣工环境保护验收监测报告。</w:t>
      </w:r>
    </w:p>
    <w:p>
      <w:pPr>
        <w:pStyle w:val="57"/>
        <w:spacing w:line="360" w:lineRule="auto"/>
        <w:ind w:firstLine="480"/>
        <w:rPr>
          <w:rFonts w:hint="eastAsia" w:ascii="Times New Roman" w:hAnsi="Times New Roman" w:eastAsia="宋体" w:cs="Times New Roman"/>
          <w:b w:val="0"/>
          <w:bCs w:val="0"/>
          <w:color w:val="auto"/>
          <w:sz w:val="24"/>
          <w:szCs w:val="24"/>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spacing w:line="360" w:lineRule="auto"/>
        <w:ind w:firstLine="480"/>
        <w:outlineLvl w:val="0"/>
        <w:rPr>
          <w:rFonts w:ascii="Times New Roman" w:hAnsi="Times New Roman" w:eastAsia="宋体" w:cs="Times New Roman"/>
          <w:color w:val="auto"/>
          <w:sz w:val="24"/>
          <w:szCs w:val="24"/>
        </w:rPr>
      </w:pPr>
      <w:bookmarkStart w:id="210" w:name="_Toc141"/>
      <w:r>
        <w:rPr>
          <w:rFonts w:hint="default" w:ascii="Times New Roman" w:hAnsi="Times New Roman" w:cs="Times New Roman"/>
          <w:b/>
          <w:color w:val="auto"/>
          <w:sz w:val="24"/>
          <w:szCs w:val="24"/>
        </w:rPr>
        <w:t>附件</w:t>
      </w:r>
      <w:r>
        <w:rPr>
          <w:rFonts w:hint="default" w:ascii="Times New Roman" w:hAnsi="Times New Roman" w:cs="Times New Roman"/>
          <w:b/>
          <w:color w:val="auto"/>
          <w:sz w:val="24"/>
          <w:szCs w:val="24"/>
          <w:lang w:val="en-US" w:eastAsia="zh-CN"/>
        </w:rPr>
        <w:t>13</w:t>
      </w:r>
      <w:r>
        <w:rPr>
          <w:rFonts w:ascii="Times New Roman" w:hAnsi="Times New Roman" w:cs="Times New Roman"/>
          <w:b/>
          <w:color w:val="auto"/>
          <w:sz w:val="24"/>
          <w:szCs w:val="24"/>
        </w:rPr>
        <w:t>：</w:t>
      </w:r>
      <w:r>
        <w:rPr>
          <w:rFonts w:hint="default" w:ascii="Times New Roman" w:hAnsi="Times New Roman" w:cs="Times New Roman"/>
          <w:b/>
          <w:color w:val="auto"/>
          <w:sz w:val="24"/>
          <w:szCs w:val="24"/>
          <w:lang w:val="en-US" w:eastAsia="zh-CN"/>
        </w:rPr>
        <w:t>企业环保管理制度</w:t>
      </w:r>
      <w:bookmarkEnd w:id="210"/>
    </w:p>
    <w:p>
      <w:pPr>
        <w:spacing w:line="360" w:lineRule="auto"/>
        <w:ind w:firstLine="480"/>
        <w:rPr>
          <w:rFonts w:hint="default" w:ascii="Times New Roman" w:hAnsi="Times New Roman" w:cs="Times New Roman" w:eastAsiaTheme="minorEastAsia"/>
          <w:color w:val="auto"/>
          <w:lang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cs="Times New Roman" w:eastAsiaTheme="minorEastAsia"/>
          <w:color w:val="auto"/>
          <w:lang w:eastAsia="zh-CN"/>
        </w:rPr>
        <w:drawing>
          <wp:inline distT="0" distB="0" distL="114300" distR="114300">
            <wp:extent cx="8726805" cy="4027805"/>
            <wp:effectExtent l="0" t="0" r="7620" b="1270"/>
            <wp:docPr id="100" name="图片 100" descr="57a0764c35fbf94e8e03341b65d8a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57a0764c35fbf94e8e03341b65d8ae3"/>
                    <pic:cNvPicPr>
                      <a:picLocks noChangeAspect="1"/>
                    </pic:cNvPicPr>
                  </pic:nvPicPr>
                  <pic:blipFill>
                    <a:blip r:embed="rId72"/>
                    <a:stretch>
                      <a:fillRect/>
                    </a:stretch>
                  </pic:blipFill>
                  <pic:spPr>
                    <a:xfrm>
                      <a:off x="0" y="0"/>
                      <a:ext cx="8726805" cy="4027805"/>
                    </a:xfrm>
                    <a:prstGeom prst="rect">
                      <a:avLst/>
                    </a:prstGeom>
                  </pic:spPr>
                </pic:pic>
              </a:graphicData>
            </a:graphic>
          </wp:inline>
        </w:drawing>
      </w:r>
    </w:p>
    <w:p>
      <w:pPr>
        <w:spacing w:line="300" w:lineRule="exact"/>
        <w:jc w:val="center"/>
        <w:rPr>
          <w:rFonts w:ascii="Times New Roman" w:hAnsi="Times New Roman" w:eastAsia="黑体" w:cs="Times New Roman"/>
          <w:b/>
          <w:color w:val="auto"/>
          <w:szCs w:val="21"/>
        </w:rPr>
      </w:pPr>
      <w:bookmarkStart w:id="211" w:name="_Toc62118308"/>
      <w:bookmarkStart w:id="212" w:name="_Toc24302"/>
      <w:bookmarkStart w:id="213" w:name="_Toc62122441"/>
      <w:r>
        <w:rPr>
          <w:rFonts w:ascii="Times New Roman" w:hAnsi="Times New Roman" w:eastAsia="黑体" w:cs="Times New Roman"/>
          <w:b/>
          <w:color w:val="auto"/>
          <w:szCs w:val="21"/>
        </w:rPr>
        <w:t>建设项目竣工环境保护</w:t>
      </w:r>
      <w:r>
        <w:rPr>
          <w:rFonts w:hint="default" w:ascii="Times New Roman" w:hAnsi="Times New Roman" w:eastAsia="黑体" w:cs="Times New Roman"/>
          <w:b/>
          <w:color w:val="auto"/>
          <w:szCs w:val="21"/>
        </w:rPr>
        <w:t>“</w:t>
      </w:r>
      <w:r>
        <w:rPr>
          <w:rFonts w:ascii="Times New Roman" w:hAnsi="Times New Roman" w:eastAsia="黑体" w:cs="Times New Roman"/>
          <w:b/>
          <w:color w:val="auto"/>
          <w:szCs w:val="21"/>
        </w:rPr>
        <w:t>三同时</w:t>
      </w:r>
      <w:r>
        <w:rPr>
          <w:rFonts w:hint="default" w:ascii="Times New Roman" w:hAnsi="Times New Roman" w:eastAsia="黑体" w:cs="Times New Roman"/>
          <w:b/>
          <w:color w:val="auto"/>
          <w:szCs w:val="21"/>
        </w:rPr>
        <w:t>”</w:t>
      </w:r>
      <w:r>
        <w:rPr>
          <w:rFonts w:ascii="Times New Roman" w:hAnsi="Times New Roman" w:eastAsia="黑体" w:cs="Times New Roman"/>
          <w:b/>
          <w:color w:val="auto"/>
          <w:szCs w:val="21"/>
        </w:rPr>
        <w:t>验收登记表</w:t>
      </w:r>
      <w:bookmarkEnd w:id="211"/>
      <w:bookmarkEnd w:id="212"/>
      <w:bookmarkEnd w:id="213"/>
    </w:p>
    <w:p>
      <w:pPr>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填表单位（盖章）：</w:t>
      </w:r>
      <w:r>
        <w:rPr>
          <w:rFonts w:hint="default" w:ascii="Times New Roman" w:hAnsi="Times New Roman" w:eastAsia="宋体" w:cs="Times New Roman"/>
          <w:b/>
          <w:color w:val="auto"/>
          <w:sz w:val="18"/>
          <w:szCs w:val="18"/>
        </w:rPr>
        <w:t xml:space="preserve">岳阳中展科技有限公司 </w:t>
      </w:r>
      <w:r>
        <w:rPr>
          <w:rFonts w:ascii="Times New Roman" w:hAnsi="Times New Roman" w:eastAsia="宋体" w:cs="Times New Roman"/>
          <w:b/>
          <w:color w:val="auto"/>
          <w:sz w:val="18"/>
          <w:szCs w:val="18"/>
        </w:rPr>
        <w:t xml:space="preserve">  填表人（签字）：                              项目经办人（签字）：</w:t>
      </w:r>
    </w:p>
    <w:tbl>
      <w:tblPr>
        <w:tblStyle w:val="28"/>
        <w:tblW w:w="1597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31"/>
        <w:gridCol w:w="168"/>
        <w:gridCol w:w="1234"/>
        <w:gridCol w:w="571"/>
        <w:gridCol w:w="833"/>
        <w:gridCol w:w="1388"/>
        <w:gridCol w:w="1104"/>
        <w:gridCol w:w="999"/>
        <w:gridCol w:w="514"/>
        <w:gridCol w:w="828"/>
        <w:gridCol w:w="909"/>
        <w:gridCol w:w="1202"/>
        <w:gridCol w:w="1433"/>
        <w:gridCol w:w="1202"/>
        <w:gridCol w:w="357"/>
        <w:gridCol w:w="895"/>
        <w:gridCol w:w="239"/>
        <w:gridCol w:w="870"/>
        <w:gridCol w:w="80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19" w:hRule="atLeast"/>
          <w:jc w:val="center"/>
        </w:trPr>
        <w:tc>
          <w:tcPr>
            <w:tcW w:w="431" w:type="dxa"/>
            <w:vMerge w:val="restart"/>
            <w:tcMar>
              <w:left w:w="57" w:type="dxa"/>
              <w:right w:w="57" w:type="dxa"/>
            </w:tcMar>
            <w:textDirection w:val="tbRlV"/>
            <w:vAlign w:val="center"/>
          </w:tcPr>
          <w:p>
            <w:pPr>
              <w:spacing w:line="200" w:lineRule="exact"/>
              <w:ind w:left="113" w:right="113"/>
              <w:jc w:val="center"/>
              <w:rPr>
                <w:rFonts w:ascii="Times New Roman" w:hAnsi="Times New Roman" w:cs="Times New Roman"/>
                <w:b/>
                <w:color w:val="auto"/>
                <w:sz w:val="15"/>
                <w:szCs w:val="15"/>
              </w:rPr>
            </w:pPr>
            <w:r>
              <w:rPr>
                <w:rFonts w:ascii="Times New Roman" w:hAnsi="Times New Roman" w:cs="Times New Roman"/>
                <w:b/>
                <w:color w:val="auto"/>
                <w:sz w:val="15"/>
                <w:szCs w:val="15"/>
              </w:rPr>
              <w:t>建设项目</w:t>
            </w:r>
          </w:p>
        </w:tc>
        <w:tc>
          <w:tcPr>
            <w:tcW w:w="1973" w:type="dxa"/>
            <w:gridSpan w:val="3"/>
            <w:tcMar>
              <w:left w:w="57" w:type="dxa"/>
              <w:right w:w="57" w:type="dxa"/>
            </w:tcMar>
            <w:vAlign w:val="center"/>
          </w:tcPr>
          <w:p>
            <w:pPr>
              <w:spacing w:line="200" w:lineRule="exact"/>
              <w:jc w:val="center"/>
              <w:rPr>
                <w:rFonts w:ascii="Times New Roman" w:hAnsi="Times New Roman" w:cs="Times New Roman"/>
                <w:b/>
                <w:color w:val="auto"/>
                <w:sz w:val="15"/>
                <w:szCs w:val="15"/>
              </w:rPr>
            </w:pPr>
            <w:r>
              <w:rPr>
                <w:rFonts w:ascii="Times New Roman" w:hAnsi="Times New Roman" w:cs="Times New Roman"/>
                <w:b/>
                <w:color w:val="auto"/>
                <w:sz w:val="15"/>
                <w:szCs w:val="15"/>
              </w:rPr>
              <w:t>项目名称</w:t>
            </w:r>
          </w:p>
        </w:tc>
        <w:tc>
          <w:tcPr>
            <w:tcW w:w="5666" w:type="dxa"/>
            <w:gridSpan w:val="6"/>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hint="default" w:ascii="Times New Roman" w:hAnsi="Times New Roman" w:cs="Times New Roman"/>
                <w:color w:val="auto"/>
                <w:sz w:val="15"/>
                <w:szCs w:val="15"/>
              </w:rPr>
              <w:t>岳阳中展科技有限公司12.6kt/a特种胺项目</w:t>
            </w:r>
          </w:p>
        </w:tc>
        <w:tc>
          <w:tcPr>
            <w:tcW w:w="2111" w:type="dxa"/>
            <w:gridSpan w:val="2"/>
            <w:tcMar>
              <w:left w:w="57" w:type="dxa"/>
              <w:right w:w="57" w:type="dxa"/>
            </w:tcMar>
            <w:vAlign w:val="center"/>
          </w:tcPr>
          <w:p>
            <w:pPr>
              <w:spacing w:line="200" w:lineRule="exact"/>
              <w:jc w:val="center"/>
              <w:rPr>
                <w:rFonts w:ascii="Times New Roman" w:hAnsi="Times New Roman" w:cs="Times New Roman"/>
                <w:b/>
                <w:color w:val="auto"/>
                <w:sz w:val="15"/>
                <w:szCs w:val="15"/>
              </w:rPr>
            </w:pPr>
            <w:r>
              <w:rPr>
                <w:rFonts w:hint="default" w:ascii="Times New Roman" w:hAnsi="Times New Roman" w:cs="Times New Roman"/>
                <w:b/>
                <w:color w:val="auto"/>
                <w:sz w:val="15"/>
                <w:szCs w:val="15"/>
              </w:rPr>
              <w:t>项</w:t>
            </w:r>
            <w:r>
              <w:rPr>
                <w:rFonts w:ascii="Times New Roman" w:hAnsi="Times New Roman" w:cs="Times New Roman"/>
                <w:b/>
                <w:color w:val="auto"/>
                <w:sz w:val="15"/>
                <w:szCs w:val="15"/>
              </w:rPr>
              <w:t>目代码</w:t>
            </w:r>
          </w:p>
        </w:tc>
        <w:tc>
          <w:tcPr>
            <w:tcW w:w="1433"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559" w:type="dxa"/>
            <w:gridSpan w:val="2"/>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ascii="Times New Roman" w:hAnsi="Times New Roman" w:cs="Times New Roman"/>
                <w:b/>
                <w:color w:val="auto"/>
                <w:sz w:val="15"/>
                <w:szCs w:val="15"/>
              </w:rPr>
              <w:t>建设地点</w:t>
            </w:r>
          </w:p>
        </w:tc>
        <w:tc>
          <w:tcPr>
            <w:tcW w:w="2804" w:type="dxa"/>
            <w:gridSpan w:val="4"/>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hint="default" w:ascii="Times New Roman" w:hAnsi="Times New Roman" w:cs="Times New Roman"/>
                <w:color w:val="auto"/>
                <w:sz w:val="15"/>
                <w:szCs w:val="15"/>
              </w:rPr>
              <w:t>岳阳市云溪区绿色化工产业园</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43" w:hRule="atLeast"/>
          <w:jc w:val="center"/>
        </w:trPr>
        <w:tc>
          <w:tcPr>
            <w:tcW w:w="431" w:type="dxa"/>
            <w:vMerge w:val="continue"/>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973" w:type="dxa"/>
            <w:gridSpan w:val="3"/>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ascii="Times New Roman" w:hAnsi="Times New Roman" w:cs="Times New Roman"/>
                <w:b/>
                <w:color w:val="auto"/>
                <w:sz w:val="15"/>
                <w:szCs w:val="15"/>
              </w:rPr>
              <w:t>行业类别（分类管理</w:t>
            </w:r>
            <w:r>
              <w:rPr>
                <w:rFonts w:hint="default" w:ascii="Times New Roman" w:hAnsi="Times New Roman" w:cs="Times New Roman"/>
                <w:b/>
                <w:color w:val="auto"/>
                <w:sz w:val="15"/>
                <w:szCs w:val="15"/>
              </w:rPr>
              <w:t>名录</w:t>
            </w:r>
            <w:r>
              <w:rPr>
                <w:rFonts w:ascii="Times New Roman" w:hAnsi="Times New Roman" w:cs="Times New Roman"/>
                <w:b/>
                <w:color w:val="auto"/>
                <w:sz w:val="15"/>
                <w:szCs w:val="15"/>
              </w:rPr>
              <w:t>）</w:t>
            </w:r>
          </w:p>
        </w:tc>
        <w:tc>
          <w:tcPr>
            <w:tcW w:w="5666" w:type="dxa"/>
            <w:gridSpan w:val="6"/>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hint="default" w:ascii="Times New Roman" w:hAnsi="Times New Roman" w:cs="Times New Roman"/>
                <w:color w:val="auto"/>
                <w:sz w:val="15"/>
                <w:szCs w:val="15"/>
              </w:rPr>
              <w:t>十五、化学原料和化学制品制造业</w:t>
            </w:r>
          </w:p>
        </w:tc>
        <w:tc>
          <w:tcPr>
            <w:tcW w:w="2111" w:type="dxa"/>
            <w:gridSpan w:val="2"/>
            <w:tcMar>
              <w:left w:w="57" w:type="dxa"/>
              <w:right w:w="57" w:type="dxa"/>
            </w:tcMar>
            <w:vAlign w:val="center"/>
          </w:tcPr>
          <w:p>
            <w:pPr>
              <w:spacing w:line="200" w:lineRule="exact"/>
              <w:jc w:val="center"/>
              <w:rPr>
                <w:rFonts w:ascii="Times New Roman" w:hAnsi="Times New Roman" w:cs="Times New Roman"/>
                <w:b/>
                <w:color w:val="auto"/>
                <w:sz w:val="15"/>
                <w:szCs w:val="15"/>
              </w:rPr>
            </w:pPr>
            <w:r>
              <w:rPr>
                <w:rFonts w:ascii="Times New Roman" w:hAnsi="Times New Roman" w:cs="Times New Roman"/>
                <w:b/>
                <w:color w:val="auto"/>
                <w:sz w:val="15"/>
                <w:szCs w:val="15"/>
              </w:rPr>
              <w:t>建设性质</w:t>
            </w:r>
          </w:p>
        </w:tc>
        <w:tc>
          <w:tcPr>
            <w:tcW w:w="2992" w:type="dxa"/>
            <w:gridSpan w:val="3"/>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hint="default" w:ascii="Times New Roman" w:hAnsi="Times New Roman" w:cs="Times New Roman"/>
                <w:b/>
                <w:color w:val="auto"/>
                <w:sz w:val="15"/>
                <w:szCs w:val="15"/>
              </w:rPr>
              <w:sym w:font="Wingdings 2" w:char="0052"/>
            </w:r>
            <w:r>
              <w:rPr>
                <w:rFonts w:ascii="Times New Roman" w:hAnsi="Times New Roman" w:cs="Times New Roman"/>
                <w:b/>
                <w:color w:val="auto"/>
                <w:sz w:val="15"/>
                <w:szCs w:val="15"/>
              </w:rPr>
              <w:t xml:space="preserve">新建  </w:t>
            </w:r>
            <w:r>
              <w:rPr>
                <w:rFonts w:ascii="Times New Roman" w:hAnsi="Times New Roman" w:cs="Times New Roman"/>
                <w:b/>
                <w:color w:val="auto"/>
                <w:sz w:val="15"/>
                <w:szCs w:val="15"/>
              </w:rPr>
              <w:sym w:font="Wingdings 2" w:char="00A3"/>
            </w:r>
            <w:r>
              <w:rPr>
                <w:rFonts w:ascii="Times New Roman" w:hAnsi="Times New Roman" w:cs="Times New Roman"/>
                <w:b/>
                <w:color w:val="auto"/>
                <w:sz w:val="15"/>
                <w:szCs w:val="15"/>
              </w:rPr>
              <w:t xml:space="preserve"> 改扩建  □技术改造</w:t>
            </w:r>
          </w:p>
        </w:tc>
        <w:tc>
          <w:tcPr>
            <w:tcW w:w="1134" w:type="dxa"/>
            <w:gridSpan w:val="2"/>
            <w:tcMar>
              <w:left w:w="57" w:type="dxa"/>
              <w:right w:w="57" w:type="dxa"/>
            </w:tcMar>
            <w:vAlign w:val="center"/>
          </w:tcPr>
          <w:p>
            <w:pPr>
              <w:spacing w:line="200" w:lineRule="exact"/>
              <w:jc w:val="center"/>
              <w:rPr>
                <w:rFonts w:ascii="Times New Roman" w:hAnsi="Times New Roman" w:cs="Times New Roman"/>
                <w:b/>
                <w:color w:val="auto"/>
                <w:sz w:val="15"/>
                <w:szCs w:val="15"/>
              </w:rPr>
            </w:pPr>
            <w:r>
              <w:rPr>
                <w:rFonts w:hint="default" w:ascii="Times New Roman" w:hAnsi="Times New Roman" w:cs="Times New Roman"/>
                <w:b/>
                <w:color w:val="auto"/>
                <w:sz w:val="15"/>
                <w:szCs w:val="15"/>
              </w:rPr>
              <w:t>项目厂区中心经度/纬度</w:t>
            </w:r>
          </w:p>
        </w:tc>
        <w:tc>
          <w:tcPr>
            <w:tcW w:w="1670" w:type="dxa"/>
            <w:gridSpan w:val="2"/>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hint="default" w:ascii="Times New Roman" w:hAnsi="Times New Roman" w:cs="Times New Roman"/>
                <w:color w:val="auto"/>
                <w:sz w:val="15"/>
                <w:szCs w:val="15"/>
              </w:rPr>
              <w:t>东经113.249101052，北纬29.5060111442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26" w:hRule="atLeast"/>
          <w:jc w:val="center"/>
        </w:trPr>
        <w:tc>
          <w:tcPr>
            <w:tcW w:w="431" w:type="dxa"/>
            <w:vMerge w:val="continue"/>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973" w:type="dxa"/>
            <w:gridSpan w:val="3"/>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ascii="Times New Roman" w:hAnsi="Times New Roman" w:cs="Times New Roman"/>
                <w:b/>
                <w:color w:val="auto"/>
                <w:sz w:val="15"/>
                <w:szCs w:val="15"/>
              </w:rPr>
              <w:t>设计生产能力</w:t>
            </w:r>
          </w:p>
        </w:tc>
        <w:tc>
          <w:tcPr>
            <w:tcW w:w="5666" w:type="dxa"/>
            <w:gridSpan w:val="6"/>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hint="default" w:ascii="Times New Roman" w:hAnsi="Times New Roman" w:cs="Times New Roman"/>
                <w:color w:val="auto"/>
                <w:sz w:val="15"/>
                <w:szCs w:val="15"/>
              </w:rPr>
              <w:t xml:space="preserve"> 产品总规模为12.6kt/a特种胺，共有DMP-30生产线1条、PPA固化剂生产线2条、改性胺固化剂生产线1条、聚酰胺固化剂生产线1条</w:t>
            </w:r>
          </w:p>
        </w:tc>
        <w:tc>
          <w:tcPr>
            <w:tcW w:w="2111" w:type="dxa"/>
            <w:gridSpan w:val="2"/>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ascii="Times New Roman" w:hAnsi="Times New Roman" w:cs="Times New Roman"/>
                <w:b/>
                <w:color w:val="auto"/>
                <w:sz w:val="15"/>
                <w:szCs w:val="15"/>
              </w:rPr>
              <w:t>实际生产能力</w:t>
            </w:r>
          </w:p>
        </w:tc>
        <w:tc>
          <w:tcPr>
            <w:tcW w:w="1433" w:type="dxa"/>
            <w:tcMar>
              <w:left w:w="57" w:type="dxa"/>
              <w:right w:w="57" w:type="dxa"/>
            </w:tcMar>
            <w:vAlign w:val="center"/>
          </w:tcPr>
          <w:p>
            <w:pPr>
              <w:spacing w:line="200" w:lineRule="exact"/>
              <w:jc w:val="center"/>
              <w:rPr>
                <w:rFonts w:ascii="Times New Roman" w:hAnsi="Times New Roman" w:cs="Times New Roman"/>
                <w:b/>
                <w:color w:val="auto"/>
                <w:sz w:val="15"/>
                <w:szCs w:val="15"/>
              </w:rPr>
            </w:pPr>
          </w:p>
        </w:tc>
        <w:tc>
          <w:tcPr>
            <w:tcW w:w="1559" w:type="dxa"/>
            <w:gridSpan w:val="2"/>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ascii="Times New Roman" w:hAnsi="Times New Roman" w:cs="Times New Roman"/>
                <w:b/>
                <w:color w:val="auto"/>
                <w:sz w:val="15"/>
                <w:szCs w:val="15"/>
              </w:rPr>
              <w:t>环评单位</w:t>
            </w:r>
          </w:p>
        </w:tc>
        <w:tc>
          <w:tcPr>
            <w:tcW w:w="2804" w:type="dxa"/>
            <w:gridSpan w:val="4"/>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hint="default" w:ascii="Times New Roman" w:hAnsi="Times New Roman" w:cs="Times New Roman"/>
                <w:color w:val="auto"/>
                <w:sz w:val="15"/>
                <w:szCs w:val="15"/>
              </w:rPr>
              <w:t>湖南博咨环境技术咨询服务有限公司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15" w:hRule="atLeast"/>
          <w:jc w:val="center"/>
        </w:trPr>
        <w:tc>
          <w:tcPr>
            <w:tcW w:w="431" w:type="dxa"/>
            <w:vMerge w:val="continue"/>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973" w:type="dxa"/>
            <w:gridSpan w:val="3"/>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ascii="Times New Roman" w:hAnsi="Times New Roman" w:cs="Times New Roman"/>
                <w:b/>
                <w:color w:val="auto"/>
                <w:sz w:val="15"/>
                <w:szCs w:val="15"/>
              </w:rPr>
              <w:t>环评文件审批机关</w:t>
            </w:r>
          </w:p>
        </w:tc>
        <w:tc>
          <w:tcPr>
            <w:tcW w:w="5666" w:type="dxa"/>
            <w:gridSpan w:val="6"/>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hint="default" w:ascii="Times New Roman" w:hAnsi="Times New Roman" w:cs="Times New Roman"/>
                <w:color w:val="auto"/>
                <w:sz w:val="15"/>
                <w:szCs w:val="15"/>
              </w:rPr>
              <w:t>岳阳市生态环境局</w:t>
            </w:r>
          </w:p>
        </w:tc>
        <w:tc>
          <w:tcPr>
            <w:tcW w:w="2111" w:type="dxa"/>
            <w:gridSpan w:val="2"/>
            <w:tcMar>
              <w:left w:w="57" w:type="dxa"/>
              <w:right w:w="57" w:type="dxa"/>
            </w:tcMar>
            <w:vAlign w:val="center"/>
          </w:tcPr>
          <w:p>
            <w:pPr>
              <w:spacing w:line="200" w:lineRule="exact"/>
              <w:jc w:val="center"/>
              <w:rPr>
                <w:rFonts w:ascii="Times New Roman" w:hAnsi="Times New Roman" w:cs="Times New Roman"/>
                <w:b/>
                <w:color w:val="auto"/>
                <w:sz w:val="15"/>
                <w:szCs w:val="15"/>
              </w:rPr>
            </w:pPr>
            <w:r>
              <w:rPr>
                <w:rFonts w:ascii="Times New Roman" w:hAnsi="Times New Roman" w:cs="Times New Roman"/>
                <w:b/>
                <w:color w:val="auto"/>
                <w:sz w:val="15"/>
                <w:szCs w:val="15"/>
              </w:rPr>
              <w:t>审批文号</w:t>
            </w:r>
          </w:p>
        </w:tc>
        <w:tc>
          <w:tcPr>
            <w:tcW w:w="1433" w:type="dxa"/>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hint="default" w:ascii="Times New Roman" w:hAnsi="Times New Roman" w:cs="Times New Roman"/>
                <w:color w:val="auto"/>
                <w:sz w:val="15"/>
                <w:szCs w:val="15"/>
              </w:rPr>
              <w:t>（文号：岳环评〔2019〕104号）</w:t>
            </w:r>
          </w:p>
        </w:tc>
        <w:tc>
          <w:tcPr>
            <w:tcW w:w="1559" w:type="dxa"/>
            <w:gridSpan w:val="2"/>
            <w:tcMar>
              <w:left w:w="57" w:type="dxa"/>
              <w:right w:w="57" w:type="dxa"/>
            </w:tcMar>
            <w:vAlign w:val="center"/>
          </w:tcPr>
          <w:p>
            <w:pPr>
              <w:spacing w:line="200" w:lineRule="exact"/>
              <w:jc w:val="center"/>
              <w:rPr>
                <w:rFonts w:ascii="Times New Roman" w:hAnsi="Times New Roman" w:cs="Times New Roman"/>
                <w:b/>
                <w:color w:val="auto"/>
                <w:sz w:val="15"/>
                <w:szCs w:val="15"/>
              </w:rPr>
            </w:pPr>
            <w:r>
              <w:rPr>
                <w:rFonts w:hint="default" w:ascii="Times New Roman" w:hAnsi="Times New Roman" w:cs="Times New Roman"/>
                <w:b/>
                <w:color w:val="auto"/>
                <w:sz w:val="15"/>
                <w:szCs w:val="15"/>
              </w:rPr>
              <w:t>环评</w:t>
            </w:r>
            <w:r>
              <w:rPr>
                <w:rFonts w:ascii="Times New Roman" w:hAnsi="Times New Roman" w:cs="Times New Roman"/>
                <w:b/>
                <w:color w:val="auto"/>
                <w:sz w:val="15"/>
                <w:szCs w:val="15"/>
              </w:rPr>
              <w:t>文件</w:t>
            </w:r>
            <w:r>
              <w:rPr>
                <w:rFonts w:hint="default" w:ascii="Times New Roman" w:hAnsi="Times New Roman" w:cs="Times New Roman"/>
                <w:b/>
                <w:color w:val="auto"/>
                <w:sz w:val="15"/>
                <w:szCs w:val="15"/>
              </w:rPr>
              <w:t>类型</w:t>
            </w:r>
          </w:p>
        </w:tc>
        <w:tc>
          <w:tcPr>
            <w:tcW w:w="2804" w:type="dxa"/>
            <w:gridSpan w:val="4"/>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hint="default" w:ascii="Times New Roman" w:hAnsi="Times New Roman" w:cs="Times New Roman"/>
                <w:color w:val="auto"/>
                <w:sz w:val="15"/>
                <w:szCs w:val="15"/>
              </w:rPr>
              <w:t>环境影响报告书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26" w:hRule="atLeast"/>
          <w:jc w:val="center"/>
        </w:trPr>
        <w:tc>
          <w:tcPr>
            <w:tcW w:w="431" w:type="dxa"/>
            <w:vMerge w:val="continue"/>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973" w:type="dxa"/>
            <w:gridSpan w:val="3"/>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ascii="Times New Roman" w:hAnsi="Times New Roman" w:cs="Times New Roman"/>
                <w:b/>
                <w:color w:val="auto"/>
                <w:sz w:val="15"/>
                <w:szCs w:val="15"/>
              </w:rPr>
              <w:t>开工日期</w:t>
            </w:r>
          </w:p>
        </w:tc>
        <w:tc>
          <w:tcPr>
            <w:tcW w:w="5666" w:type="dxa"/>
            <w:gridSpan w:val="6"/>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hint="default" w:ascii="Times New Roman" w:hAnsi="Times New Roman" w:cs="Times New Roman"/>
                <w:color w:val="auto"/>
                <w:sz w:val="15"/>
                <w:szCs w:val="15"/>
              </w:rPr>
              <w:t>2</w:t>
            </w:r>
            <w:r>
              <w:rPr>
                <w:rFonts w:ascii="Times New Roman" w:hAnsi="Times New Roman" w:cs="Times New Roman"/>
                <w:color w:val="auto"/>
                <w:sz w:val="15"/>
                <w:szCs w:val="15"/>
              </w:rPr>
              <w:t>02</w:t>
            </w:r>
            <w:r>
              <w:rPr>
                <w:rFonts w:hint="default" w:ascii="Times New Roman" w:hAnsi="Times New Roman" w:cs="Times New Roman"/>
                <w:color w:val="auto"/>
                <w:sz w:val="15"/>
                <w:szCs w:val="15"/>
              </w:rPr>
              <w:t>0年10月</w:t>
            </w:r>
          </w:p>
        </w:tc>
        <w:tc>
          <w:tcPr>
            <w:tcW w:w="2111" w:type="dxa"/>
            <w:gridSpan w:val="2"/>
            <w:tcMar>
              <w:left w:w="57" w:type="dxa"/>
              <w:right w:w="57" w:type="dxa"/>
            </w:tcMar>
            <w:vAlign w:val="center"/>
          </w:tcPr>
          <w:p>
            <w:pPr>
              <w:spacing w:line="200" w:lineRule="exact"/>
              <w:jc w:val="center"/>
              <w:rPr>
                <w:rFonts w:ascii="Times New Roman" w:hAnsi="Times New Roman" w:cs="Times New Roman"/>
                <w:b/>
                <w:color w:val="auto"/>
                <w:sz w:val="15"/>
                <w:szCs w:val="15"/>
              </w:rPr>
            </w:pPr>
            <w:r>
              <w:rPr>
                <w:rFonts w:ascii="Times New Roman" w:hAnsi="Times New Roman" w:cs="Times New Roman"/>
                <w:b/>
                <w:color w:val="auto"/>
                <w:sz w:val="15"/>
                <w:szCs w:val="15"/>
              </w:rPr>
              <w:t>竣工日期</w:t>
            </w:r>
          </w:p>
        </w:tc>
        <w:tc>
          <w:tcPr>
            <w:tcW w:w="1433" w:type="dxa"/>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hint="default" w:ascii="Times New Roman" w:hAnsi="Times New Roman" w:cs="Times New Roman"/>
                <w:color w:val="auto"/>
                <w:sz w:val="15"/>
                <w:szCs w:val="15"/>
              </w:rPr>
              <w:t>2</w:t>
            </w:r>
            <w:r>
              <w:rPr>
                <w:rFonts w:ascii="Times New Roman" w:hAnsi="Times New Roman" w:cs="Times New Roman"/>
                <w:color w:val="auto"/>
                <w:sz w:val="15"/>
                <w:szCs w:val="15"/>
              </w:rPr>
              <w:t>021</w:t>
            </w:r>
            <w:r>
              <w:rPr>
                <w:rFonts w:hint="default" w:ascii="Times New Roman" w:hAnsi="Times New Roman" w:cs="Times New Roman"/>
                <w:color w:val="auto"/>
                <w:sz w:val="15"/>
                <w:szCs w:val="15"/>
              </w:rPr>
              <w:t>年</w:t>
            </w:r>
            <w:r>
              <w:rPr>
                <w:rFonts w:ascii="Times New Roman" w:hAnsi="Times New Roman" w:cs="Times New Roman"/>
                <w:color w:val="auto"/>
                <w:sz w:val="15"/>
                <w:szCs w:val="15"/>
              </w:rPr>
              <w:t>10</w:t>
            </w:r>
            <w:r>
              <w:rPr>
                <w:rFonts w:hint="default" w:ascii="Times New Roman" w:hAnsi="Times New Roman" w:cs="Times New Roman"/>
                <w:color w:val="auto"/>
                <w:sz w:val="15"/>
                <w:szCs w:val="15"/>
              </w:rPr>
              <w:t>月</w:t>
            </w:r>
          </w:p>
        </w:tc>
        <w:tc>
          <w:tcPr>
            <w:tcW w:w="1559" w:type="dxa"/>
            <w:gridSpan w:val="2"/>
            <w:tcMar>
              <w:left w:w="57" w:type="dxa"/>
              <w:right w:w="57" w:type="dxa"/>
            </w:tcMar>
            <w:vAlign w:val="center"/>
          </w:tcPr>
          <w:p>
            <w:pPr>
              <w:spacing w:line="200" w:lineRule="exact"/>
              <w:jc w:val="center"/>
              <w:rPr>
                <w:rFonts w:ascii="Times New Roman" w:hAnsi="Times New Roman" w:cs="Times New Roman"/>
                <w:b/>
                <w:color w:val="auto"/>
                <w:sz w:val="15"/>
                <w:szCs w:val="15"/>
              </w:rPr>
            </w:pPr>
            <w:r>
              <w:rPr>
                <w:rFonts w:hint="default" w:ascii="Times New Roman" w:hAnsi="Times New Roman" w:cs="Times New Roman"/>
                <w:b/>
                <w:color w:val="auto"/>
                <w:sz w:val="15"/>
                <w:szCs w:val="15"/>
              </w:rPr>
              <w:t>排污许可证申领时间</w:t>
            </w:r>
          </w:p>
        </w:tc>
        <w:tc>
          <w:tcPr>
            <w:tcW w:w="2804" w:type="dxa"/>
            <w:gridSpan w:val="4"/>
            <w:tcMar>
              <w:left w:w="57" w:type="dxa"/>
              <w:right w:w="57" w:type="dxa"/>
            </w:tcMar>
            <w:vAlign w:val="center"/>
          </w:tcPr>
          <w:p>
            <w:pPr>
              <w:spacing w:line="200" w:lineRule="exact"/>
              <w:jc w:val="center"/>
              <w:rPr>
                <w:rFonts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2</w:t>
            </w:r>
            <w:r>
              <w:rPr>
                <w:rFonts w:ascii="Times New Roman" w:hAnsi="Times New Roman" w:cs="Times New Roman"/>
                <w:color w:val="auto"/>
                <w:sz w:val="15"/>
                <w:szCs w:val="15"/>
                <w:highlight w:val="none"/>
              </w:rPr>
              <w:t>021</w:t>
            </w:r>
            <w:r>
              <w:rPr>
                <w:rFonts w:hint="default" w:ascii="Times New Roman" w:hAnsi="Times New Roman" w:cs="Times New Roman"/>
                <w:color w:val="auto"/>
                <w:sz w:val="15"/>
                <w:szCs w:val="15"/>
                <w:highlight w:val="none"/>
              </w:rPr>
              <w:t>年</w:t>
            </w:r>
            <w:r>
              <w:rPr>
                <w:rFonts w:hint="eastAsia" w:ascii="Times New Roman" w:hAnsi="Times New Roman" w:cs="Times New Roman"/>
                <w:color w:val="auto"/>
                <w:sz w:val="15"/>
                <w:szCs w:val="15"/>
                <w:highlight w:val="none"/>
                <w:lang w:eastAsia="zh-CN"/>
              </w:rPr>
              <w:t>1</w:t>
            </w:r>
            <w:r>
              <w:rPr>
                <w:rFonts w:hint="eastAsia" w:ascii="Times New Roman" w:hAnsi="Times New Roman" w:cs="Times New Roman"/>
                <w:color w:val="auto"/>
                <w:sz w:val="15"/>
                <w:szCs w:val="15"/>
                <w:highlight w:val="none"/>
                <w:lang w:val="en-US" w:eastAsia="zh-CN"/>
              </w:rPr>
              <w:t>0</w:t>
            </w:r>
            <w:r>
              <w:rPr>
                <w:rFonts w:hint="default" w:ascii="Times New Roman" w:hAnsi="Times New Roman" w:cs="Times New Roman"/>
                <w:color w:val="auto"/>
                <w:sz w:val="15"/>
                <w:szCs w:val="15"/>
                <w:highlight w:val="none"/>
              </w:rPr>
              <w:t>月</w:t>
            </w:r>
            <w:r>
              <w:rPr>
                <w:rFonts w:hint="eastAsia" w:ascii="Times New Roman" w:hAnsi="Times New Roman" w:cs="Times New Roman"/>
                <w:color w:val="auto"/>
                <w:sz w:val="15"/>
                <w:szCs w:val="15"/>
                <w:highlight w:val="none"/>
                <w:lang w:eastAsia="zh-CN"/>
              </w:rPr>
              <w:t>2</w:t>
            </w:r>
            <w:r>
              <w:rPr>
                <w:rFonts w:hint="eastAsia" w:ascii="Times New Roman" w:hAnsi="Times New Roman" w:cs="Times New Roman"/>
                <w:color w:val="auto"/>
                <w:sz w:val="15"/>
                <w:szCs w:val="15"/>
                <w:highlight w:val="none"/>
                <w:lang w:val="en-US" w:eastAsia="zh-CN"/>
              </w:rPr>
              <w:t>5</w:t>
            </w:r>
            <w:r>
              <w:rPr>
                <w:rFonts w:hint="default" w:ascii="Times New Roman" w:hAnsi="Times New Roman" w:cs="Times New Roman"/>
                <w:color w:val="auto"/>
                <w:sz w:val="15"/>
                <w:szCs w:val="15"/>
                <w:highlight w:val="none"/>
              </w:rPr>
              <w:t>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70" w:hRule="atLeast"/>
          <w:jc w:val="center"/>
        </w:trPr>
        <w:tc>
          <w:tcPr>
            <w:tcW w:w="431" w:type="dxa"/>
            <w:vMerge w:val="continue"/>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973" w:type="dxa"/>
            <w:gridSpan w:val="3"/>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ascii="Times New Roman" w:hAnsi="Times New Roman" w:cs="Times New Roman"/>
                <w:b/>
                <w:color w:val="auto"/>
                <w:sz w:val="15"/>
                <w:szCs w:val="15"/>
              </w:rPr>
              <w:t>环保设施设计单位</w:t>
            </w:r>
          </w:p>
        </w:tc>
        <w:tc>
          <w:tcPr>
            <w:tcW w:w="5666" w:type="dxa"/>
            <w:gridSpan w:val="6"/>
            <w:tcMar>
              <w:left w:w="57" w:type="dxa"/>
              <w:right w:w="57" w:type="dxa"/>
            </w:tcMar>
            <w:vAlign w:val="center"/>
          </w:tcPr>
          <w:p>
            <w:pPr>
              <w:spacing w:line="200" w:lineRule="exact"/>
              <w:jc w:val="center"/>
              <w:rPr>
                <w:rFonts w:ascii="Times New Roman" w:hAnsi="Times New Roman" w:cs="Times New Roman"/>
                <w:b/>
                <w:color w:val="auto"/>
                <w:sz w:val="15"/>
                <w:szCs w:val="15"/>
              </w:rPr>
            </w:pPr>
            <w:r>
              <w:rPr>
                <w:rFonts w:hint="default" w:ascii="Times New Roman" w:hAnsi="Times New Roman" w:cs="Times New Roman"/>
                <w:color w:val="auto"/>
                <w:sz w:val="15"/>
                <w:szCs w:val="15"/>
              </w:rPr>
              <w:t>/</w:t>
            </w:r>
          </w:p>
        </w:tc>
        <w:tc>
          <w:tcPr>
            <w:tcW w:w="2111" w:type="dxa"/>
            <w:gridSpan w:val="2"/>
            <w:tcMar>
              <w:left w:w="57" w:type="dxa"/>
              <w:right w:w="57" w:type="dxa"/>
            </w:tcMar>
            <w:vAlign w:val="center"/>
          </w:tcPr>
          <w:p>
            <w:pPr>
              <w:spacing w:line="200" w:lineRule="exact"/>
              <w:jc w:val="center"/>
              <w:rPr>
                <w:rFonts w:ascii="Times New Roman" w:hAnsi="Times New Roman" w:cs="Times New Roman"/>
                <w:b/>
                <w:color w:val="auto"/>
                <w:sz w:val="15"/>
                <w:szCs w:val="15"/>
              </w:rPr>
            </w:pPr>
            <w:r>
              <w:rPr>
                <w:rFonts w:ascii="Times New Roman" w:hAnsi="Times New Roman" w:cs="Times New Roman"/>
                <w:b/>
                <w:color w:val="auto"/>
                <w:sz w:val="15"/>
                <w:szCs w:val="15"/>
              </w:rPr>
              <w:t>环保设施施工单位</w:t>
            </w:r>
          </w:p>
        </w:tc>
        <w:tc>
          <w:tcPr>
            <w:tcW w:w="1433" w:type="dxa"/>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hint="default" w:ascii="Times New Roman" w:hAnsi="Times New Roman" w:cs="Times New Roman"/>
                <w:color w:val="auto"/>
                <w:sz w:val="15"/>
                <w:szCs w:val="15"/>
              </w:rPr>
              <w:t>/</w:t>
            </w:r>
          </w:p>
        </w:tc>
        <w:tc>
          <w:tcPr>
            <w:tcW w:w="1559" w:type="dxa"/>
            <w:gridSpan w:val="2"/>
            <w:tcMar>
              <w:left w:w="57" w:type="dxa"/>
              <w:right w:w="57" w:type="dxa"/>
            </w:tcMar>
            <w:vAlign w:val="center"/>
          </w:tcPr>
          <w:p>
            <w:pPr>
              <w:spacing w:line="200" w:lineRule="exact"/>
              <w:jc w:val="center"/>
              <w:rPr>
                <w:rFonts w:ascii="Times New Roman" w:hAnsi="Times New Roman" w:cs="Times New Roman"/>
                <w:b/>
                <w:color w:val="auto"/>
                <w:sz w:val="15"/>
                <w:szCs w:val="15"/>
              </w:rPr>
            </w:pPr>
            <w:r>
              <w:rPr>
                <w:rFonts w:hint="default" w:ascii="Times New Roman" w:hAnsi="Times New Roman" w:cs="Times New Roman"/>
                <w:b/>
                <w:color w:val="auto"/>
                <w:sz w:val="15"/>
                <w:szCs w:val="15"/>
              </w:rPr>
              <w:t>本工程排污许可证</w:t>
            </w:r>
            <w:r>
              <w:rPr>
                <w:rFonts w:ascii="Times New Roman" w:hAnsi="Times New Roman" w:cs="Times New Roman"/>
                <w:b/>
                <w:color w:val="auto"/>
                <w:sz w:val="15"/>
                <w:szCs w:val="15"/>
              </w:rPr>
              <w:t>编号</w:t>
            </w:r>
          </w:p>
        </w:tc>
        <w:tc>
          <w:tcPr>
            <w:tcW w:w="2804" w:type="dxa"/>
            <w:gridSpan w:val="4"/>
            <w:tcMar>
              <w:left w:w="57" w:type="dxa"/>
              <w:right w:w="57" w:type="dxa"/>
            </w:tcMar>
            <w:vAlign w:val="center"/>
          </w:tcPr>
          <w:p>
            <w:pPr>
              <w:spacing w:line="200" w:lineRule="exact"/>
              <w:jc w:val="center"/>
              <w:rPr>
                <w:rFonts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914306037506052529001V</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73" w:hRule="atLeast"/>
          <w:jc w:val="center"/>
        </w:trPr>
        <w:tc>
          <w:tcPr>
            <w:tcW w:w="431" w:type="dxa"/>
            <w:vMerge w:val="continue"/>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973" w:type="dxa"/>
            <w:gridSpan w:val="3"/>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ascii="Times New Roman" w:hAnsi="Times New Roman" w:cs="Times New Roman"/>
                <w:b/>
                <w:color w:val="auto"/>
                <w:sz w:val="15"/>
                <w:szCs w:val="15"/>
              </w:rPr>
              <w:t>验收单位</w:t>
            </w:r>
          </w:p>
        </w:tc>
        <w:tc>
          <w:tcPr>
            <w:tcW w:w="5666" w:type="dxa"/>
            <w:gridSpan w:val="6"/>
            <w:tcMar>
              <w:left w:w="57" w:type="dxa"/>
              <w:right w:w="57" w:type="dxa"/>
            </w:tcMar>
            <w:vAlign w:val="center"/>
          </w:tcPr>
          <w:p>
            <w:pPr>
              <w:spacing w:line="200" w:lineRule="exact"/>
              <w:jc w:val="center"/>
              <w:rPr>
                <w:rFonts w:ascii="Times New Roman" w:hAnsi="Times New Roman" w:cs="Times New Roman"/>
                <w:b/>
                <w:color w:val="auto"/>
                <w:szCs w:val="15"/>
              </w:rPr>
            </w:pPr>
            <w:r>
              <w:rPr>
                <w:rFonts w:hint="default" w:ascii="Times New Roman" w:hAnsi="Times New Roman" w:cs="Times New Roman"/>
                <w:color w:val="auto"/>
                <w:sz w:val="15"/>
                <w:szCs w:val="15"/>
              </w:rPr>
              <w:t>自行验收</w:t>
            </w:r>
          </w:p>
        </w:tc>
        <w:tc>
          <w:tcPr>
            <w:tcW w:w="2111" w:type="dxa"/>
            <w:gridSpan w:val="2"/>
            <w:tcMar>
              <w:left w:w="57" w:type="dxa"/>
              <w:right w:w="57" w:type="dxa"/>
            </w:tcMar>
            <w:vAlign w:val="center"/>
          </w:tcPr>
          <w:p>
            <w:pPr>
              <w:spacing w:line="200" w:lineRule="exact"/>
              <w:jc w:val="center"/>
              <w:rPr>
                <w:rFonts w:ascii="Times New Roman" w:hAnsi="Times New Roman" w:cs="Times New Roman"/>
                <w:b/>
                <w:color w:val="auto"/>
                <w:sz w:val="15"/>
                <w:szCs w:val="15"/>
              </w:rPr>
            </w:pPr>
            <w:r>
              <w:rPr>
                <w:rFonts w:ascii="Times New Roman" w:hAnsi="Times New Roman" w:cs="Times New Roman"/>
                <w:b/>
                <w:color w:val="auto"/>
                <w:sz w:val="15"/>
                <w:szCs w:val="15"/>
              </w:rPr>
              <w:t>环保设施监测单位</w:t>
            </w:r>
          </w:p>
        </w:tc>
        <w:tc>
          <w:tcPr>
            <w:tcW w:w="1433" w:type="dxa"/>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hint="default" w:ascii="Times New Roman" w:hAnsi="Times New Roman" w:cs="Times New Roman"/>
                <w:color w:val="auto"/>
                <w:sz w:val="15"/>
                <w:szCs w:val="15"/>
              </w:rPr>
              <w:t>/</w:t>
            </w:r>
          </w:p>
        </w:tc>
        <w:tc>
          <w:tcPr>
            <w:tcW w:w="1559" w:type="dxa"/>
            <w:gridSpan w:val="2"/>
            <w:tcMar>
              <w:left w:w="57" w:type="dxa"/>
              <w:right w:w="57" w:type="dxa"/>
            </w:tcMar>
            <w:vAlign w:val="center"/>
          </w:tcPr>
          <w:p>
            <w:pPr>
              <w:spacing w:line="200" w:lineRule="exact"/>
              <w:jc w:val="center"/>
              <w:rPr>
                <w:rFonts w:ascii="Times New Roman" w:hAnsi="Times New Roman" w:cs="Times New Roman"/>
                <w:b/>
                <w:color w:val="auto"/>
                <w:sz w:val="15"/>
                <w:szCs w:val="15"/>
              </w:rPr>
            </w:pPr>
            <w:r>
              <w:rPr>
                <w:rFonts w:ascii="Times New Roman" w:hAnsi="Times New Roman" w:cs="Times New Roman"/>
                <w:b/>
                <w:color w:val="auto"/>
                <w:sz w:val="15"/>
                <w:szCs w:val="15"/>
              </w:rPr>
              <w:t>验收监测</w:t>
            </w:r>
            <w:r>
              <w:rPr>
                <w:rFonts w:hint="default" w:ascii="Times New Roman" w:hAnsi="Times New Roman" w:cs="Times New Roman"/>
                <w:b/>
                <w:color w:val="auto"/>
                <w:sz w:val="15"/>
                <w:szCs w:val="15"/>
              </w:rPr>
              <w:t>时工况</w:t>
            </w:r>
          </w:p>
        </w:tc>
        <w:tc>
          <w:tcPr>
            <w:tcW w:w="2804" w:type="dxa"/>
            <w:gridSpan w:val="4"/>
            <w:tcMar>
              <w:left w:w="57" w:type="dxa"/>
              <w:right w:w="57" w:type="dxa"/>
            </w:tcMar>
            <w:vAlign w:val="center"/>
          </w:tcPr>
          <w:p>
            <w:pPr>
              <w:spacing w:line="200" w:lineRule="exact"/>
              <w:jc w:val="center"/>
              <w:rPr>
                <w:rFonts w:ascii="Times New Roman" w:hAnsi="Times New Roman" w:cs="Times New Roman"/>
                <w:color w:val="auto"/>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18" w:hRule="atLeast"/>
          <w:jc w:val="center"/>
        </w:trPr>
        <w:tc>
          <w:tcPr>
            <w:tcW w:w="431" w:type="dxa"/>
            <w:vMerge w:val="continue"/>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973" w:type="dxa"/>
            <w:gridSpan w:val="3"/>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ascii="Times New Roman" w:hAnsi="Times New Roman" w:cs="Times New Roman"/>
                <w:b/>
                <w:color w:val="auto"/>
                <w:sz w:val="15"/>
                <w:szCs w:val="15"/>
              </w:rPr>
              <w:t>投资总概算（万元）</w:t>
            </w:r>
          </w:p>
        </w:tc>
        <w:tc>
          <w:tcPr>
            <w:tcW w:w="5666" w:type="dxa"/>
            <w:gridSpan w:val="6"/>
            <w:tcMar>
              <w:left w:w="57" w:type="dxa"/>
              <w:right w:w="57" w:type="dxa"/>
            </w:tcMar>
            <w:vAlign w:val="center"/>
          </w:tcPr>
          <w:p>
            <w:pPr>
              <w:spacing w:line="200" w:lineRule="exact"/>
              <w:jc w:val="center"/>
              <w:rPr>
                <w:rFonts w:ascii="Times New Roman" w:hAnsi="Times New Roman" w:cs="Times New Roman"/>
                <w:b/>
                <w:color w:val="auto"/>
                <w:sz w:val="15"/>
                <w:szCs w:val="15"/>
              </w:rPr>
            </w:pPr>
            <w:r>
              <w:rPr>
                <w:rFonts w:hint="default" w:ascii="Times New Roman" w:hAnsi="Times New Roman" w:cs="Times New Roman"/>
                <w:b/>
                <w:color w:val="auto"/>
                <w:sz w:val="15"/>
                <w:szCs w:val="15"/>
              </w:rPr>
              <w:t>10125.62</w:t>
            </w:r>
          </w:p>
        </w:tc>
        <w:tc>
          <w:tcPr>
            <w:tcW w:w="2111" w:type="dxa"/>
            <w:gridSpan w:val="2"/>
            <w:tcMar>
              <w:left w:w="57" w:type="dxa"/>
              <w:right w:w="57" w:type="dxa"/>
            </w:tcMar>
            <w:vAlign w:val="center"/>
          </w:tcPr>
          <w:p>
            <w:pPr>
              <w:tabs>
                <w:tab w:val="left" w:pos="690"/>
              </w:tabs>
              <w:spacing w:line="200" w:lineRule="exact"/>
              <w:jc w:val="center"/>
              <w:rPr>
                <w:rFonts w:ascii="Times New Roman" w:hAnsi="Times New Roman" w:cs="Times New Roman"/>
                <w:color w:val="auto"/>
                <w:sz w:val="15"/>
                <w:szCs w:val="15"/>
              </w:rPr>
            </w:pPr>
            <w:r>
              <w:rPr>
                <w:rFonts w:ascii="Times New Roman" w:hAnsi="Times New Roman" w:cs="Times New Roman"/>
                <w:b/>
                <w:color w:val="auto"/>
                <w:sz w:val="15"/>
                <w:szCs w:val="15"/>
              </w:rPr>
              <w:t>环保投资总概算（万元）</w:t>
            </w:r>
          </w:p>
        </w:tc>
        <w:tc>
          <w:tcPr>
            <w:tcW w:w="1433" w:type="dxa"/>
            <w:tcMar>
              <w:left w:w="57" w:type="dxa"/>
              <w:right w:w="57" w:type="dxa"/>
            </w:tcMar>
            <w:vAlign w:val="center"/>
          </w:tcPr>
          <w:p>
            <w:pPr>
              <w:spacing w:line="200" w:lineRule="exact"/>
              <w:jc w:val="center"/>
              <w:rPr>
                <w:rFonts w:ascii="Times New Roman" w:hAnsi="Times New Roman" w:cs="Times New Roman"/>
                <w:b/>
                <w:color w:val="auto"/>
                <w:sz w:val="15"/>
                <w:szCs w:val="15"/>
              </w:rPr>
            </w:pPr>
            <w:r>
              <w:rPr>
                <w:rFonts w:hint="default" w:ascii="Times New Roman" w:hAnsi="Times New Roman" w:cs="Times New Roman"/>
                <w:color w:val="auto"/>
                <w:sz w:val="15"/>
                <w:szCs w:val="15"/>
              </w:rPr>
              <w:t>490</w:t>
            </w:r>
          </w:p>
        </w:tc>
        <w:tc>
          <w:tcPr>
            <w:tcW w:w="1559" w:type="dxa"/>
            <w:gridSpan w:val="2"/>
            <w:tcMar>
              <w:left w:w="57" w:type="dxa"/>
              <w:right w:w="57" w:type="dxa"/>
            </w:tcMar>
            <w:vAlign w:val="center"/>
          </w:tcPr>
          <w:p>
            <w:pPr>
              <w:tabs>
                <w:tab w:val="left" w:pos="690"/>
              </w:tabs>
              <w:spacing w:line="200" w:lineRule="exact"/>
              <w:jc w:val="center"/>
              <w:rPr>
                <w:rFonts w:ascii="Times New Roman" w:hAnsi="Times New Roman" w:cs="Times New Roman"/>
                <w:color w:val="auto"/>
                <w:sz w:val="15"/>
                <w:szCs w:val="15"/>
              </w:rPr>
            </w:pPr>
            <w:r>
              <w:rPr>
                <w:rFonts w:ascii="Times New Roman" w:hAnsi="Times New Roman" w:cs="Times New Roman"/>
                <w:b/>
                <w:color w:val="auto"/>
                <w:sz w:val="15"/>
                <w:szCs w:val="15"/>
              </w:rPr>
              <w:t>所占比例（%）</w:t>
            </w:r>
          </w:p>
        </w:tc>
        <w:tc>
          <w:tcPr>
            <w:tcW w:w="2804" w:type="dxa"/>
            <w:gridSpan w:val="4"/>
            <w:tcMar>
              <w:left w:w="57" w:type="dxa"/>
              <w:right w:w="57" w:type="dxa"/>
            </w:tcMar>
            <w:vAlign w:val="center"/>
          </w:tcPr>
          <w:p>
            <w:pPr>
              <w:tabs>
                <w:tab w:val="left" w:pos="690"/>
              </w:tabs>
              <w:spacing w:line="200" w:lineRule="exact"/>
              <w:jc w:val="center"/>
              <w:rPr>
                <w:rFonts w:ascii="Times New Roman" w:hAnsi="Times New Roman" w:cs="Times New Roman"/>
                <w:color w:val="auto"/>
                <w:sz w:val="15"/>
                <w:szCs w:val="15"/>
              </w:rPr>
            </w:pPr>
            <w:r>
              <w:rPr>
                <w:rFonts w:hint="default" w:ascii="Times New Roman" w:hAnsi="Times New Roman" w:cs="Times New Roman"/>
                <w:color w:val="auto"/>
                <w:sz w:val="15"/>
                <w:szCs w:val="15"/>
              </w:rPr>
              <w:t>4.84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70" w:hRule="atLeast"/>
          <w:jc w:val="center"/>
        </w:trPr>
        <w:tc>
          <w:tcPr>
            <w:tcW w:w="431" w:type="dxa"/>
            <w:vMerge w:val="continue"/>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973" w:type="dxa"/>
            <w:gridSpan w:val="3"/>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ascii="Times New Roman" w:hAnsi="Times New Roman" w:cs="Times New Roman"/>
                <w:b/>
                <w:color w:val="auto"/>
                <w:sz w:val="15"/>
                <w:szCs w:val="15"/>
              </w:rPr>
              <w:t>实际总投资</w:t>
            </w:r>
          </w:p>
        </w:tc>
        <w:tc>
          <w:tcPr>
            <w:tcW w:w="5666" w:type="dxa"/>
            <w:gridSpan w:val="6"/>
            <w:tcMar>
              <w:left w:w="57" w:type="dxa"/>
              <w:right w:w="57" w:type="dxa"/>
            </w:tcMar>
            <w:vAlign w:val="center"/>
          </w:tcPr>
          <w:p>
            <w:pPr>
              <w:spacing w:line="200" w:lineRule="exact"/>
              <w:jc w:val="center"/>
              <w:rPr>
                <w:rFonts w:hint="default" w:ascii="Times New Roman" w:hAnsi="Times New Roman" w:cs="Times New Roman" w:eastAsiaTheme="minorEastAsia"/>
                <w:color w:val="auto"/>
                <w:sz w:val="15"/>
                <w:szCs w:val="15"/>
                <w:lang w:val="en-US" w:eastAsia="zh-CN"/>
              </w:rPr>
            </w:pPr>
            <w:r>
              <w:rPr>
                <w:rFonts w:hint="eastAsia" w:ascii="Times New Roman" w:hAnsi="Times New Roman" w:cs="Times New Roman"/>
                <w:b/>
                <w:color w:val="auto"/>
                <w:sz w:val="15"/>
                <w:szCs w:val="15"/>
                <w:lang w:val="en-US" w:eastAsia="zh-CN"/>
              </w:rPr>
              <w:t>10125.62</w:t>
            </w:r>
          </w:p>
        </w:tc>
        <w:tc>
          <w:tcPr>
            <w:tcW w:w="2111" w:type="dxa"/>
            <w:gridSpan w:val="2"/>
            <w:tcMar>
              <w:left w:w="57" w:type="dxa"/>
              <w:right w:w="57" w:type="dxa"/>
            </w:tcMar>
            <w:vAlign w:val="center"/>
          </w:tcPr>
          <w:p>
            <w:pPr>
              <w:spacing w:line="200" w:lineRule="exact"/>
              <w:ind w:right="300"/>
              <w:jc w:val="center"/>
              <w:rPr>
                <w:rFonts w:ascii="Times New Roman" w:hAnsi="Times New Roman" w:cs="Times New Roman"/>
                <w:b/>
                <w:color w:val="auto"/>
                <w:sz w:val="15"/>
                <w:szCs w:val="15"/>
              </w:rPr>
            </w:pPr>
            <w:r>
              <w:rPr>
                <w:rFonts w:ascii="Times New Roman" w:hAnsi="Times New Roman" w:cs="Times New Roman"/>
                <w:b/>
                <w:color w:val="auto"/>
                <w:sz w:val="15"/>
                <w:szCs w:val="15"/>
              </w:rPr>
              <w:t>实际环保投资（万元）</w:t>
            </w:r>
          </w:p>
        </w:tc>
        <w:tc>
          <w:tcPr>
            <w:tcW w:w="1433" w:type="dxa"/>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hint="default" w:ascii="Times New Roman" w:hAnsi="Times New Roman" w:cs="Times New Roman"/>
                <w:color w:val="auto"/>
                <w:sz w:val="15"/>
                <w:szCs w:val="15"/>
              </w:rPr>
              <w:t>490</w:t>
            </w:r>
          </w:p>
        </w:tc>
        <w:tc>
          <w:tcPr>
            <w:tcW w:w="1559" w:type="dxa"/>
            <w:gridSpan w:val="2"/>
            <w:tcMar>
              <w:left w:w="57" w:type="dxa"/>
              <w:right w:w="57" w:type="dxa"/>
            </w:tcMar>
            <w:vAlign w:val="center"/>
          </w:tcPr>
          <w:p>
            <w:pPr>
              <w:spacing w:line="200" w:lineRule="exact"/>
              <w:jc w:val="center"/>
              <w:rPr>
                <w:rFonts w:ascii="Times New Roman" w:hAnsi="Times New Roman" w:cs="Times New Roman"/>
                <w:b/>
                <w:color w:val="auto"/>
                <w:sz w:val="15"/>
                <w:szCs w:val="15"/>
              </w:rPr>
            </w:pPr>
            <w:r>
              <w:rPr>
                <w:rFonts w:ascii="Times New Roman" w:hAnsi="Times New Roman" w:cs="Times New Roman"/>
                <w:b/>
                <w:color w:val="auto"/>
                <w:sz w:val="15"/>
                <w:szCs w:val="15"/>
              </w:rPr>
              <w:t>所占比例（%）</w:t>
            </w:r>
          </w:p>
        </w:tc>
        <w:tc>
          <w:tcPr>
            <w:tcW w:w="2804" w:type="dxa"/>
            <w:gridSpan w:val="4"/>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hint="default" w:ascii="Times New Roman" w:hAnsi="Times New Roman" w:cs="Times New Roman"/>
                <w:color w:val="auto"/>
                <w:sz w:val="15"/>
                <w:szCs w:val="15"/>
              </w:rPr>
              <w:t>4.84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20" w:hRule="atLeast"/>
          <w:jc w:val="center"/>
        </w:trPr>
        <w:tc>
          <w:tcPr>
            <w:tcW w:w="431" w:type="dxa"/>
            <w:vMerge w:val="continue"/>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973" w:type="dxa"/>
            <w:gridSpan w:val="3"/>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ascii="Times New Roman" w:hAnsi="Times New Roman" w:cs="Times New Roman"/>
                <w:b/>
                <w:color w:val="auto"/>
                <w:sz w:val="15"/>
                <w:szCs w:val="15"/>
              </w:rPr>
              <w:t>废水治理（万元）</w:t>
            </w:r>
          </w:p>
        </w:tc>
        <w:tc>
          <w:tcPr>
            <w:tcW w:w="833" w:type="dxa"/>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ascii="Times New Roman" w:hAnsi="Times New Roman" w:cs="Times New Roman"/>
                <w:color w:val="auto"/>
                <w:sz w:val="15"/>
                <w:szCs w:val="15"/>
              </w:rPr>
              <w:t>/</w:t>
            </w:r>
          </w:p>
        </w:tc>
        <w:tc>
          <w:tcPr>
            <w:tcW w:w="1388" w:type="dxa"/>
            <w:tcMar>
              <w:left w:w="57" w:type="dxa"/>
              <w:right w:w="57" w:type="dxa"/>
            </w:tcMar>
            <w:vAlign w:val="center"/>
          </w:tcPr>
          <w:p>
            <w:pPr>
              <w:spacing w:line="200" w:lineRule="exact"/>
              <w:jc w:val="center"/>
              <w:rPr>
                <w:rFonts w:ascii="Times New Roman" w:hAnsi="Times New Roman" w:cs="Times New Roman"/>
                <w:b/>
                <w:color w:val="auto"/>
                <w:sz w:val="15"/>
                <w:szCs w:val="15"/>
              </w:rPr>
            </w:pPr>
            <w:r>
              <w:rPr>
                <w:rFonts w:ascii="Times New Roman" w:hAnsi="Times New Roman" w:cs="Times New Roman"/>
                <w:b/>
                <w:color w:val="auto"/>
                <w:sz w:val="15"/>
                <w:szCs w:val="15"/>
              </w:rPr>
              <w:t>废气治理（万元）</w:t>
            </w:r>
          </w:p>
        </w:tc>
        <w:tc>
          <w:tcPr>
            <w:tcW w:w="1104" w:type="dxa"/>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hint="default" w:ascii="Times New Roman" w:hAnsi="Times New Roman" w:cs="Times New Roman"/>
                <w:color w:val="auto"/>
                <w:sz w:val="15"/>
                <w:szCs w:val="15"/>
              </w:rPr>
              <w:t>211</w:t>
            </w:r>
          </w:p>
        </w:tc>
        <w:tc>
          <w:tcPr>
            <w:tcW w:w="1513" w:type="dxa"/>
            <w:gridSpan w:val="2"/>
            <w:tcMar>
              <w:left w:w="57" w:type="dxa"/>
              <w:right w:w="57" w:type="dxa"/>
            </w:tcMar>
            <w:vAlign w:val="center"/>
          </w:tcPr>
          <w:p>
            <w:pPr>
              <w:spacing w:line="200" w:lineRule="exact"/>
              <w:jc w:val="center"/>
              <w:rPr>
                <w:rFonts w:ascii="Times New Roman" w:hAnsi="Times New Roman" w:cs="Times New Roman"/>
                <w:b/>
                <w:color w:val="auto"/>
                <w:sz w:val="15"/>
                <w:szCs w:val="15"/>
              </w:rPr>
            </w:pPr>
            <w:r>
              <w:rPr>
                <w:rFonts w:ascii="Times New Roman" w:hAnsi="Times New Roman" w:cs="Times New Roman"/>
                <w:b/>
                <w:color w:val="auto"/>
                <w:sz w:val="15"/>
                <w:szCs w:val="15"/>
              </w:rPr>
              <w:t>噪声治理（万元）</w:t>
            </w:r>
          </w:p>
        </w:tc>
        <w:tc>
          <w:tcPr>
            <w:tcW w:w="828" w:type="dxa"/>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ascii="Times New Roman" w:hAnsi="Times New Roman" w:cs="Times New Roman"/>
                <w:color w:val="auto"/>
                <w:sz w:val="15"/>
                <w:szCs w:val="15"/>
              </w:rPr>
              <w:t>1</w:t>
            </w:r>
            <w:r>
              <w:rPr>
                <w:rFonts w:hint="default" w:ascii="Times New Roman" w:hAnsi="Times New Roman" w:cs="Times New Roman"/>
                <w:color w:val="auto"/>
                <w:sz w:val="15"/>
                <w:szCs w:val="15"/>
              </w:rPr>
              <w:t>0</w:t>
            </w:r>
          </w:p>
        </w:tc>
        <w:tc>
          <w:tcPr>
            <w:tcW w:w="2111" w:type="dxa"/>
            <w:gridSpan w:val="2"/>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ascii="Times New Roman" w:hAnsi="Times New Roman" w:cs="Times New Roman"/>
                <w:b/>
                <w:color w:val="auto"/>
                <w:sz w:val="15"/>
                <w:szCs w:val="15"/>
              </w:rPr>
              <w:t>固</w:t>
            </w:r>
            <w:r>
              <w:rPr>
                <w:rFonts w:hint="default" w:ascii="Times New Roman" w:hAnsi="Times New Roman" w:cs="Times New Roman"/>
                <w:b/>
                <w:color w:val="auto"/>
                <w:sz w:val="15"/>
                <w:szCs w:val="15"/>
              </w:rPr>
              <w:t>体</w:t>
            </w:r>
            <w:r>
              <w:rPr>
                <w:rFonts w:ascii="Times New Roman" w:hAnsi="Times New Roman" w:cs="Times New Roman"/>
                <w:b/>
                <w:color w:val="auto"/>
                <w:sz w:val="15"/>
                <w:szCs w:val="15"/>
              </w:rPr>
              <w:t>废</w:t>
            </w:r>
            <w:r>
              <w:rPr>
                <w:rFonts w:hint="default" w:ascii="Times New Roman" w:hAnsi="Times New Roman" w:cs="Times New Roman"/>
                <w:b/>
                <w:color w:val="auto"/>
                <w:sz w:val="15"/>
                <w:szCs w:val="15"/>
              </w:rPr>
              <w:t>物</w:t>
            </w:r>
            <w:r>
              <w:rPr>
                <w:rFonts w:ascii="Times New Roman" w:hAnsi="Times New Roman" w:cs="Times New Roman"/>
                <w:b/>
                <w:color w:val="auto"/>
                <w:sz w:val="15"/>
                <w:szCs w:val="15"/>
              </w:rPr>
              <w:t>治理（万元）</w:t>
            </w:r>
          </w:p>
        </w:tc>
        <w:tc>
          <w:tcPr>
            <w:tcW w:w="1433" w:type="dxa"/>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hint="default" w:ascii="Times New Roman" w:hAnsi="Times New Roman" w:cs="Times New Roman"/>
                <w:color w:val="auto"/>
                <w:sz w:val="15"/>
                <w:szCs w:val="15"/>
              </w:rPr>
              <w:t>10</w:t>
            </w:r>
          </w:p>
        </w:tc>
        <w:tc>
          <w:tcPr>
            <w:tcW w:w="1559" w:type="dxa"/>
            <w:gridSpan w:val="2"/>
            <w:tcMar>
              <w:left w:w="57" w:type="dxa"/>
              <w:right w:w="57" w:type="dxa"/>
            </w:tcMar>
            <w:vAlign w:val="center"/>
          </w:tcPr>
          <w:p>
            <w:pPr>
              <w:spacing w:line="200" w:lineRule="exact"/>
              <w:jc w:val="center"/>
              <w:rPr>
                <w:rFonts w:ascii="Times New Roman" w:hAnsi="Times New Roman" w:cs="Times New Roman"/>
                <w:b/>
                <w:color w:val="auto"/>
                <w:sz w:val="15"/>
                <w:szCs w:val="15"/>
              </w:rPr>
            </w:pPr>
            <w:r>
              <w:rPr>
                <w:rFonts w:ascii="Times New Roman" w:hAnsi="Times New Roman" w:cs="Times New Roman"/>
                <w:b/>
                <w:color w:val="auto"/>
                <w:sz w:val="15"/>
                <w:szCs w:val="15"/>
              </w:rPr>
              <w:t>绿化及生态（万元）</w:t>
            </w:r>
          </w:p>
        </w:tc>
        <w:tc>
          <w:tcPr>
            <w:tcW w:w="895"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109" w:type="dxa"/>
            <w:gridSpan w:val="2"/>
            <w:tcMar>
              <w:left w:w="57" w:type="dxa"/>
              <w:right w:w="57" w:type="dxa"/>
            </w:tcMar>
            <w:vAlign w:val="center"/>
          </w:tcPr>
          <w:p>
            <w:pPr>
              <w:spacing w:line="200" w:lineRule="exact"/>
              <w:jc w:val="center"/>
              <w:rPr>
                <w:rFonts w:ascii="Times New Roman" w:hAnsi="Times New Roman" w:cs="Times New Roman"/>
                <w:b/>
                <w:color w:val="auto"/>
                <w:sz w:val="15"/>
                <w:szCs w:val="15"/>
              </w:rPr>
            </w:pPr>
            <w:r>
              <w:rPr>
                <w:rFonts w:ascii="Times New Roman" w:hAnsi="Times New Roman" w:cs="Times New Roman"/>
                <w:b/>
                <w:color w:val="auto"/>
                <w:sz w:val="15"/>
                <w:szCs w:val="15"/>
              </w:rPr>
              <w:t>其</w:t>
            </w:r>
            <w:r>
              <w:rPr>
                <w:rFonts w:hint="default" w:ascii="Times New Roman" w:hAnsi="Times New Roman" w:cs="Times New Roman"/>
                <w:b/>
                <w:color w:val="auto"/>
                <w:sz w:val="15"/>
                <w:szCs w:val="15"/>
              </w:rPr>
              <w:t>他</w:t>
            </w:r>
            <w:r>
              <w:rPr>
                <w:rFonts w:ascii="Times New Roman" w:hAnsi="Times New Roman" w:cs="Times New Roman"/>
                <w:b/>
                <w:color w:val="auto"/>
                <w:sz w:val="15"/>
                <w:szCs w:val="15"/>
              </w:rPr>
              <w:t>（万元）</w:t>
            </w:r>
          </w:p>
        </w:tc>
        <w:tc>
          <w:tcPr>
            <w:tcW w:w="800" w:type="dxa"/>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hint="default" w:ascii="Times New Roman" w:hAnsi="Times New Roman" w:cs="Times New Roman"/>
                <w:color w:val="auto"/>
                <w:sz w:val="15"/>
                <w:szCs w:val="15"/>
              </w:rPr>
              <w:t>259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26" w:hRule="atLeast"/>
          <w:jc w:val="center"/>
        </w:trPr>
        <w:tc>
          <w:tcPr>
            <w:tcW w:w="431" w:type="dxa"/>
            <w:vMerge w:val="continue"/>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973" w:type="dxa"/>
            <w:gridSpan w:val="3"/>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ascii="Times New Roman" w:hAnsi="Times New Roman" w:cs="Times New Roman"/>
                <w:b/>
                <w:color w:val="auto"/>
                <w:sz w:val="15"/>
                <w:szCs w:val="15"/>
              </w:rPr>
              <w:t>新增废水处理设施能力</w:t>
            </w:r>
          </w:p>
        </w:tc>
        <w:tc>
          <w:tcPr>
            <w:tcW w:w="5666" w:type="dxa"/>
            <w:gridSpan w:val="6"/>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2111" w:type="dxa"/>
            <w:gridSpan w:val="2"/>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ascii="Times New Roman" w:hAnsi="Times New Roman" w:cs="Times New Roman"/>
                <w:b/>
                <w:color w:val="auto"/>
                <w:sz w:val="15"/>
                <w:szCs w:val="15"/>
              </w:rPr>
              <w:t>新增废气处理设施能力</w:t>
            </w:r>
          </w:p>
        </w:tc>
        <w:tc>
          <w:tcPr>
            <w:tcW w:w="1433"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559" w:type="dxa"/>
            <w:gridSpan w:val="2"/>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ascii="Times New Roman" w:hAnsi="Times New Roman" w:cs="Times New Roman"/>
                <w:b/>
                <w:color w:val="auto"/>
                <w:sz w:val="15"/>
                <w:szCs w:val="15"/>
              </w:rPr>
              <w:t>年平均工作时</w:t>
            </w:r>
          </w:p>
        </w:tc>
        <w:tc>
          <w:tcPr>
            <w:tcW w:w="2804" w:type="dxa"/>
            <w:gridSpan w:val="4"/>
            <w:tcMar>
              <w:left w:w="57" w:type="dxa"/>
              <w:right w:w="57" w:type="dxa"/>
            </w:tcMar>
            <w:vAlign w:val="center"/>
          </w:tcPr>
          <w:p>
            <w:pPr>
              <w:spacing w:line="200" w:lineRule="exact"/>
              <w:jc w:val="center"/>
              <w:rPr>
                <w:rFonts w:ascii="Times New Roman" w:hAnsi="Times New Roman" w:cs="Times New Roman"/>
                <w:color w:val="auto"/>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26" w:hRule="atLeast"/>
          <w:jc w:val="center"/>
        </w:trPr>
        <w:tc>
          <w:tcPr>
            <w:tcW w:w="2404" w:type="dxa"/>
            <w:gridSpan w:val="4"/>
            <w:tcMar>
              <w:left w:w="57" w:type="dxa"/>
              <w:right w:w="57" w:type="dxa"/>
            </w:tcMar>
            <w:vAlign w:val="center"/>
          </w:tcPr>
          <w:p>
            <w:pPr>
              <w:spacing w:line="200" w:lineRule="exact"/>
              <w:jc w:val="center"/>
              <w:rPr>
                <w:rFonts w:ascii="Times New Roman" w:hAnsi="Times New Roman" w:cs="Times New Roman"/>
                <w:b/>
                <w:color w:val="auto"/>
                <w:sz w:val="15"/>
                <w:szCs w:val="15"/>
              </w:rPr>
            </w:pPr>
            <w:r>
              <w:rPr>
                <w:rFonts w:ascii="Times New Roman" w:hAnsi="Times New Roman" w:cs="Times New Roman"/>
                <w:b/>
                <w:color w:val="auto"/>
                <w:sz w:val="15"/>
                <w:szCs w:val="15"/>
              </w:rPr>
              <w:t>运营单位</w:t>
            </w:r>
          </w:p>
        </w:tc>
        <w:tc>
          <w:tcPr>
            <w:tcW w:w="4324" w:type="dxa"/>
            <w:gridSpan w:val="4"/>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hint="default" w:ascii="Times New Roman" w:hAnsi="Times New Roman" w:cs="Times New Roman"/>
                <w:color w:val="auto"/>
                <w:sz w:val="15"/>
                <w:szCs w:val="15"/>
              </w:rPr>
              <w:t>岳阳中展科技有限公司</w:t>
            </w:r>
          </w:p>
        </w:tc>
        <w:tc>
          <w:tcPr>
            <w:tcW w:w="3453" w:type="dxa"/>
            <w:gridSpan w:val="4"/>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ascii="Times New Roman" w:hAnsi="Times New Roman" w:cs="Times New Roman"/>
                <w:b/>
                <w:color w:val="auto"/>
                <w:sz w:val="15"/>
                <w:szCs w:val="15"/>
              </w:rPr>
              <w:t>运营单位</w:t>
            </w:r>
            <w:r>
              <w:rPr>
                <w:rFonts w:hint="default" w:ascii="Times New Roman" w:hAnsi="Times New Roman" w:cs="Times New Roman"/>
                <w:b/>
                <w:color w:val="auto"/>
                <w:sz w:val="15"/>
                <w:szCs w:val="15"/>
              </w:rPr>
              <w:t>社会统一信用代码（或组织机构代码）</w:t>
            </w:r>
          </w:p>
        </w:tc>
        <w:tc>
          <w:tcPr>
            <w:tcW w:w="1433" w:type="dxa"/>
            <w:tcMar>
              <w:left w:w="57" w:type="dxa"/>
              <w:right w:w="57" w:type="dxa"/>
            </w:tcMar>
            <w:vAlign w:val="center"/>
          </w:tcPr>
          <w:p>
            <w:pPr>
              <w:spacing w:line="200" w:lineRule="exact"/>
              <w:jc w:val="center"/>
              <w:rPr>
                <w:rFonts w:ascii="Times New Roman" w:hAnsi="Times New Roman" w:cs="Times New Roman"/>
                <w:b/>
                <w:color w:val="auto"/>
                <w:sz w:val="15"/>
                <w:szCs w:val="15"/>
              </w:rPr>
            </w:pPr>
            <w:r>
              <w:rPr>
                <w:rFonts w:hint="default" w:ascii="Times New Roman" w:hAnsi="Times New Roman" w:cs="Times New Roman"/>
                <w:b/>
                <w:color w:val="auto"/>
                <w:sz w:val="15"/>
                <w:szCs w:val="15"/>
              </w:rPr>
              <w:t>914306037506052529</w:t>
            </w:r>
          </w:p>
        </w:tc>
        <w:tc>
          <w:tcPr>
            <w:tcW w:w="1559" w:type="dxa"/>
            <w:gridSpan w:val="2"/>
            <w:tcMar>
              <w:left w:w="57" w:type="dxa"/>
              <w:right w:w="57" w:type="dxa"/>
            </w:tcMar>
            <w:vAlign w:val="center"/>
          </w:tcPr>
          <w:p>
            <w:pPr>
              <w:spacing w:line="200" w:lineRule="exact"/>
              <w:jc w:val="center"/>
              <w:rPr>
                <w:rFonts w:ascii="Times New Roman" w:hAnsi="Times New Roman" w:cs="Times New Roman"/>
                <w:b/>
                <w:color w:val="auto"/>
                <w:sz w:val="15"/>
                <w:szCs w:val="15"/>
              </w:rPr>
            </w:pPr>
            <w:r>
              <w:rPr>
                <w:rFonts w:ascii="Times New Roman" w:hAnsi="Times New Roman" w:cs="Times New Roman"/>
                <w:b/>
                <w:color w:val="auto"/>
                <w:sz w:val="15"/>
                <w:szCs w:val="15"/>
              </w:rPr>
              <w:t>验收时间</w:t>
            </w:r>
          </w:p>
        </w:tc>
        <w:tc>
          <w:tcPr>
            <w:tcW w:w="2804" w:type="dxa"/>
            <w:gridSpan w:val="4"/>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ascii="Times New Roman" w:hAnsi="Times New Roman" w:cs="Times New Roman"/>
                <w:color w:val="auto"/>
                <w:sz w:val="15"/>
                <w:szCs w:val="15"/>
              </w:rPr>
              <w:t>202</w:t>
            </w:r>
            <w:r>
              <w:rPr>
                <w:rFonts w:hint="default" w:ascii="Times New Roman" w:hAnsi="Times New Roman" w:cs="Times New Roman"/>
                <w:color w:val="auto"/>
                <w:sz w:val="15"/>
                <w:szCs w:val="15"/>
              </w:rPr>
              <w:t>2</w:t>
            </w:r>
            <w:r>
              <w:rPr>
                <w:rFonts w:ascii="Times New Roman" w:hAnsi="Times New Roman" w:cs="Times New Roman"/>
                <w:color w:val="auto"/>
                <w:sz w:val="15"/>
                <w:szCs w:val="15"/>
              </w:rPr>
              <w:t>.</w:t>
            </w:r>
            <w:r>
              <w:rPr>
                <w:rFonts w:hint="default" w:ascii="Times New Roman" w:hAnsi="Times New Roman" w:cs="Times New Roman"/>
                <w:color w:val="auto"/>
                <w:sz w:val="15"/>
                <w:szCs w:val="15"/>
              </w:rPr>
              <w:t>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43" w:hRule="atLeast"/>
          <w:jc w:val="center"/>
        </w:trPr>
        <w:tc>
          <w:tcPr>
            <w:tcW w:w="599" w:type="dxa"/>
            <w:gridSpan w:val="2"/>
            <w:vMerge w:val="restart"/>
            <w:tcMar>
              <w:left w:w="57" w:type="dxa"/>
              <w:right w:w="57" w:type="dxa"/>
            </w:tcMar>
            <w:vAlign w:val="center"/>
          </w:tcPr>
          <w:p>
            <w:pPr>
              <w:spacing w:line="200" w:lineRule="exact"/>
              <w:jc w:val="center"/>
              <w:rPr>
                <w:rFonts w:ascii="Times New Roman" w:hAnsi="Times New Roman" w:eastAsia="黑体" w:cs="Times New Roman"/>
                <w:b/>
                <w:color w:val="auto"/>
                <w:spacing w:val="20"/>
                <w:sz w:val="15"/>
                <w:szCs w:val="15"/>
              </w:rPr>
            </w:pPr>
            <w:r>
              <w:rPr>
                <w:rFonts w:ascii="Times New Roman" w:hAnsi="Times New Roman" w:eastAsia="黑体" w:cs="Times New Roman"/>
                <w:b/>
                <w:color w:val="auto"/>
                <w:spacing w:val="20"/>
                <w:sz w:val="15"/>
                <w:szCs w:val="15"/>
              </w:rPr>
              <w:t>污染</w:t>
            </w:r>
          </w:p>
          <w:p>
            <w:pPr>
              <w:spacing w:line="200" w:lineRule="exact"/>
              <w:jc w:val="center"/>
              <w:rPr>
                <w:rFonts w:ascii="Times New Roman" w:hAnsi="Times New Roman" w:eastAsia="黑体" w:cs="Times New Roman"/>
                <w:b/>
                <w:color w:val="auto"/>
                <w:spacing w:val="20"/>
                <w:sz w:val="15"/>
                <w:szCs w:val="15"/>
              </w:rPr>
            </w:pPr>
            <w:r>
              <w:rPr>
                <w:rFonts w:ascii="Times New Roman" w:hAnsi="Times New Roman" w:eastAsia="黑体" w:cs="Times New Roman"/>
                <w:b/>
                <w:color w:val="auto"/>
                <w:spacing w:val="20"/>
                <w:sz w:val="15"/>
                <w:szCs w:val="15"/>
              </w:rPr>
              <w:t>物排</w:t>
            </w:r>
          </w:p>
          <w:p>
            <w:pPr>
              <w:spacing w:line="200" w:lineRule="exact"/>
              <w:jc w:val="center"/>
              <w:rPr>
                <w:rFonts w:ascii="Times New Roman" w:hAnsi="Times New Roman" w:eastAsia="黑体" w:cs="Times New Roman"/>
                <w:b/>
                <w:color w:val="auto"/>
                <w:spacing w:val="20"/>
                <w:sz w:val="15"/>
                <w:szCs w:val="15"/>
              </w:rPr>
            </w:pPr>
            <w:r>
              <w:rPr>
                <w:rFonts w:ascii="Times New Roman" w:hAnsi="Times New Roman" w:eastAsia="黑体" w:cs="Times New Roman"/>
                <w:b/>
                <w:color w:val="auto"/>
                <w:spacing w:val="20"/>
                <w:sz w:val="15"/>
                <w:szCs w:val="15"/>
              </w:rPr>
              <w:t>放达</w:t>
            </w:r>
          </w:p>
          <w:p>
            <w:pPr>
              <w:spacing w:line="200" w:lineRule="exact"/>
              <w:jc w:val="center"/>
              <w:rPr>
                <w:rFonts w:ascii="Times New Roman" w:hAnsi="Times New Roman" w:eastAsia="黑体" w:cs="Times New Roman"/>
                <w:b/>
                <w:color w:val="auto"/>
                <w:spacing w:val="20"/>
                <w:sz w:val="15"/>
                <w:szCs w:val="15"/>
              </w:rPr>
            </w:pPr>
            <w:r>
              <w:rPr>
                <w:rFonts w:ascii="Times New Roman" w:hAnsi="Times New Roman" w:eastAsia="黑体" w:cs="Times New Roman"/>
                <w:b/>
                <w:color w:val="auto"/>
                <w:spacing w:val="20"/>
                <w:sz w:val="15"/>
                <w:szCs w:val="15"/>
              </w:rPr>
              <w:t>标与</w:t>
            </w:r>
          </w:p>
          <w:p>
            <w:pPr>
              <w:spacing w:line="200" w:lineRule="exact"/>
              <w:jc w:val="center"/>
              <w:rPr>
                <w:rFonts w:ascii="Times New Roman" w:hAnsi="Times New Roman" w:eastAsia="黑体" w:cs="Times New Roman"/>
                <w:b/>
                <w:color w:val="auto"/>
                <w:spacing w:val="20"/>
                <w:sz w:val="15"/>
                <w:szCs w:val="15"/>
              </w:rPr>
            </w:pPr>
            <w:r>
              <w:rPr>
                <w:rFonts w:ascii="Times New Roman" w:hAnsi="Times New Roman" w:eastAsia="黑体" w:cs="Times New Roman"/>
                <w:b/>
                <w:color w:val="auto"/>
                <w:spacing w:val="20"/>
                <w:sz w:val="15"/>
                <w:szCs w:val="15"/>
              </w:rPr>
              <w:t>总量</w:t>
            </w:r>
          </w:p>
          <w:p>
            <w:pPr>
              <w:spacing w:line="200" w:lineRule="exact"/>
              <w:jc w:val="center"/>
              <w:rPr>
                <w:rFonts w:ascii="Times New Roman" w:hAnsi="Times New Roman" w:eastAsia="黑体" w:cs="Times New Roman"/>
                <w:b/>
                <w:color w:val="auto"/>
                <w:spacing w:val="20"/>
                <w:sz w:val="15"/>
                <w:szCs w:val="15"/>
              </w:rPr>
            </w:pPr>
            <w:r>
              <w:rPr>
                <w:rFonts w:ascii="Times New Roman" w:hAnsi="Times New Roman" w:eastAsia="黑体" w:cs="Times New Roman"/>
                <w:b/>
                <w:color w:val="auto"/>
                <w:spacing w:val="20"/>
                <w:sz w:val="15"/>
                <w:szCs w:val="15"/>
              </w:rPr>
              <w:t>控制（工</w:t>
            </w:r>
          </w:p>
          <w:p>
            <w:pPr>
              <w:spacing w:line="200" w:lineRule="exact"/>
              <w:jc w:val="center"/>
              <w:rPr>
                <w:rFonts w:ascii="Times New Roman" w:hAnsi="Times New Roman" w:eastAsia="黑体" w:cs="Times New Roman"/>
                <w:b/>
                <w:color w:val="auto"/>
                <w:spacing w:val="20"/>
                <w:sz w:val="15"/>
                <w:szCs w:val="15"/>
              </w:rPr>
            </w:pPr>
            <w:r>
              <w:rPr>
                <w:rFonts w:ascii="Times New Roman" w:hAnsi="Times New Roman" w:eastAsia="黑体" w:cs="Times New Roman"/>
                <w:b/>
                <w:color w:val="auto"/>
                <w:spacing w:val="20"/>
                <w:sz w:val="15"/>
                <w:szCs w:val="15"/>
              </w:rPr>
              <w:t>业建</w:t>
            </w:r>
          </w:p>
          <w:p>
            <w:pPr>
              <w:spacing w:line="200" w:lineRule="exact"/>
              <w:jc w:val="center"/>
              <w:rPr>
                <w:rFonts w:ascii="Times New Roman" w:hAnsi="Times New Roman" w:eastAsia="黑体" w:cs="Times New Roman"/>
                <w:b/>
                <w:color w:val="auto"/>
                <w:spacing w:val="20"/>
                <w:sz w:val="15"/>
                <w:szCs w:val="15"/>
              </w:rPr>
            </w:pPr>
            <w:r>
              <w:rPr>
                <w:rFonts w:ascii="Times New Roman" w:hAnsi="Times New Roman" w:eastAsia="黑体" w:cs="Times New Roman"/>
                <w:b/>
                <w:color w:val="auto"/>
                <w:spacing w:val="20"/>
                <w:sz w:val="15"/>
                <w:szCs w:val="15"/>
              </w:rPr>
              <w:t>设项</w:t>
            </w:r>
          </w:p>
          <w:p>
            <w:pPr>
              <w:spacing w:line="200" w:lineRule="exact"/>
              <w:jc w:val="center"/>
              <w:rPr>
                <w:rFonts w:ascii="Times New Roman" w:hAnsi="Times New Roman" w:eastAsia="黑体" w:cs="Times New Roman"/>
                <w:b/>
                <w:color w:val="auto"/>
                <w:spacing w:val="20"/>
                <w:sz w:val="15"/>
                <w:szCs w:val="15"/>
              </w:rPr>
            </w:pPr>
            <w:r>
              <w:rPr>
                <w:rFonts w:ascii="Times New Roman" w:hAnsi="Times New Roman" w:eastAsia="黑体" w:cs="Times New Roman"/>
                <w:b/>
                <w:color w:val="auto"/>
                <w:spacing w:val="20"/>
                <w:sz w:val="15"/>
                <w:szCs w:val="15"/>
              </w:rPr>
              <w:t>目详填）</w:t>
            </w:r>
          </w:p>
        </w:tc>
        <w:tc>
          <w:tcPr>
            <w:tcW w:w="1805" w:type="dxa"/>
            <w:gridSpan w:val="2"/>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ascii="Times New Roman" w:hAnsi="Times New Roman" w:cs="Times New Roman"/>
                <w:b/>
                <w:color w:val="auto"/>
                <w:sz w:val="15"/>
                <w:szCs w:val="15"/>
              </w:rPr>
              <w:t>污染物</w:t>
            </w:r>
          </w:p>
        </w:tc>
        <w:tc>
          <w:tcPr>
            <w:tcW w:w="833" w:type="dxa"/>
            <w:tcMar>
              <w:left w:w="57" w:type="dxa"/>
              <w:right w:w="57" w:type="dxa"/>
            </w:tcMar>
            <w:vAlign w:val="center"/>
          </w:tcPr>
          <w:p>
            <w:pPr>
              <w:spacing w:line="200" w:lineRule="exact"/>
              <w:jc w:val="center"/>
              <w:rPr>
                <w:rFonts w:ascii="Times New Roman" w:hAnsi="Times New Roman" w:cs="Times New Roman"/>
                <w:b/>
                <w:color w:val="auto"/>
                <w:sz w:val="15"/>
                <w:szCs w:val="15"/>
              </w:rPr>
            </w:pPr>
            <w:r>
              <w:rPr>
                <w:rFonts w:ascii="Times New Roman" w:hAnsi="Times New Roman" w:cs="Times New Roman"/>
                <w:b/>
                <w:color w:val="auto"/>
                <w:sz w:val="15"/>
                <w:szCs w:val="15"/>
              </w:rPr>
              <w:t>原有排</w:t>
            </w:r>
          </w:p>
          <w:p>
            <w:pPr>
              <w:spacing w:line="200" w:lineRule="exact"/>
              <w:jc w:val="center"/>
              <w:rPr>
                <w:rFonts w:ascii="Times New Roman" w:hAnsi="Times New Roman" w:cs="Times New Roman"/>
                <w:b/>
                <w:color w:val="auto"/>
                <w:sz w:val="15"/>
                <w:szCs w:val="15"/>
              </w:rPr>
            </w:pPr>
            <w:r>
              <w:rPr>
                <w:rFonts w:ascii="Times New Roman" w:hAnsi="Times New Roman" w:cs="Times New Roman"/>
                <w:b/>
                <w:color w:val="auto"/>
                <w:sz w:val="15"/>
                <w:szCs w:val="15"/>
              </w:rPr>
              <w:t>放量(1)</w:t>
            </w:r>
          </w:p>
        </w:tc>
        <w:tc>
          <w:tcPr>
            <w:tcW w:w="1388" w:type="dxa"/>
            <w:tcMar>
              <w:left w:w="57" w:type="dxa"/>
              <w:right w:w="57" w:type="dxa"/>
            </w:tcMar>
            <w:vAlign w:val="center"/>
          </w:tcPr>
          <w:p>
            <w:pPr>
              <w:spacing w:line="200" w:lineRule="exact"/>
              <w:jc w:val="center"/>
              <w:rPr>
                <w:rFonts w:ascii="Times New Roman" w:hAnsi="Times New Roman" w:cs="Times New Roman"/>
                <w:b/>
                <w:color w:val="auto"/>
                <w:sz w:val="15"/>
                <w:szCs w:val="15"/>
              </w:rPr>
            </w:pPr>
            <w:r>
              <w:rPr>
                <w:rFonts w:ascii="Times New Roman" w:hAnsi="Times New Roman" w:cs="Times New Roman"/>
                <w:b/>
                <w:color w:val="auto"/>
                <w:sz w:val="15"/>
                <w:szCs w:val="15"/>
              </w:rPr>
              <w:t>本期工程实际排放浓度(2)</w:t>
            </w:r>
          </w:p>
        </w:tc>
        <w:tc>
          <w:tcPr>
            <w:tcW w:w="1104" w:type="dxa"/>
            <w:tcMar>
              <w:left w:w="57" w:type="dxa"/>
              <w:right w:w="57" w:type="dxa"/>
            </w:tcMar>
            <w:vAlign w:val="center"/>
          </w:tcPr>
          <w:p>
            <w:pPr>
              <w:spacing w:line="200" w:lineRule="exact"/>
              <w:jc w:val="center"/>
              <w:rPr>
                <w:rFonts w:ascii="Times New Roman" w:hAnsi="Times New Roman" w:cs="Times New Roman"/>
                <w:b/>
                <w:color w:val="auto"/>
                <w:sz w:val="15"/>
                <w:szCs w:val="15"/>
              </w:rPr>
            </w:pPr>
            <w:r>
              <w:rPr>
                <w:rFonts w:ascii="Times New Roman" w:hAnsi="Times New Roman" w:cs="Times New Roman"/>
                <w:b/>
                <w:color w:val="auto"/>
                <w:sz w:val="15"/>
                <w:szCs w:val="15"/>
              </w:rPr>
              <w:t>本期工程允许排放浓度(3)</w:t>
            </w:r>
          </w:p>
        </w:tc>
        <w:tc>
          <w:tcPr>
            <w:tcW w:w="999" w:type="dxa"/>
            <w:tcMar>
              <w:left w:w="57" w:type="dxa"/>
              <w:right w:w="57" w:type="dxa"/>
            </w:tcMar>
            <w:vAlign w:val="center"/>
          </w:tcPr>
          <w:p>
            <w:pPr>
              <w:spacing w:line="200" w:lineRule="exact"/>
              <w:jc w:val="center"/>
              <w:rPr>
                <w:rFonts w:ascii="Times New Roman" w:hAnsi="Times New Roman" w:cs="Times New Roman"/>
                <w:b/>
                <w:color w:val="auto"/>
                <w:sz w:val="15"/>
                <w:szCs w:val="15"/>
              </w:rPr>
            </w:pPr>
            <w:r>
              <w:rPr>
                <w:rFonts w:ascii="Times New Roman" w:hAnsi="Times New Roman" w:cs="Times New Roman"/>
                <w:b/>
                <w:color w:val="auto"/>
                <w:sz w:val="15"/>
                <w:szCs w:val="15"/>
              </w:rPr>
              <w:t>本期工程产生量(4)</w:t>
            </w:r>
          </w:p>
        </w:tc>
        <w:tc>
          <w:tcPr>
            <w:tcW w:w="1342" w:type="dxa"/>
            <w:gridSpan w:val="2"/>
            <w:tcMar>
              <w:left w:w="57" w:type="dxa"/>
              <w:right w:w="57" w:type="dxa"/>
            </w:tcMar>
            <w:vAlign w:val="center"/>
          </w:tcPr>
          <w:p>
            <w:pPr>
              <w:spacing w:line="200" w:lineRule="exact"/>
              <w:jc w:val="center"/>
              <w:rPr>
                <w:rFonts w:ascii="Times New Roman" w:hAnsi="Times New Roman" w:cs="Times New Roman"/>
                <w:b/>
                <w:color w:val="auto"/>
                <w:sz w:val="15"/>
                <w:szCs w:val="15"/>
              </w:rPr>
            </w:pPr>
            <w:r>
              <w:rPr>
                <w:rFonts w:ascii="Times New Roman" w:hAnsi="Times New Roman" w:cs="Times New Roman"/>
                <w:b/>
                <w:color w:val="auto"/>
                <w:sz w:val="15"/>
                <w:szCs w:val="15"/>
              </w:rPr>
              <w:t>本期工程自身削减量(5)</w:t>
            </w:r>
          </w:p>
        </w:tc>
        <w:tc>
          <w:tcPr>
            <w:tcW w:w="909" w:type="dxa"/>
            <w:tcMar>
              <w:left w:w="57" w:type="dxa"/>
              <w:right w:w="57" w:type="dxa"/>
            </w:tcMar>
            <w:vAlign w:val="center"/>
          </w:tcPr>
          <w:p>
            <w:pPr>
              <w:spacing w:line="200" w:lineRule="exact"/>
              <w:jc w:val="center"/>
              <w:rPr>
                <w:rFonts w:ascii="Times New Roman" w:hAnsi="Times New Roman" w:cs="Times New Roman"/>
                <w:b/>
                <w:color w:val="auto"/>
                <w:sz w:val="15"/>
                <w:szCs w:val="15"/>
              </w:rPr>
            </w:pPr>
            <w:r>
              <w:rPr>
                <w:rFonts w:ascii="Times New Roman" w:hAnsi="Times New Roman" w:cs="Times New Roman"/>
                <w:b/>
                <w:color w:val="auto"/>
                <w:sz w:val="15"/>
                <w:szCs w:val="15"/>
              </w:rPr>
              <w:t>本期工程实际排放量(6)</w:t>
            </w:r>
          </w:p>
        </w:tc>
        <w:tc>
          <w:tcPr>
            <w:tcW w:w="1202" w:type="dxa"/>
            <w:tcMar>
              <w:left w:w="57" w:type="dxa"/>
              <w:right w:w="57" w:type="dxa"/>
            </w:tcMar>
            <w:vAlign w:val="center"/>
          </w:tcPr>
          <w:p>
            <w:pPr>
              <w:spacing w:line="200" w:lineRule="exact"/>
              <w:jc w:val="center"/>
              <w:rPr>
                <w:rFonts w:ascii="Times New Roman" w:hAnsi="Times New Roman" w:cs="Times New Roman"/>
                <w:b/>
                <w:color w:val="auto"/>
                <w:sz w:val="15"/>
                <w:szCs w:val="15"/>
              </w:rPr>
            </w:pPr>
            <w:r>
              <w:rPr>
                <w:rFonts w:ascii="Times New Roman" w:hAnsi="Times New Roman" w:cs="Times New Roman"/>
                <w:b/>
                <w:color w:val="auto"/>
                <w:sz w:val="15"/>
                <w:szCs w:val="15"/>
              </w:rPr>
              <w:t>本期工程核定排放总量(7)</w:t>
            </w:r>
          </w:p>
        </w:tc>
        <w:tc>
          <w:tcPr>
            <w:tcW w:w="1433" w:type="dxa"/>
            <w:tcMar>
              <w:left w:w="57" w:type="dxa"/>
              <w:right w:w="57" w:type="dxa"/>
            </w:tcMar>
            <w:vAlign w:val="center"/>
          </w:tcPr>
          <w:p>
            <w:pPr>
              <w:spacing w:line="200" w:lineRule="exact"/>
              <w:jc w:val="center"/>
              <w:rPr>
                <w:rFonts w:ascii="Times New Roman" w:hAnsi="Times New Roman" w:cs="Times New Roman"/>
                <w:b/>
                <w:color w:val="auto"/>
                <w:sz w:val="15"/>
                <w:szCs w:val="15"/>
              </w:rPr>
            </w:pPr>
            <w:r>
              <w:rPr>
                <w:rFonts w:ascii="Times New Roman" w:hAnsi="Times New Roman" w:cs="Times New Roman"/>
                <w:b/>
                <w:color w:val="auto"/>
                <w:sz w:val="15"/>
                <w:szCs w:val="15"/>
              </w:rPr>
              <w:t>本期工程“以新带老”削减量(8)</w:t>
            </w:r>
          </w:p>
        </w:tc>
        <w:tc>
          <w:tcPr>
            <w:tcW w:w="1202" w:type="dxa"/>
            <w:tcMar>
              <w:left w:w="57" w:type="dxa"/>
              <w:right w:w="57" w:type="dxa"/>
            </w:tcMar>
            <w:vAlign w:val="center"/>
          </w:tcPr>
          <w:p>
            <w:pPr>
              <w:spacing w:line="200" w:lineRule="exact"/>
              <w:jc w:val="center"/>
              <w:rPr>
                <w:rFonts w:ascii="Times New Roman" w:hAnsi="Times New Roman" w:cs="Times New Roman"/>
                <w:b/>
                <w:color w:val="auto"/>
                <w:sz w:val="15"/>
                <w:szCs w:val="15"/>
              </w:rPr>
            </w:pPr>
            <w:r>
              <w:rPr>
                <w:rFonts w:ascii="Times New Roman" w:hAnsi="Times New Roman" w:cs="Times New Roman"/>
                <w:b/>
                <w:color w:val="auto"/>
                <w:sz w:val="15"/>
                <w:szCs w:val="15"/>
              </w:rPr>
              <w:t>全厂实际排放总量(9)</w:t>
            </w:r>
          </w:p>
        </w:tc>
        <w:tc>
          <w:tcPr>
            <w:tcW w:w="1252" w:type="dxa"/>
            <w:gridSpan w:val="2"/>
            <w:tcMar>
              <w:left w:w="57" w:type="dxa"/>
              <w:right w:w="57" w:type="dxa"/>
            </w:tcMar>
            <w:vAlign w:val="center"/>
          </w:tcPr>
          <w:p>
            <w:pPr>
              <w:spacing w:line="200" w:lineRule="exact"/>
              <w:jc w:val="center"/>
              <w:rPr>
                <w:rFonts w:ascii="Times New Roman" w:hAnsi="Times New Roman" w:cs="Times New Roman"/>
                <w:b/>
                <w:color w:val="auto"/>
                <w:sz w:val="15"/>
                <w:szCs w:val="15"/>
              </w:rPr>
            </w:pPr>
            <w:r>
              <w:rPr>
                <w:rFonts w:ascii="Times New Roman" w:hAnsi="Times New Roman" w:cs="Times New Roman"/>
                <w:b/>
                <w:color w:val="auto"/>
                <w:sz w:val="15"/>
                <w:szCs w:val="15"/>
              </w:rPr>
              <w:t>全厂核定排放总量(10)</w:t>
            </w:r>
          </w:p>
        </w:tc>
        <w:tc>
          <w:tcPr>
            <w:tcW w:w="1109" w:type="dxa"/>
            <w:gridSpan w:val="2"/>
            <w:tcMar>
              <w:left w:w="57" w:type="dxa"/>
              <w:right w:w="57" w:type="dxa"/>
            </w:tcMar>
            <w:vAlign w:val="center"/>
          </w:tcPr>
          <w:p>
            <w:pPr>
              <w:spacing w:line="200" w:lineRule="exact"/>
              <w:jc w:val="center"/>
              <w:rPr>
                <w:rFonts w:ascii="Times New Roman" w:hAnsi="Times New Roman" w:cs="Times New Roman"/>
                <w:b/>
                <w:color w:val="auto"/>
                <w:sz w:val="15"/>
                <w:szCs w:val="15"/>
              </w:rPr>
            </w:pPr>
            <w:r>
              <w:rPr>
                <w:rFonts w:ascii="Times New Roman" w:hAnsi="Times New Roman" w:cs="Times New Roman"/>
                <w:b/>
                <w:color w:val="auto"/>
                <w:sz w:val="15"/>
                <w:szCs w:val="15"/>
              </w:rPr>
              <w:t>区域平衡替代削减量(11)</w:t>
            </w:r>
          </w:p>
        </w:tc>
        <w:tc>
          <w:tcPr>
            <w:tcW w:w="800" w:type="dxa"/>
            <w:tcMar>
              <w:left w:w="57" w:type="dxa"/>
              <w:right w:w="57" w:type="dxa"/>
            </w:tcMar>
            <w:vAlign w:val="center"/>
          </w:tcPr>
          <w:p>
            <w:pPr>
              <w:spacing w:line="200" w:lineRule="exact"/>
              <w:jc w:val="center"/>
              <w:rPr>
                <w:rFonts w:ascii="Times New Roman" w:hAnsi="Times New Roman" w:cs="Times New Roman"/>
                <w:b/>
                <w:color w:val="auto"/>
                <w:sz w:val="15"/>
                <w:szCs w:val="15"/>
              </w:rPr>
            </w:pPr>
            <w:r>
              <w:rPr>
                <w:rFonts w:ascii="Times New Roman" w:hAnsi="Times New Roman" w:cs="Times New Roman"/>
                <w:b/>
                <w:color w:val="auto"/>
                <w:sz w:val="15"/>
                <w:szCs w:val="15"/>
              </w:rPr>
              <w:t>排放增减量(12)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26" w:hRule="atLeast"/>
          <w:jc w:val="center"/>
        </w:trPr>
        <w:tc>
          <w:tcPr>
            <w:tcW w:w="599" w:type="dxa"/>
            <w:gridSpan w:val="2"/>
            <w:vMerge w:val="continue"/>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805" w:type="dxa"/>
            <w:gridSpan w:val="2"/>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ascii="Times New Roman" w:hAnsi="Times New Roman" w:cs="Times New Roman"/>
                <w:b/>
                <w:color w:val="auto"/>
                <w:sz w:val="15"/>
                <w:szCs w:val="15"/>
              </w:rPr>
              <w:t>废水</w:t>
            </w:r>
          </w:p>
        </w:tc>
        <w:tc>
          <w:tcPr>
            <w:tcW w:w="833"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388"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104"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999" w:type="dxa"/>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ascii="Times New Roman" w:hAnsi="Times New Roman" w:cs="Times New Roman"/>
                <w:color w:val="auto"/>
                <w:sz w:val="15"/>
                <w:szCs w:val="15"/>
              </w:rPr>
              <w:t xml:space="preserve">2.942 </w:t>
            </w:r>
          </w:p>
        </w:tc>
        <w:tc>
          <w:tcPr>
            <w:tcW w:w="1342" w:type="dxa"/>
            <w:gridSpan w:val="2"/>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909" w:type="dxa"/>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ascii="Times New Roman" w:hAnsi="Times New Roman" w:cs="Times New Roman"/>
                <w:color w:val="auto"/>
                <w:sz w:val="15"/>
                <w:szCs w:val="15"/>
              </w:rPr>
              <w:t xml:space="preserve">2.942 </w:t>
            </w:r>
          </w:p>
        </w:tc>
        <w:tc>
          <w:tcPr>
            <w:tcW w:w="1202" w:type="dxa"/>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ascii="Times New Roman" w:hAnsi="Times New Roman" w:cs="Times New Roman"/>
                <w:color w:val="auto"/>
                <w:sz w:val="15"/>
                <w:szCs w:val="15"/>
              </w:rPr>
              <w:t xml:space="preserve">2.942 </w:t>
            </w:r>
          </w:p>
        </w:tc>
        <w:tc>
          <w:tcPr>
            <w:tcW w:w="1433" w:type="dxa"/>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ascii="Times New Roman" w:hAnsi="Times New Roman" w:cs="Times New Roman"/>
                <w:color w:val="auto"/>
                <w:sz w:val="15"/>
                <w:szCs w:val="15"/>
              </w:rPr>
              <w:t xml:space="preserve">0.360 </w:t>
            </w:r>
          </w:p>
        </w:tc>
        <w:tc>
          <w:tcPr>
            <w:tcW w:w="1202" w:type="dxa"/>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ascii="Times New Roman" w:hAnsi="Times New Roman" w:cs="Times New Roman"/>
                <w:color w:val="auto"/>
                <w:sz w:val="15"/>
                <w:szCs w:val="15"/>
              </w:rPr>
              <w:t xml:space="preserve">2.942 </w:t>
            </w:r>
          </w:p>
        </w:tc>
        <w:tc>
          <w:tcPr>
            <w:tcW w:w="1252" w:type="dxa"/>
            <w:gridSpan w:val="2"/>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ascii="Times New Roman" w:hAnsi="Times New Roman" w:cs="Times New Roman"/>
                <w:color w:val="auto"/>
                <w:sz w:val="15"/>
                <w:szCs w:val="15"/>
              </w:rPr>
              <w:t xml:space="preserve">2.942 </w:t>
            </w:r>
          </w:p>
        </w:tc>
        <w:tc>
          <w:tcPr>
            <w:tcW w:w="1109" w:type="dxa"/>
            <w:gridSpan w:val="2"/>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800" w:type="dxa"/>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hint="default" w:ascii="Times New Roman" w:hAnsi="Times New Roman" w:cs="Times New Roman"/>
                <w:color w:val="auto"/>
                <w:sz w:val="15"/>
                <w:szCs w:val="15"/>
              </w:rPr>
              <w:t>+</w:t>
            </w:r>
            <w:r>
              <w:rPr>
                <w:rFonts w:ascii="Times New Roman" w:hAnsi="Times New Roman" w:cs="Times New Roman"/>
                <w:color w:val="auto"/>
                <w:sz w:val="15"/>
                <w:szCs w:val="15"/>
              </w:rPr>
              <w:t xml:space="preserve">2.582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26" w:hRule="atLeast"/>
          <w:jc w:val="center"/>
        </w:trPr>
        <w:tc>
          <w:tcPr>
            <w:tcW w:w="599" w:type="dxa"/>
            <w:gridSpan w:val="2"/>
            <w:vMerge w:val="continue"/>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805" w:type="dxa"/>
            <w:gridSpan w:val="2"/>
            <w:tcMar>
              <w:left w:w="57" w:type="dxa"/>
              <w:right w:w="57" w:type="dxa"/>
            </w:tcMar>
            <w:vAlign w:val="center"/>
          </w:tcPr>
          <w:p>
            <w:pPr>
              <w:spacing w:line="200" w:lineRule="exact"/>
              <w:jc w:val="center"/>
              <w:rPr>
                <w:rFonts w:ascii="Times New Roman" w:hAnsi="Times New Roman" w:cs="Times New Roman"/>
                <w:b/>
                <w:color w:val="auto"/>
                <w:sz w:val="15"/>
                <w:szCs w:val="15"/>
              </w:rPr>
            </w:pPr>
            <w:r>
              <w:rPr>
                <w:rFonts w:ascii="Times New Roman" w:hAnsi="Times New Roman" w:cs="Times New Roman"/>
                <w:b/>
                <w:color w:val="auto"/>
                <w:sz w:val="15"/>
                <w:szCs w:val="15"/>
              </w:rPr>
              <w:t>化学需氧量</w:t>
            </w:r>
          </w:p>
        </w:tc>
        <w:tc>
          <w:tcPr>
            <w:tcW w:w="833"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388"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104"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999" w:type="dxa"/>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ascii="Times New Roman" w:hAnsi="Times New Roman" w:cs="Times New Roman"/>
                <w:color w:val="auto"/>
                <w:sz w:val="15"/>
                <w:szCs w:val="15"/>
              </w:rPr>
              <w:t xml:space="preserve">1.471 </w:t>
            </w:r>
          </w:p>
        </w:tc>
        <w:tc>
          <w:tcPr>
            <w:tcW w:w="1342" w:type="dxa"/>
            <w:gridSpan w:val="2"/>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909" w:type="dxa"/>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ascii="Times New Roman" w:hAnsi="Times New Roman" w:cs="Times New Roman"/>
                <w:color w:val="auto"/>
                <w:sz w:val="15"/>
                <w:szCs w:val="15"/>
              </w:rPr>
              <w:t xml:space="preserve">1.471 </w:t>
            </w:r>
          </w:p>
        </w:tc>
        <w:tc>
          <w:tcPr>
            <w:tcW w:w="1202" w:type="dxa"/>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ascii="Times New Roman" w:hAnsi="Times New Roman" w:cs="Times New Roman"/>
                <w:color w:val="auto"/>
                <w:sz w:val="15"/>
                <w:szCs w:val="15"/>
              </w:rPr>
              <w:t xml:space="preserve">1.471 </w:t>
            </w:r>
          </w:p>
        </w:tc>
        <w:tc>
          <w:tcPr>
            <w:tcW w:w="1433" w:type="dxa"/>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ascii="Times New Roman" w:hAnsi="Times New Roman" w:cs="Times New Roman"/>
                <w:color w:val="auto"/>
                <w:sz w:val="15"/>
                <w:szCs w:val="15"/>
              </w:rPr>
              <w:t xml:space="preserve">0.288 </w:t>
            </w:r>
          </w:p>
        </w:tc>
        <w:tc>
          <w:tcPr>
            <w:tcW w:w="1202" w:type="dxa"/>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ascii="Times New Roman" w:hAnsi="Times New Roman" w:cs="Times New Roman"/>
                <w:color w:val="auto"/>
                <w:sz w:val="15"/>
                <w:szCs w:val="15"/>
              </w:rPr>
              <w:t xml:space="preserve">0.671 </w:t>
            </w:r>
          </w:p>
        </w:tc>
        <w:tc>
          <w:tcPr>
            <w:tcW w:w="1252" w:type="dxa"/>
            <w:gridSpan w:val="2"/>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ascii="Times New Roman" w:hAnsi="Times New Roman" w:cs="Times New Roman"/>
                <w:color w:val="auto"/>
                <w:sz w:val="15"/>
                <w:szCs w:val="15"/>
              </w:rPr>
              <w:t xml:space="preserve">0.671 </w:t>
            </w:r>
          </w:p>
        </w:tc>
        <w:tc>
          <w:tcPr>
            <w:tcW w:w="1109" w:type="dxa"/>
            <w:gridSpan w:val="2"/>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800" w:type="dxa"/>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hint="default" w:ascii="Times New Roman" w:hAnsi="Times New Roman" w:cs="Times New Roman"/>
                <w:color w:val="auto"/>
                <w:sz w:val="15"/>
                <w:szCs w:val="15"/>
              </w:rPr>
              <w:t>+</w:t>
            </w:r>
            <w:r>
              <w:rPr>
                <w:rFonts w:ascii="Times New Roman" w:hAnsi="Times New Roman" w:cs="Times New Roman"/>
                <w:color w:val="auto"/>
                <w:sz w:val="15"/>
                <w:szCs w:val="15"/>
              </w:rPr>
              <w:t xml:space="preserve">1.183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26" w:hRule="atLeast"/>
          <w:jc w:val="center"/>
        </w:trPr>
        <w:tc>
          <w:tcPr>
            <w:tcW w:w="599" w:type="dxa"/>
            <w:gridSpan w:val="2"/>
            <w:vMerge w:val="continue"/>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805" w:type="dxa"/>
            <w:gridSpan w:val="2"/>
            <w:tcMar>
              <w:left w:w="57" w:type="dxa"/>
              <w:right w:w="57" w:type="dxa"/>
            </w:tcMar>
            <w:vAlign w:val="center"/>
          </w:tcPr>
          <w:p>
            <w:pPr>
              <w:spacing w:line="200" w:lineRule="exact"/>
              <w:jc w:val="center"/>
              <w:rPr>
                <w:rFonts w:ascii="Times New Roman" w:hAnsi="Times New Roman" w:cs="Times New Roman"/>
                <w:b/>
                <w:color w:val="auto"/>
                <w:sz w:val="15"/>
                <w:szCs w:val="15"/>
              </w:rPr>
            </w:pPr>
            <w:r>
              <w:rPr>
                <w:rFonts w:ascii="Times New Roman" w:hAnsi="Times New Roman" w:cs="Times New Roman"/>
                <w:b/>
                <w:color w:val="auto"/>
                <w:sz w:val="15"/>
                <w:szCs w:val="15"/>
              </w:rPr>
              <w:t>氨氮</w:t>
            </w:r>
          </w:p>
        </w:tc>
        <w:tc>
          <w:tcPr>
            <w:tcW w:w="833"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388"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104"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999" w:type="dxa"/>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ascii="Times New Roman" w:hAnsi="Times New Roman" w:cs="Times New Roman"/>
                <w:color w:val="auto"/>
                <w:sz w:val="15"/>
                <w:szCs w:val="15"/>
              </w:rPr>
              <w:t xml:space="preserve">0.147 </w:t>
            </w:r>
          </w:p>
        </w:tc>
        <w:tc>
          <w:tcPr>
            <w:tcW w:w="1342" w:type="dxa"/>
            <w:gridSpan w:val="2"/>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909" w:type="dxa"/>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ascii="Times New Roman" w:hAnsi="Times New Roman" w:cs="Times New Roman"/>
                <w:color w:val="auto"/>
                <w:sz w:val="15"/>
                <w:szCs w:val="15"/>
              </w:rPr>
              <w:t xml:space="preserve">0.147 </w:t>
            </w:r>
          </w:p>
        </w:tc>
        <w:tc>
          <w:tcPr>
            <w:tcW w:w="1202" w:type="dxa"/>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ascii="Times New Roman" w:hAnsi="Times New Roman" w:cs="Times New Roman"/>
                <w:color w:val="auto"/>
                <w:sz w:val="15"/>
                <w:szCs w:val="15"/>
              </w:rPr>
              <w:t xml:space="preserve">0.147 </w:t>
            </w:r>
          </w:p>
        </w:tc>
        <w:tc>
          <w:tcPr>
            <w:tcW w:w="1433" w:type="dxa"/>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ascii="Times New Roman" w:hAnsi="Times New Roman" w:cs="Times New Roman"/>
                <w:color w:val="auto"/>
                <w:sz w:val="15"/>
                <w:szCs w:val="15"/>
              </w:rPr>
              <w:t xml:space="preserve">0.041 </w:t>
            </w:r>
          </w:p>
        </w:tc>
        <w:tc>
          <w:tcPr>
            <w:tcW w:w="1202" w:type="dxa"/>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ascii="Times New Roman" w:hAnsi="Times New Roman" w:cs="Times New Roman"/>
                <w:color w:val="auto"/>
                <w:sz w:val="15"/>
                <w:szCs w:val="15"/>
              </w:rPr>
              <w:t xml:space="preserve">0.000 </w:t>
            </w:r>
          </w:p>
        </w:tc>
        <w:tc>
          <w:tcPr>
            <w:tcW w:w="1252" w:type="dxa"/>
            <w:gridSpan w:val="2"/>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ascii="Times New Roman" w:hAnsi="Times New Roman" w:cs="Times New Roman"/>
                <w:color w:val="auto"/>
                <w:sz w:val="15"/>
                <w:szCs w:val="15"/>
              </w:rPr>
              <w:t xml:space="preserve">0.000 </w:t>
            </w:r>
          </w:p>
        </w:tc>
        <w:tc>
          <w:tcPr>
            <w:tcW w:w="1109" w:type="dxa"/>
            <w:gridSpan w:val="2"/>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800" w:type="dxa"/>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hint="default" w:ascii="Times New Roman" w:hAnsi="Times New Roman" w:cs="Times New Roman"/>
                <w:color w:val="auto"/>
                <w:sz w:val="15"/>
                <w:szCs w:val="15"/>
              </w:rPr>
              <w:t>+</w:t>
            </w:r>
            <w:r>
              <w:rPr>
                <w:rFonts w:ascii="Times New Roman" w:hAnsi="Times New Roman" w:cs="Times New Roman"/>
                <w:color w:val="auto"/>
                <w:sz w:val="15"/>
                <w:szCs w:val="15"/>
              </w:rPr>
              <w:t xml:space="preserve">0.106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26" w:hRule="atLeast"/>
          <w:jc w:val="center"/>
        </w:trPr>
        <w:tc>
          <w:tcPr>
            <w:tcW w:w="599" w:type="dxa"/>
            <w:gridSpan w:val="2"/>
            <w:vMerge w:val="continue"/>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805" w:type="dxa"/>
            <w:gridSpan w:val="2"/>
            <w:tcMar>
              <w:left w:w="57" w:type="dxa"/>
              <w:right w:w="57" w:type="dxa"/>
            </w:tcMar>
            <w:vAlign w:val="center"/>
          </w:tcPr>
          <w:p>
            <w:pPr>
              <w:spacing w:line="200" w:lineRule="exact"/>
              <w:jc w:val="center"/>
              <w:rPr>
                <w:rFonts w:ascii="Times New Roman" w:hAnsi="Times New Roman" w:cs="Times New Roman"/>
                <w:b/>
                <w:color w:val="auto"/>
                <w:sz w:val="15"/>
                <w:szCs w:val="15"/>
              </w:rPr>
            </w:pPr>
            <w:r>
              <w:rPr>
                <w:rFonts w:ascii="Times New Roman" w:hAnsi="Times New Roman" w:cs="Times New Roman"/>
                <w:b/>
                <w:color w:val="auto"/>
                <w:sz w:val="15"/>
                <w:szCs w:val="15"/>
              </w:rPr>
              <w:t>石油类</w:t>
            </w:r>
          </w:p>
        </w:tc>
        <w:tc>
          <w:tcPr>
            <w:tcW w:w="833"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388"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104"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999"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342" w:type="dxa"/>
            <w:gridSpan w:val="2"/>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909"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202"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433"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202"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252" w:type="dxa"/>
            <w:gridSpan w:val="2"/>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109" w:type="dxa"/>
            <w:gridSpan w:val="2"/>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800"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26" w:hRule="atLeast"/>
          <w:jc w:val="center"/>
        </w:trPr>
        <w:tc>
          <w:tcPr>
            <w:tcW w:w="599" w:type="dxa"/>
            <w:gridSpan w:val="2"/>
            <w:vMerge w:val="continue"/>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805" w:type="dxa"/>
            <w:gridSpan w:val="2"/>
            <w:tcMar>
              <w:left w:w="57" w:type="dxa"/>
              <w:right w:w="57" w:type="dxa"/>
            </w:tcMar>
            <w:vAlign w:val="center"/>
          </w:tcPr>
          <w:p>
            <w:pPr>
              <w:spacing w:line="200" w:lineRule="exact"/>
              <w:jc w:val="center"/>
              <w:rPr>
                <w:rFonts w:ascii="Times New Roman" w:hAnsi="Times New Roman" w:eastAsia="黑体" w:cs="Times New Roman"/>
                <w:b/>
                <w:color w:val="auto"/>
                <w:sz w:val="15"/>
                <w:szCs w:val="15"/>
              </w:rPr>
            </w:pPr>
            <w:r>
              <w:rPr>
                <w:rFonts w:ascii="Times New Roman" w:hAnsi="Times New Roman" w:cs="Times New Roman"/>
                <w:b/>
                <w:color w:val="auto"/>
                <w:sz w:val="15"/>
                <w:szCs w:val="15"/>
              </w:rPr>
              <w:t>废气</w:t>
            </w:r>
          </w:p>
        </w:tc>
        <w:tc>
          <w:tcPr>
            <w:tcW w:w="833"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388"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104"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999"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342" w:type="dxa"/>
            <w:gridSpan w:val="2"/>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909"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202"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433"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202"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252" w:type="dxa"/>
            <w:gridSpan w:val="2"/>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109" w:type="dxa"/>
            <w:gridSpan w:val="2"/>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800"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26" w:hRule="atLeast"/>
          <w:jc w:val="center"/>
        </w:trPr>
        <w:tc>
          <w:tcPr>
            <w:tcW w:w="599" w:type="dxa"/>
            <w:gridSpan w:val="2"/>
            <w:vMerge w:val="continue"/>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805" w:type="dxa"/>
            <w:gridSpan w:val="2"/>
            <w:tcMar>
              <w:left w:w="57" w:type="dxa"/>
              <w:right w:w="57" w:type="dxa"/>
            </w:tcMar>
            <w:vAlign w:val="center"/>
          </w:tcPr>
          <w:p>
            <w:pPr>
              <w:spacing w:line="200" w:lineRule="exact"/>
              <w:jc w:val="center"/>
              <w:rPr>
                <w:rFonts w:ascii="Times New Roman" w:hAnsi="Times New Roman" w:cs="Times New Roman"/>
                <w:b/>
                <w:color w:val="auto"/>
                <w:sz w:val="15"/>
                <w:szCs w:val="15"/>
              </w:rPr>
            </w:pPr>
            <w:r>
              <w:rPr>
                <w:rFonts w:ascii="Times New Roman" w:hAnsi="Times New Roman" w:cs="Times New Roman"/>
                <w:b/>
                <w:color w:val="auto"/>
                <w:sz w:val="15"/>
                <w:szCs w:val="15"/>
              </w:rPr>
              <w:t>二氧化硫</w:t>
            </w:r>
          </w:p>
        </w:tc>
        <w:tc>
          <w:tcPr>
            <w:tcW w:w="833"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388"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104"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999"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342" w:type="dxa"/>
            <w:gridSpan w:val="2"/>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909"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202"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433"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202"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252" w:type="dxa"/>
            <w:gridSpan w:val="2"/>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109" w:type="dxa"/>
            <w:gridSpan w:val="2"/>
            <w:tcMar>
              <w:left w:w="57" w:type="dxa"/>
              <w:right w:w="57" w:type="dxa"/>
            </w:tcMar>
            <w:vAlign w:val="center"/>
          </w:tcPr>
          <w:p>
            <w:pPr>
              <w:spacing w:line="200" w:lineRule="exact"/>
              <w:jc w:val="center"/>
              <w:textAlignment w:val="center"/>
              <w:rPr>
                <w:rFonts w:ascii="Times New Roman" w:hAnsi="Times New Roman" w:cs="Times New Roman"/>
                <w:color w:val="auto"/>
                <w:sz w:val="15"/>
                <w:szCs w:val="15"/>
              </w:rPr>
            </w:pPr>
          </w:p>
        </w:tc>
        <w:tc>
          <w:tcPr>
            <w:tcW w:w="800" w:type="dxa"/>
            <w:tcMar>
              <w:left w:w="57" w:type="dxa"/>
              <w:right w:w="57" w:type="dxa"/>
            </w:tcMar>
            <w:vAlign w:val="center"/>
          </w:tcPr>
          <w:p>
            <w:pPr>
              <w:spacing w:line="200" w:lineRule="exact"/>
              <w:jc w:val="center"/>
              <w:textAlignment w:val="center"/>
              <w:rPr>
                <w:rFonts w:ascii="Times New Roman" w:hAnsi="Times New Roman" w:cs="Times New Roman"/>
                <w:color w:val="auto"/>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26" w:hRule="atLeast"/>
          <w:jc w:val="center"/>
        </w:trPr>
        <w:tc>
          <w:tcPr>
            <w:tcW w:w="599" w:type="dxa"/>
            <w:gridSpan w:val="2"/>
            <w:vMerge w:val="continue"/>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805" w:type="dxa"/>
            <w:gridSpan w:val="2"/>
            <w:tcMar>
              <w:left w:w="57" w:type="dxa"/>
              <w:right w:w="57" w:type="dxa"/>
            </w:tcMar>
            <w:vAlign w:val="center"/>
          </w:tcPr>
          <w:p>
            <w:pPr>
              <w:spacing w:line="200" w:lineRule="exact"/>
              <w:jc w:val="center"/>
              <w:rPr>
                <w:rFonts w:ascii="Times New Roman" w:hAnsi="Times New Roman" w:cs="Times New Roman"/>
                <w:b/>
                <w:color w:val="auto"/>
                <w:sz w:val="15"/>
                <w:szCs w:val="15"/>
              </w:rPr>
            </w:pPr>
            <w:r>
              <w:rPr>
                <w:rFonts w:ascii="Times New Roman" w:hAnsi="Times New Roman" w:cs="Times New Roman"/>
                <w:b/>
                <w:color w:val="auto"/>
                <w:sz w:val="15"/>
                <w:szCs w:val="15"/>
              </w:rPr>
              <w:t>烟尘</w:t>
            </w:r>
          </w:p>
        </w:tc>
        <w:tc>
          <w:tcPr>
            <w:tcW w:w="833"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388"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104"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999"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342" w:type="dxa"/>
            <w:gridSpan w:val="2"/>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909"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202"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433"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202"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252" w:type="dxa"/>
            <w:gridSpan w:val="2"/>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109" w:type="dxa"/>
            <w:gridSpan w:val="2"/>
            <w:tcMar>
              <w:left w:w="57" w:type="dxa"/>
              <w:right w:w="57" w:type="dxa"/>
            </w:tcMar>
            <w:vAlign w:val="center"/>
          </w:tcPr>
          <w:p>
            <w:pPr>
              <w:spacing w:line="200" w:lineRule="exact"/>
              <w:jc w:val="center"/>
              <w:textAlignment w:val="center"/>
              <w:rPr>
                <w:rFonts w:ascii="Times New Roman" w:hAnsi="Times New Roman" w:cs="Times New Roman"/>
                <w:color w:val="auto"/>
                <w:sz w:val="15"/>
                <w:szCs w:val="15"/>
              </w:rPr>
            </w:pPr>
          </w:p>
        </w:tc>
        <w:tc>
          <w:tcPr>
            <w:tcW w:w="800" w:type="dxa"/>
            <w:tcMar>
              <w:left w:w="57" w:type="dxa"/>
              <w:right w:w="57" w:type="dxa"/>
            </w:tcMar>
            <w:vAlign w:val="center"/>
          </w:tcPr>
          <w:p>
            <w:pPr>
              <w:spacing w:line="200" w:lineRule="exact"/>
              <w:jc w:val="center"/>
              <w:textAlignment w:val="center"/>
              <w:rPr>
                <w:rFonts w:ascii="Times New Roman" w:hAnsi="Times New Roman" w:cs="Times New Roman"/>
                <w:color w:val="auto"/>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26" w:hRule="atLeast"/>
          <w:jc w:val="center"/>
        </w:trPr>
        <w:tc>
          <w:tcPr>
            <w:tcW w:w="599" w:type="dxa"/>
            <w:gridSpan w:val="2"/>
            <w:vMerge w:val="continue"/>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805" w:type="dxa"/>
            <w:gridSpan w:val="2"/>
            <w:tcMar>
              <w:left w:w="57" w:type="dxa"/>
              <w:right w:w="57" w:type="dxa"/>
            </w:tcMar>
            <w:vAlign w:val="center"/>
          </w:tcPr>
          <w:p>
            <w:pPr>
              <w:spacing w:line="200" w:lineRule="exact"/>
              <w:jc w:val="center"/>
              <w:rPr>
                <w:rFonts w:ascii="Times New Roman" w:hAnsi="Times New Roman" w:cs="Times New Roman"/>
                <w:b/>
                <w:color w:val="auto"/>
                <w:sz w:val="15"/>
                <w:szCs w:val="15"/>
              </w:rPr>
            </w:pPr>
            <w:r>
              <w:rPr>
                <w:rFonts w:ascii="Times New Roman" w:hAnsi="Times New Roman" w:cs="Times New Roman"/>
                <w:b/>
                <w:color w:val="auto"/>
                <w:sz w:val="15"/>
                <w:szCs w:val="15"/>
              </w:rPr>
              <w:t>工业粉尘</w:t>
            </w:r>
          </w:p>
        </w:tc>
        <w:tc>
          <w:tcPr>
            <w:tcW w:w="833"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388"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104"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999"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342" w:type="dxa"/>
            <w:gridSpan w:val="2"/>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909"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202"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433"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202"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252" w:type="dxa"/>
            <w:gridSpan w:val="2"/>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109" w:type="dxa"/>
            <w:gridSpan w:val="2"/>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800"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26" w:hRule="atLeast"/>
          <w:jc w:val="center"/>
        </w:trPr>
        <w:tc>
          <w:tcPr>
            <w:tcW w:w="599" w:type="dxa"/>
            <w:gridSpan w:val="2"/>
            <w:vMerge w:val="continue"/>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805" w:type="dxa"/>
            <w:gridSpan w:val="2"/>
            <w:tcMar>
              <w:left w:w="57" w:type="dxa"/>
              <w:right w:w="57" w:type="dxa"/>
            </w:tcMar>
            <w:vAlign w:val="center"/>
          </w:tcPr>
          <w:p>
            <w:pPr>
              <w:spacing w:line="200" w:lineRule="exact"/>
              <w:jc w:val="center"/>
              <w:rPr>
                <w:rFonts w:ascii="Times New Roman" w:hAnsi="Times New Roman" w:cs="Times New Roman"/>
                <w:b/>
                <w:color w:val="auto"/>
                <w:sz w:val="15"/>
                <w:szCs w:val="15"/>
              </w:rPr>
            </w:pPr>
            <w:r>
              <w:rPr>
                <w:rFonts w:ascii="Times New Roman" w:hAnsi="Times New Roman" w:cs="Times New Roman"/>
                <w:b/>
                <w:color w:val="auto"/>
                <w:sz w:val="15"/>
                <w:szCs w:val="15"/>
              </w:rPr>
              <w:t>氮氧化物</w:t>
            </w:r>
          </w:p>
        </w:tc>
        <w:tc>
          <w:tcPr>
            <w:tcW w:w="833"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388"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104"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999"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342" w:type="dxa"/>
            <w:gridSpan w:val="2"/>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909"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202"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433"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202"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252" w:type="dxa"/>
            <w:gridSpan w:val="2"/>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109" w:type="dxa"/>
            <w:gridSpan w:val="2"/>
            <w:tcMar>
              <w:left w:w="57" w:type="dxa"/>
              <w:right w:w="57" w:type="dxa"/>
            </w:tcMar>
            <w:vAlign w:val="center"/>
          </w:tcPr>
          <w:p>
            <w:pPr>
              <w:spacing w:line="200" w:lineRule="exact"/>
              <w:jc w:val="center"/>
              <w:textAlignment w:val="center"/>
              <w:rPr>
                <w:rFonts w:ascii="Times New Roman" w:hAnsi="Times New Roman" w:cs="Times New Roman"/>
                <w:color w:val="auto"/>
                <w:sz w:val="15"/>
                <w:szCs w:val="15"/>
              </w:rPr>
            </w:pPr>
          </w:p>
        </w:tc>
        <w:tc>
          <w:tcPr>
            <w:tcW w:w="800" w:type="dxa"/>
            <w:tcMar>
              <w:left w:w="57" w:type="dxa"/>
              <w:right w:w="57" w:type="dxa"/>
            </w:tcMar>
            <w:vAlign w:val="center"/>
          </w:tcPr>
          <w:p>
            <w:pPr>
              <w:spacing w:line="200" w:lineRule="exact"/>
              <w:jc w:val="center"/>
              <w:textAlignment w:val="center"/>
              <w:rPr>
                <w:rFonts w:ascii="Times New Roman" w:hAnsi="Times New Roman" w:cs="Times New Roman"/>
                <w:color w:val="auto"/>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26" w:hRule="atLeast"/>
          <w:jc w:val="center"/>
        </w:trPr>
        <w:tc>
          <w:tcPr>
            <w:tcW w:w="599" w:type="dxa"/>
            <w:gridSpan w:val="2"/>
            <w:vMerge w:val="continue"/>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805" w:type="dxa"/>
            <w:gridSpan w:val="2"/>
            <w:tcMar>
              <w:left w:w="57" w:type="dxa"/>
              <w:right w:w="57" w:type="dxa"/>
            </w:tcMar>
            <w:vAlign w:val="center"/>
          </w:tcPr>
          <w:p>
            <w:pPr>
              <w:spacing w:line="200" w:lineRule="exact"/>
              <w:jc w:val="center"/>
              <w:rPr>
                <w:rFonts w:ascii="Times New Roman" w:hAnsi="Times New Roman" w:eastAsia="黑体" w:cs="Times New Roman"/>
                <w:b/>
                <w:color w:val="auto"/>
                <w:sz w:val="15"/>
                <w:szCs w:val="15"/>
              </w:rPr>
            </w:pPr>
            <w:r>
              <w:rPr>
                <w:rFonts w:ascii="Times New Roman" w:hAnsi="Times New Roman" w:cs="Times New Roman"/>
                <w:b/>
                <w:color w:val="auto"/>
                <w:sz w:val="15"/>
                <w:szCs w:val="15"/>
              </w:rPr>
              <w:t>工业固体废物</w:t>
            </w:r>
          </w:p>
        </w:tc>
        <w:tc>
          <w:tcPr>
            <w:tcW w:w="833"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388"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104"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999"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342" w:type="dxa"/>
            <w:gridSpan w:val="2"/>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909"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202"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433"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202"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252" w:type="dxa"/>
            <w:gridSpan w:val="2"/>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109" w:type="dxa"/>
            <w:gridSpan w:val="2"/>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800"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14" w:hRule="atLeast"/>
          <w:jc w:val="center"/>
        </w:trPr>
        <w:tc>
          <w:tcPr>
            <w:tcW w:w="599" w:type="dxa"/>
            <w:gridSpan w:val="2"/>
            <w:vMerge w:val="continue"/>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234" w:type="dxa"/>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ascii="Times New Roman" w:hAnsi="Times New Roman" w:cs="Times New Roman"/>
                <w:b/>
                <w:color w:val="auto"/>
                <w:sz w:val="15"/>
                <w:szCs w:val="15"/>
              </w:rPr>
              <w:t>与项目有关的其</w:t>
            </w:r>
            <w:r>
              <w:rPr>
                <w:rFonts w:hint="default" w:ascii="Times New Roman" w:hAnsi="Times New Roman" w:cs="Times New Roman"/>
                <w:b/>
                <w:color w:val="auto"/>
                <w:sz w:val="15"/>
                <w:szCs w:val="15"/>
              </w:rPr>
              <w:t>他</w:t>
            </w:r>
            <w:r>
              <w:rPr>
                <w:rFonts w:ascii="Times New Roman" w:hAnsi="Times New Roman" w:cs="Times New Roman"/>
                <w:b/>
                <w:color w:val="auto"/>
                <w:sz w:val="15"/>
                <w:szCs w:val="15"/>
              </w:rPr>
              <w:t>特征污染物</w:t>
            </w:r>
          </w:p>
        </w:tc>
        <w:tc>
          <w:tcPr>
            <w:tcW w:w="571" w:type="dxa"/>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hint="default" w:ascii="Times New Roman" w:hAnsi="Times New Roman" w:cs="Times New Roman"/>
                <w:color w:val="auto"/>
                <w:sz w:val="15"/>
                <w:szCs w:val="15"/>
              </w:rPr>
              <w:t>V</w:t>
            </w:r>
            <w:r>
              <w:rPr>
                <w:rFonts w:ascii="Times New Roman" w:hAnsi="Times New Roman" w:cs="Times New Roman"/>
                <w:color w:val="auto"/>
                <w:sz w:val="15"/>
                <w:szCs w:val="15"/>
              </w:rPr>
              <w:t>OCs</w:t>
            </w:r>
          </w:p>
        </w:tc>
        <w:tc>
          <w:tcPr>
            <w:tcW w:w="833"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388"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1104" w:type="dxa"/>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999" w:type="dxa"/>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hint="default" w:ascii="Times New Roman" w:hAnsi="Times New Roman" w:cs="Times New Roman"/>
                <w:color w:val="auto"/>
                <w:sz w:val="15"/>
                <w:szCs w:val="15"/>
              </w:rPr>
              <w:t>1.307</w:t>
            </w:r>
          </w:p>
        </w:tc>
        <w:tc>
          <w:tcPr>
            <w:tcW w:w="1342" w:type="dxa"/>
            <w:gridSpan w:val="2"/>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909" w:type="dxa"/>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hint="default" w:ascii="Times New Roman" w:hAnsi="Times New Roman" w:cs="Times New Roman"/>
                <w:color w:val="auto"/>
                <w:sz w:val="15"/>
                <w:szCs w:val="15"/>
              </w:rPr>
              <w:t>1.307</w:t>
            </w:r>
          </w:p>
        </w:tc>
        <w:tc>
          <w:tcPr>
            <w:tcW w:w="1202" w:type="dxa"/>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hint="default" w:ascii="Times New Roman" w:hAnsi="Times New Roman" w:cs="Times New Roman"/>
                <w:color w:val="auto"/>
                <w:sz w:val="15"/>
                <w:szCs w:val="15"/>
              </w:rPr>
              <w:t>1.307</w:t>
            </w:r>
          </w:p>
        </w:tc>
        <w:tc>
          <w:tcPr>
            <w:tcW w:w="1433" w:type="dxa"/>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hint="default" w:ascii="Times New Roman" w:hAnsi="Times New Roman" w:cs="Times New Roman"/>
                <w:color w:val="auto"/>
                <w:sz w:val="15"/>
                <w:szCs w:val="15"/>
              </w:rPr>
              <w:t>0.01</w:t>
            </w:r>
          </w:p>
        </w:tc>
        <w:tc>
          <w:tcPr>
            <w:tcW w:w="1202" w:type="dxa"/>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hint="default" w:ascii="Times New Roman" w:hAnsi="Times New Roman" w:cs="Times New Roman"/>
                <w:color w:val="auto"/>
                <w:sz w:val="15"/>
                <w:szCs w:val="15"/>
              </w:rPr>
              <w:t>1.307</w:t>
            </w:r>
          </w:p>
        </w:tc>
        <w:tc>
          <w:tcPr>
            <w:tcW w:w="1252" w:type="dxa"/>
            <w:gridSpan w:val="2"/>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hint="default" w:ascii="Times New Roman" w:hAnsi="Times New Roman" w:cs="Times New Roman"/>
                <w:color w:val="auto"/>
                <w:sz w:val="15"/>
                <w:szCs w:val="15"/>
              </w:rPr>
              <w:t>1.307</w:t>
            </w:r>
          </w:p>
        </w:tc>
        <w:tc>
          <w:tcPr>
            <w:tcW w:w="1109" w:type="dxa"/>
            <w:gridSpan w:val="2"/>
            <w:tcMar>
              <w:left w:w="57" w:type="dxa"/>
              <w:right w:w="57" w:type="dxa"/>
            </w:tcMar>
            <w:vAlign w:val="center"/>
          </w:tcPr>
          <w:p>
            <w:pPr>
              <w:spacing w:line="200" w:lineRule="exact"/>
              <w:jc w:val="center"/>
              <w:rPr>
                <w:rFonts w:ascii="Times New Roman" w:hAnsi="Times New Roman" w:cs="Times New Roman"/>
                <w:color w:val="auto"/>
                <w:sz w:val="15"/>
                <w:szCs w:val="15"/>
              </w:rPr>
            </w:pPr>
          </w:p>
        </w:tc>
        <w:tc>
          <w:tcPr>
            <w:tcW w:w="800" w:type="dxa"/>
            <w:tcMar>
              <w:left w:w="57" w:type="dxa"/>
              <w:right w:w="57" w:type="dxa"/>
            </w:tcMar>
            <w:vAlign w:val="center"/>
          </w:tcPr>
          <w:p>
            <w:pPr>
              <w:spacing w:line="200" w:lineRule="exact"/>
              <w:jc w:val="center"/>
              <w:rPr>
                <w:rFonts w:ascii="Times New Roman" w:hAnsi="Times New Roman" w:cs="Times New Roman"/>
                <w:color w:val="auto"/>
                <w:sz w:val="15"/>
                <w:szCs w:val="15"/>
              </w:rPr>
            </w:pPr>
            <w:r>
              <w:rPr>
                <w:rFonts w:hint="default" w:ascii="Times New Roman" w:hAnsi="Times New Roman" w:cs="Times New Roman"/>
                <w:color w:val="auto"/>
                <w:sz w:val="15"/>
                <w:szCs w:val="15"/>
              </w:rPr>
              <w:t>+1.297</w:t>
            </w:r>
          </w:p>
        </w:tc>
      </w:tr>
    </w:tbl>
    <w:p>
      <w:pPr>
        <w:spacing w:line="240" w:lineRule="exact"/>
        <w:rPr>
          <w:rFonts w:ascii="Times New Roman" w:hAnsi="Times New Roman" w:cs="Times New Roman"/>
          <w:color w:val="auto"/>
          <w:sz w:val="15"/>
          <w:szCs w:val="15"/>
        </w:rPr>
      </w:pPr>
      <w:r>
        <w:rPr>
          <w:rFonts w:ascii="Times New Roman" w:hAnsi="Times New Roman" w:cs="Times New Roman"/>
          <w:b/>
          <w:color w:val="auto"/>
          <w:sz w:val="15"/>
          <w:szCs w:val="15"/>
        </w:rPr>
        <w:t>注</w:t>
      </w:r>
      <w:r>
        <w:rPr>
          <w:rFonts w:ascii="Times New Roman" w:hAnsi="Times New Roman" w:cs="Times New Roman"/>
          <w:color w:val="auto"/>
          <w:sz w:val="15"/>
          <w:szCs w:val="15"/>
        </w:rPr>
        <w:t>：1、</w:t>
      </w:r>
      <w:r>
        <w:rPr>
          <w:rFonts w:ascii="Times New Roman" w:hAnsi="Times New Roman" w:cs="Times New Roman"/>
          <w:color w:val="auto"/>
          <w:spacing w:val="-4"/>
          <w:sz w:val="15"/>
          <w:szCs w:val="15"/>
        </w:rPr>
        <w:t>排放增减量：（+）表示增加，（-）表示减少。2、(12)=(6)-(8)-(11)，（9）= (4)-(5)-(8)- (11) +（1）。3、计量单位：废水排放量——万吨/年；废气排放量——万标立方米/年；工业固体废物排放</w:t>
      </w:r>
      <w:r>
        <w:rPr>
          <w:rFonts w:ascii="Times New Roman" w:hAnsi="Times New Roman" w:cs="Times New Roman"/>
          <w:color w:val="auto"/>
          <w:sz w:val="15"/>
          <w:szCs w:val="15"/>
        </w:rPr>
        <w:t>量——万吨/年；水污染物排放浓度——毫克/升</w:t>
      </w:r>
    </w:p>
    <w:p>
      <w:pPr>
        <w:spacing w:line="360" w:lineRule="auto"/>
        <w:rPr>
          <w:rFonts w:ascii="Times New Roman" w:hAnsi="Times New Roman" w:cs="Times New Roman"/>
          <w:b/>
          <w:color w:val="auto"/>
          <w:sz w:val="24"/>
          <w:szCs w:val="24"/>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bookmarkEnd w:id="141"/>
    <w:bookmarkEnd w:id="142"/>
    <w:bookmarkEnd w:id="143"/>
    <w:bookmarkEnd w:id="144"/>
    <w:p>
      <w:pPr>
        <w:spacing w:line="360" w:lineRule="auto"/>
        <w:jc w:val="center"/>
        <w:rPr>
          <w:rFonts w:ascii="Times New Roman" w:hAnsi="Times New Roman" w:cs="Times New Roman"/>
          <w:color w:val="auto"/>
        </w:rPr>
      </w:pPr>
      <w:bookmarkStart w:id="214" w:name="_Toc85120934"/>
      <w:bookmarkStart w:id="215" w:name="_Toc62122442"/>
      <w:bookmarkStart w:id="216" w:name="_Toc62118309"/>
      <w:bookmarkStart w:id="217" w:name="_Toc524300608"/>
      <w:bookmarkStart w:id="218" w:name="_Toc524637292"/>
      <w:bookmarkStart w:id="219" w:name="_Toc62118310"/>
      <w:bookmarkStart w:id="220" w:name="_Toc524636455"/>
      <w:bookmarkStart w:id="221" w:name="_Toc62122443"/>
      <w:bookmarkStart w:id="222" w:name="_Toc524636521"/>
      <w:r>
        <w:rPr>
          <w:rFonts w:ascii="Times New Roman" w:hAnsi="Times New Roman" w:cs="Times New Roman"/>
          <w:color w:val="auto"/>
          <w:sz w:val="24"/>
          <w:szCs w:val="24"/>
        </w:rPr>
        <mc:AlternateContent>
          <mc:Choice Requires="wps">
            <w:drawing>
              <wp:anchor distT="0" distB="0" distL="114300" distR="114300" simplePos="0" relativeHeight="251660288" behindDoc="0" locked="0" layoutInCell="1" allowOverlap="1">
                <wp:simplePos x="0" y="0"/>
                <wp:positionH relativeFrom="column">
                  <wp:posOffset>4096385</wp:posOffset>
                </wp:positionH>
                <wp:positionV relativeFrom="paragraph">
                  <wp:posOffset>299085</wp:posOffset>
                </wp:positionV>
                <wp:extent cx="1565275" cy="629920"/>
                <wp:effectExtent l="139065" t="4445" r="10160" b="289560"/>
                <wp:wrapNone/>
                <wp:docPr id="34" name="圆角矩形标注 34"/>
                <wp:cNvGraphicFramePr/>
                <a:graphic xmlns:a="http://schemas.openxmlformats.org/drawingml/2006/main">
                  <a:graphicData uri="http://schemas.microsoft.com/office/word/2010/wordprocessingShape">
                    <wps:wsp>
                      <wps:cNvSpPr/>
                      <wps:spPr>
                        <a:xfrm>
                          <a:off x="0" y="0"/>
                          <a:ext cx="1565275" cy="629920"/>
                        </a:xfrm>
                        <a:prstGeom prst="wedgeRoundRectCallout">
                          <a:avLst>
                            <a:gd name="adj1" fmla="val -57019"/>
                            <a:gd name="adj2" fmla="val 93449"/>
                            <a:gd name="adj3" fmla="val 16667"/>
                          </a:avLst>
                        </a:prstGeom>
                        <a:solidFill>
                          <a:srgbClr val="FFFFFF"/>
                        </a:solidFill>
                        <a:ln w="9525" cap="flat" cmpd="sng">
                          <a:solidFill>
                            <a:srgbClr val="000000"/>
                          </a:solidFill>
                          <a:prstDash val="solid"/>
                          <a:miter/>
                          <a:headEnd type="none" w="med" len="med"/>
                          <a:tailEnd type="none" w="med" len="med"/>
                        </a:ln>
                      </wps:spPr>
                      <wps:txbx>
                        <w:txbxContent>
                          <w:p>
                            <w:pPr>
                              <w:adjustRightInd w:val="0"/>
                              <w:snapToGrid w:val="0"/>
                              <w:rPr>
                                <w:b/>
                              </w:rPr>
                            </w:pPr>
                            <w:r>
                              <w:rPr>
                                <w:rFonts w:hint="eastAsia"/>
                                <w:b/>
                              </w:rPr>
                              <w:t>东经113.249101052，北纬29.5060111442</w:t>
                            </w:r>
                          </w:p>
                        </w:txbxContent>
                      </wps:txbx>
                      <wps:bodyPr upright="1"/>
                    </wps:wsp>
                  </a:graphicData>
                </a:graphic>
              </wp:anchor>
            </w:drawing>
          </mc:Choice>
          <mc:Fallback>
            <w:pict>
              <v:shape id="_x0000_s1026" o:spid="_x0000_s1026" o:spt="62" type="#_x0000_t62" style="position:absolute;left:0pt;margin-left:322.55pt;margin-top:23.55pt;height:49.6pt;width:123.25pt;z-index:251660288;mso-width-relative:page;mso-height-relative:page;" fillcolor="#FFFFFF" filled="t" stroked="t" coordsize="21600,21600" o:gfxdata="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gYXsB9sAAAAK&#10;AQAADwAAAAAAAAABACAAAAAiAAAAZHJzL2Rvd25yZXYueG1sUEsBAhQAFAAAAAgAh07iQE6o7oJS&#10;AgAAvgQAAA4AAAAAAAAAAQAgAAAAKgEAAGRycy9lMm9Eb2MueG1sUEsFBgAAAAAGAAYAWQEAAO4F&#10;AAAAAA==&#10;" adj="-1516,30985,14400">
                <v:fill on="t" focussize="0,0"/>
                <v:stroke color="#000000" joinstyle="miter"/>
                <v:imagedata o:title=""/>
                <o:lock v:ext="edit" aspectratio="f"/>
                <v:textbox>
                  <w:txbxContent>
                    <w:p>
                      <w:pPr>
                        <w:adjustRightInd w:val="0"/>
                        <w:snapToGrid w:val="0"/>
                        <w:rPr>
                          <w:b/>
                        </w:rPr>
                      </w:pPr>
                      <w:r>
                        <w:rPr>
                          <w:rFonts w:hint="eastAsia"/>
                          <w:b/>
                        </w:rPr>
                        <w:t>东经113.249101052，北纬29.5060111442</w:t>
                      </w:r>
                    </w:p>
                  </w:txbxContent>
                </v:textbox>
              </v:shape>
            </w:pict>
          </mc:Fallback>
        </mc:AlternateContent>
      </w:r>
      <w:r>
        <w:rPr>
          <w:rFonts w:ascii="Times New Roman" w:hAnsi="Times New Roman" w:cs="Times New Roman"/>
          <w:color w:val="auto"/>
          <w:sz w:val="24"/>
          <w:szCs w:val="24"/>
        </w:rPr>
        <mc:AlternateContent>
          <mc:Choice Requires="wps">
            <w:drawing>
              <wp:anchor distT="0" distB="0" distL="114300" distR="114300" simplePos="0" relativeHeight="251663360" behindDoc="0" locked="0" layoutInCell="1" allowOverlap="1">
                <wp:simplePos x="0" y="0"/>
                <wp:positionH relativeFrom="column">
                  <wp:posOffset>3976370</wp:posOffset>
                </wp:positionH>
                <wp:positionV relativeFrom="paragraph">
                  <wp:posOffset>1235075</wp:posOffset>
                </wp:positionV>
                <wp:extent cx="3640455" cy="1807210"/>
                <wp:effectExtent l="0" t="0" r="7620" b="12065"/>
                <wp:wrapNone/>
                <wp:docPr id="35" name="直接箭头连接符 35"/>
                <wp:cNvGraphicFramePr/>
                <a:graphic xmlns:a="http://schemas.openxmlformats.org/drawingml/2006/main">
                  <a:graphicData uri="http://schemas.microsoft.com/office/word/2010/wordprocessingShape">
                    <wps:wsp>
                      <wps:cNvCnPr/>
                      <wps:spPr>
                        <a:xfrm flipH="1" flipV="1">
                          <a:off x="0" y="0"/>
                          <a:ext cx="3640455" cy="1807210"/>
                        </a:xfrm>
                        <a:prstGeom prst="straightConnector1">
                          <a:avLst/>
                        </a:prstGeom>
                        <a:ln w="12700" cap="flat" cmpd="sng">
                          <a:solidFill>
                            <a:srgbClr val="FF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flip:x y;margin-left:313.1pt;margin-top:97.25pt;height:142.3pt;width:286.65pt;z-index:251663360;mso-width-relative:page;mso-height-relative:page;" filled="f" stroked="t" coordsize="21600,21600" o:gfxdata="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KNiqQvaAAAA&#10;DAEAAA8AAAAAAAAAAQAgAAAAIgAAAGRycy9kb3ducmV2LnhtbFBLAQIUABQAAAAIAIdO4kBq7jKk&#10;GwIAAA0EAAAOAAAAAAAAAAEAIAAAACkBAABkcnMvZTJvRG9jLnhtbFBLBQYAAAAABgAGAFkBAAC2&#10;BQAAAAA=&#10;">
                <v:fill on="f" focussize="0,0"/>
                <v:stroke weight="1pt" color="#FF0000" joinstyle="round" endarrow="block"/>
                <v:imagedata o:title=""/>
                <o:lock v:ext="edit" aspectratio="f"/>
              </v:shape>
            </w:pict>
          </mc:Fallback>
        </mc:AlternateContent>
      </w:r>
      <w:r>
        <w:rPr>
          <w:rFonts w:ascii="Times New Roman" w:hAnsi="Times New Roman" w:cs="Times New Roman"/>
          <w:color w:val="auto"/>
          <w:sz w:val="24"/>
          <w:szCs w:val="24"/>
        </w:rPr>
        <mc:AlternateContent>
          <mc:Choice Requires="wps">
            <w:drawing>
              <wp:anchor distT="0" distB="0" distL="114300" distR="114300" simplePos="0" relativeHeight="251664384" behindDoc="0" locked="0" layoutInCell="1" allowOverlap="1">
                <wp:simplePos x="0" y="0"/>
                <wp:positionH relativeFrom="column">
                  <wp:posOffset>3868420</wp:posOffset>
                </wp:positionH>
                <wp:positionV relativeFrom="paragraph">
                  <wp:posOffset>1163955</wp:posOffset>
                </wp:positionV>
                <wp:extent cx="107950" cy="107950"/>
                <wp:effectExtent l="4445" t="4445" r="11430" b="11430"/>
                <wp:wrapNone/>
                <wp:docPr id="36" name="流程图: 联系 36"/>
                <wp:cNvGraphicFramePr/>
                <a:graphic xmlns:a="http://schemas.openxmlformats.org/drawingml/2006/main">
                  <a:graphicData uri="http://schemas.microsoft.com/office/word/2010/wordprocessingShape">
                    <wps:wsp>
                      <wps:cNvSpPr/>
                      <wps:spPr>
                        <a:xfrm>
                          <a:off x="0" y="0"/>
                          <a:ext cx="107950" cy="107950"/>
                        </a:xfrm>
                        <a:prstGeom prst="flowChartConnector">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120" type="#_x0000_t120" style="position:absolute;left:0pt;margin-left:304.6pt;margin-top:91.65pt;height:8.5pt;width:8.5pt;z-index:251664384;mso-width-relative:page;mso-height-relative:page;" fillcolor="#FF0000" filled="t" stroked="t" coordsize="21600,21600" o:gfxdata="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2L+8KNgAAAALAQAADwAAAAAAAAABACAA&#10;AAAiAAAAZHJzL2Rvd25yZXYueG1sUEsBAhQAFAAAAAgAh07iQAcWPlkNAgAALgQAAA4AAAAAAAAA&#10;AQAgAAAAJwEAAGRycy9lMm9Eb2MueG1sUEsFBgAAAAAGAAYAWQEAAKYFAAAAAA==&#10;">
                <v:fill on="t" focussize="0,0"/>
                <v:stroke color="#FF0000" joinstyle="round"/>
                <v:imagedata o:title=""/>
                <o:lock v:ext="edit" aspectratio="f"/>
              </v:shape>
            </w:pict>
          </mc:Fallback>
        </mc:AlternateContent>
      </w:r>
      <w:r>
        <w:rPr>
          <w:rFonts w:ascii="Times New Roman" w:hAnsi="Times New Roman" w:cs="Times New Roman"/>
          <w:color w:val="auto"/>
          <w:sz w:val="24"/>
          <w:szCs w:val="24"/>
        </w:rPr>
        <mc:AlternateContent>
          <mc:Choice Requires="wps">
            <w:drawing>
              <wp:anchor distT="0" distB="0" distL="114300" distR="114300" simplePos="0" relativeHeight="251665408" behindDoc="0" locked="0" layoutInCell="1" allowOverlap="1">
                <wp:simplePos x="0" y="0"/>
                <wp:positionH relativeFrom="column">
                  <wp:posOffset>7616825</wp:posOffset>
                </wp:positionH>
                <wp:positionV relativeFrom="paragraph">
                  <wp:posOffset>3042285</wp:posOffset>
                </wp:positionV>
                <wp:extent cx="53975" cy="53975"/>
                <wp:effectExtent l="4445" t="4445" r="8255" b="8255"/>
                <wp:wrapNone/>
                <wp:docPr id="37" name="流程图: 联系 37"/>
                <wp:cNvGraphicFramePr/>
                <a:graphic xmlns:a="http://schemas.openxmlformats.org/drawingml/2006/main">
                  <a:graphicData uri="http://schemas.microsoft.com/office/word/2010/wordprocessingShape">
                    <wps:wsp>
                      <wps:cNvSpPr/>
                      <wps:spPr>
                        <a:xfrm>
                          <a:off x="0" y="0"/>
                          <a:ext cx="53975" cy="53975"/>
                        </a:xfrm>
                        <a:prstGeom prst="flowChartConnector">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120" type="#_x0000_t120" style="position:absolute;left:0pt;margin-left:599.75pt;margin-top:239.55pt;height:4.25pt;width:4.25pt;z-index:251665408;mso-width-relative:page;mso-height-relative:page;" fillcolor="#FF0000" filled="t" stroked="t" coordsize="21600,21600" o:gfxdata="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oNSxx3AAAAA0BAAAPAAAAAAAAAAEA&#10;IAAAACIAAABkcnMvZG93bnJldi54bWxQSwECFAAUAAAACACHTuJAhCp8bAsCAAAsBAAADgAAAAAA&#10;AAABACAAAAArAQAAZHJzL2Uyb0RvYy54bWxQSwUGAAAAAAYABgBZAQAAqAUAAAAA&#10;">
                <v:fill on="t" focussize="0,0"/>
                <v:stroke color="#FF0000" joinstyle="round"/>
                <v:imagedata o:title=""/>
                <o:lock v:ext="edit" aspectratio="f"/>
              </v:shape>
            </w:pict>
          </mc:Fallback>
        </mc:AlternateContent>
      </w:r>
      <w:r>
        <w:rPr>
          <w:rFonts w:ascii="Times New Roman" w:hAnsi="Times New Roman" w:cs="Times New Roman"/>
          <w:color w:val="auto"/>
          <w:sz w:val="24"/>
          <w:szCs w:val="24"/>
        </w:rPr>
        <w:drawing>
          <wp:anchor distT="0" distB="0" distL="114300" distR="114300" simplePos="0" relativeHeight="251666432" behindDoc="0" locked="0" layoutInCell="1" allowOverlap="1">
            <wp:simplePos x="0" y="0"/>
            <wp:positionH relativeFrom="column">
              <wp:posOffset>8290560</wp:posOffset>
            </wp:positionH>
            <wp:positionV relativeFrom="paragraph">
              <wp:posOffset>29210</wp:posOffset>
            </wp:positionV>
            <wp:extent cx="575945" cy="1072515"/>
            <wp:effectExtent l="0" t="0" r="5080" b="3810"/>
            <wp:wrapNone/>
            <wp:docPr id="39" name="图片 3" descr="说明: 岳阳县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 descr="说明: 岳阳县风玫瑰"/>
                    <pic:cNvPicPr>
                      <a:picLocks noChangeAspect="1"/>
                    </pic:cNvPicPr>
                  </pic:nvPicPr>
                  <pic:blipFill>
                    <a:blip r:embed="rId73"/>
                    <a:srcRect l="15459" r="20805"/>
                    <a:stretch>
                      <a:fillRect/>
                    </a:stretch>
                  </pic:blipFill>
                  <pic:spPr>
                    <a:xfrm>
                      <a:off x="0" y="0"/>
                      <a:ext cx="575945" cy="1072515"/>
                    </a:xfrm>
                    <a:prstGeom prst="rect">
                      <a:avLst/>
                    </a:prstGeom>
                    <a:noFill/>
                    <a:ln>
                      <a:noFill/>
                    </a:ln>
                  </pic:spPr>
                </pic:pic>
              </a:graphicData>
            </a:graphic>
          </wp:anchor>
        </w:drawing>
      </w:r>
      <w:r>
        <w:rPr>
          <w:rFonts w:ascii="Times New Roman" w:hAnsi="Times New Roman" w:cs="Times New Roman"/>
          <w:color w:val="auto"/>
        </w:rPr>
        <w:drawing>
          <wp:anchor distT="0" distB="0" distL="114300" distR="114300" simplePos="0" relativeHeight="251662336" behindDoc="0" locked="0" layoutInCell="1" allowOverlap="1">
            <wp:simplePos x="0" y="0"/>
            <wp:positionH relativeFrom="column">
              <wp:posOffset>6275705</wp:posOffset>
            </wp:positionH>
            <wp:positionV relativeFrom="paragraph">
              <wp:posOffset>2619375</wp:posOffset>
            </wp:positionV>
            <wp:extent cx="2590800" cy="2324100"/>
            <wp:effectExtent l="9525" t="9525" r="9525" b="9525"/>
            <wp:wrapNone/>
            <wp:docPr id="40" name="图片 7" descr="20096201827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7" descr="200962018271571"/>
                    <pic:cNvPicPr>
                      <a:picLocks noChangeAspect="1"/>
                    </pic:cNvPicPr>
                  </pic:nvPicPr>
                  <pic:blipFill>
                    <a:blip r:embed="rId74"/>
                    <a:stretch>
                      <a:fillRect/>
                    </a:stretch>
                  </pic:blipFill>
                  <pic:spPr>
                    <a:xfrm>
                      <a:off x="0" y="0"/>
                      <a:ext cx="2590800" cy="2324100"/>
                    </a:xfrm>
                    <a:prstGeom prst="rect">
                      <a:avLst/>
                    </a:prstGeom>
                    <a:noFill/>
                    <a:ln w="9525" cap="flat" cmpd="sng">
                      <a:solidFill>
                        <a:srgbClr val="000000"/>
                      </a:solidFill>
                      <a:prstDash val="solid"/>
                      <a:miter/>
                      <a:headEnd type="none" w="med" len="med"/>
                      <a:tailEnd type="none" w="med" len="med"/>
                    </a:ln>
                  </pic:spPr>
                </pic:pic>
              </a:graphicData>
            </a:graphic>
          </wp:anchor>
        </w:drawing>
      </w:r>
      <w:r>
        <w:rPr>
          <w:rFonts w:ascii="Times New Roman" w:hAnsi="Times New Roman" w:cs="Times New Roman"/>
          <w:color w:val="auto"/>
          <w:sz w:val="24"/>
          <w:szCs w:val="24"/>
        </w:rPr>
        <mc:AlternateContent>
          <mc:Choice Requires="wps">
            <w:drawing>
              <wp:anchor distT="0" distB="0" distL="114300" distR="114300" simplePos="0" relativeHeight="251661312" behindDoc="0" locked="0" layoutInCell="1" allowOverlap="1">
                <wp:simplePos x="0" y="0"/>
                <wp:positionH relativeFrom="column">
                  <wp:posOffset>0</wp:posOffset>
                </wp:positionH>
                <wp:positionV relativeFrom="paragraph">
                  <wp:posOffset>4269105</wp:posOffset>
                </wp:positionV>
                <wp:extent cx="1447800" cy="676275"/>
                <wp:effectExtent l="4445" t="4445" r="5080" b="5080"/>
                <wp:wrapNone/>
                <wp:docPr id="47" name="文本框 47"/>
                <wp:cNvGraphicFramePr/>
                <a:graphic xmlns:a="http://schemas.openxmlformats.org/drawingml/2006/main">
                  <a:graphicData uri="http://schemas.microsoft.com/office/word/2010/wordprocessingShape">
                    <wps:wsp>
                      <wps:cNvSpPr txBox="1"/>
                      <wps:spPr>
                        <a:xfrm>
                          <a:off x="0" y="0"/>
                          <a:ext cx="1447800" cy="67627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b/>
                              </w:rPr>
                            </w:pPr>
                            <w:r>
                              <w:rPr>
                                <w:rFonts w:hint="eastAsia"/>
                                <w:b/>
                              </w:rPr>
                              <w:t>比例：</w:t>
                            </w:r>
                          </w:p>
                          <w:p>
                            <w:pPr>
                              <w:jc w:val="center"/>
                              <w:rPr>
                                <w:sz w:val="24"/>
                              </w:rPr>
                            </w:pPr>
                            <w:r>
                              <w:rPr>
                                <w:sz w:val="24"/>
                              </w:rPr>
                              <w:drawing>
                                <wp:inline distT="0" distB="0" distL="114300" distR="114300">
                                  <wp:extent cx="1018540" cy="99060"/>
                                  <wp:effectExtent l="0" t="0" r="635" b="5715"/>
                                  <wp:docPr id="4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9"/>
                                          <pic:cNvPicPr>
                                            <a:picLocks noChangeAspect="1"/>
                                          </pic:cNvPicPr>
                                        </pic:nvPicPr>
                                        <pic:blipFill>
                                          <a:blip r:embed="rId75"/>
                                          <a:stretch>
                                            <a:fillRect/>
                                          </a:stretch>
                                        </pic:blipFill>
                                        <pic:spPr>
                                          <a:xfrm>
                                            <a:off x="0" y="0"/>
                                            <a:ext cx="1018540" cy="99060"/>
                                          </a:xfrm>
                                          <a:prstGeom prst="rect">
                                            <a:avLst/>
                                          </a:prstGeom>
                                          <a:noFill/>
                                          <a:ln>
                                            <a:noFill/>
                                          </a:ln>
                                        </pic:spPr>
                                      </pic:pic>
                                    </a:graphicData>
                                  </a:graphic>
                                </wp:inline>
                              </w:drawing>
                            </w:r>
                          </w:p>
                          <w:p>
                            <w:pPr>
                              <w:wordWrap w:val="0"/>
                              <w:ind w:left="-105" w:leftChars="-50" w:right="-210" w:rightChars="-100" w:firstLine="105" w:firstLineChars="50"/>
                              <w:jc w:val="left"/>
                            </w:pPr>
                            <w:r>
                              <w:rPr>
                                <w:rFonts w:hint="eastAsia"/>
                              </w:rPr>
                              <w:t>0  540  1080  1620m</w:t>
                            </w:r>
                          </w:p>
                        </w:txbxContent>
                      </wps:txbx>
                      <wps:bodyPr upright="1"/>
                    </wps:wsp>
                  </a:graphicData>
                </a:graphic>
              </wp:anchor>
            </w:drawing>
          </mc:Choice>
          <mc:Fallback>
            <w:pict>
              <v:shape id="_x0000_s1026" o:spid="_x0000_s1026" o:spt="202" type="#_x0000_t202" style="position:absolute;left:0pt;margin-left:0pt;margin-top:336.15pt;height:53.25pt;width:114pt;z-index:251661312;mso-width-relative:page;mso-height-relative:page;" fillcolor="#FFFFFF" filled="t" stroked="t" coordsize="21600,21600" o:gfxdata="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OvU6cXXAAAACAEAAA8AAAAAAAAAAQAgAAAA&#10;IgAAAGRycy9kb3ducmV2LnhtbFBLAQIUABQAAAAIAIdO4kDNRWXhDAIAADgEAAAOAAAAAAAAAAEA&#10;IAAAACYBAABkcnMvZTJvRG9jLnhtbFBLBQYAAAAABgAGAFkBAACkBQAAAAA=&#10;">
                <v:fill on="t" focussize="0,0"/>
                <v:stroke color="#000000" joinstyle="miter"/>
                <v:imagedata o:title=""/>
                <o:lock v:ext="edit" aspectratio="f"/>
                <v:textbox>
                  <w:txbxContent>
                    <w:p>
                      <w:pPr>
                        <w:rPr>
                          <w:b/>
                        </w:rPr>
                      </w:pPr>
                      <w:r>
                        <w:rPr>
                          <w:rFonts w:hint="eastAsia"/>
                          <w:b/>
                        </w:rPr>
                        <w:t>比例：</w:t>
                      </w:r>
                    </w:p>
                    <w:p>
                      <w:pPr>
                        <w:jc w:val="center"/>
                        <w:rPr>
                          <w:sz w:val="24"/>
                        </w:rPr>
                      </w:pPr>
                      <w:r>
                        <w:rPr>
                          <w:sz w:val="24"/>
                        </w:rPr>
                        <w:drawing>
                          <wp:inline distT="0" distB="0" distL="114300" distR="114300">
                            <wp:extent cx="1018540" cy="99060"/>
                            <wp:effectExtent l="0" t="0" r="635" b="5715"/>
                            <wp:docPr id="4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9"/>
                                    <pic:cNvPicPr>
                                      <a:picLocks noChangeAspect="1"/>
                                    </pic:cNvPicPr>
                                  </pic:nvPicPr>
                                  <pic:blipFill>
                                    <a:blip r:embed="rId75"/>
                                    <a:stretch>
                                      <a:fillRect/>
                                    </a:stretch>
                                  </pic:blipFill>
                                  <pic:spPr>
                                    <a:xfrm>
                                      <a:off x="0" y="0"/>
                                      <a:ext cx="1018540" cy="99060"/>
                                    </a:xfrm>
                                    <a:prstGeom prst="rect">
                                      <a:avLst/>
                                    </a:prstGeom>
                                    <a:noFill/>
                                    <a:ln>
                                      <a:noFill/>
                                    </a:ln>
                                  </pic:spPr>
                                </pic:pic>
                              </a:graphicData>
                            </a:graphic>
                          </wp:inline>
                        </w:drawing>
                      </w:r>
                    </w:p>
                    <w:p>
                      <w:pPr>
                        <w:wordWrap w:val="0"/>
                        <w:ind w:left="-105" w:leftChars="-50" w:right="-210" w:rightChars="-100" w:firstLine="105" w:firstLineChars="50"/>
                        <w:jc w:val="left"/>
                      </w:pPr>
                      <w:r>
                        <w:rPr>
                          <w:rFonts w:hint="eastAsia"/>
                        </w:rPr>
                        <w:t>0  540  1080  1620m</w:t>
                      </w:r>
                    </w:p>
                  </w:txbxContent>
                </v:textbox>
              </v:shape>
            </w:pict>
          </mc:Fallback>
        </mc:AlternateContent>
      </w:r>
      <w:r>
        <w:rPr>
          <w:rFonts w:ascii="Times New Roman" w:hAnsi="Times New Roman" w:cs="Times New Roman"/>
          <w:color w:val="auto"/>
          <w:sz w:val="24"/>
          <w:szCs w:val="24"/>
        </w:rPr>
        <w:drawing>
          <wp:inline distT="0" distB="0" distL="114300" distR="114300">
            <wp:extent cx="8856345" cy="4916170"/>
            <wp:effectExtent l="0" t="0" r="1905" b="8255"/>
            <wp:docPr id="49" name="图片 10" descr="位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0" descr="位置图"/>
                    <pic:cNvPicPr>
                      <a:picLocks noChangeAspect="1"/>
                    </pic:cNvPicPr>
                  </pic:nvPicPr>
                  <pic:blipFill>
                    <a:blip r:embed="rId76"/>
                    <a:stretch>
                      <a:fillRect/>
                    </a:stretch>
                  </pic:blipFill>
                  <pic:spPr>
                    <a:xfrm>
                      <a:off x="0" y="0"/>
                      <a:ext cx="8856345" cy="4916170"/>
                    </a:xfrm>
                    <a:prstGeom prst="rect">
                      <a:avLst/>
                    </a:prstGeom>
                    <a:noFill/>
                    <a:ln>
                      <a:noFill/>
                    </a:ln>
                  </pic:spPr>
                </pic:pic>
              </a:graphicData>
            </a:graphic>
          </wp:inline>
        </w:drawing>
      </w:r>
    </w:p>
    <w:p>
      <w:pPr>
        <w:spacing w:line="360" w:lineRule="auto"/>
        <w:jc w:val="center"/>
        <w:outlineLvl w:val="0"/>
        <w:rPr>
          <w:rFonts w:ascii="Times New Roman" w:hAnsi="Times New Roman" w:cs="Times New Roman"/>
          <w:b/>
          <w:bCs/>
          <w:color w:val="auto"/>
          <w:sz w:val="24"/>
          <w:szCs w:val="24"/>
        </w:rPr>
      </w:pPr>
      <w:bookmarkStart w:id="223" w:name="_Toc16901"/>
      <w:r>
        <w:rPr>
          <w:rFonts w:hint="default" w:ascii="Times New Roman" w:hAnsi="Times New Roman" w:cs="Times New Roman"/>
          <w:b/>
          <w:bCs/>
          <w:color w:val="auto"/>
          <w:sz w:val="24"/>
          <w:szCs w:val="24"/>
        </w:rPr>
        <w:t>附图1</w:t>
      </w:r>
      <w:bookmarkStart w:id="224" w:name="_Toc524636454"/>
      <w:bookmarkStart w:id="225" w:name="_Toc524636520"/>
      <w:bookmarkStart w:id="226" w:name="_Toc524637291"/>
      <w:bookmarkStart w:id="227" w:name="_Toc524300607"/>
      <w:r>
        <w:rPr>
          <w:rFonts w:ascii="Times New Roman" w:hAnsi="Times New Roman" w:cs="Times New Roman"/>
          <w:b/>
          <w:bCs/>
          <w:color w:val="auto"/>
          <w:sz w:val="24"/>
          <w:szCs w:val="24"/>
        </w:rPr>
        <w:t xml:space="preserve">  </w:t>
      </w:r>
      <w:r>
        <w:rPr>
          <w:rFonts w:hint="default" w:ascii="Times New Roman" w:hAnsi="Times New Roman" w:cs="Times New Roman"/>
          <w:b/>
          <w:bCs/>
          <w:color w:val="auto"/>
          <w:sz w:val="24"/>
          <w:szCs w:val="24"/>
        </w:rPr>
        <w:t>项目地理位置图</w:t>
      </w:r>
      <w:bookmarkEnd w:id="214"/>
      <w:bookmarkEnd w:id="215"/>
      <w:bookmarkEnd w:id="216"/>
      <w:bookmarkEnd w:id="223"/>
      <w:bookmarkEnd w:id="224"/>
      <w:bookmarkEnd w:id="225"/>
      <w:bookmarkEnd w:id="226"/>
      <w:bookmarkEnd w:id="227"/>
    </w:p>
    <w:p>
      <w:pPr>
        <w:jc w:val="center"/>
        <w:rPr>
          <w:rFonts w:ascii="Times New Roman" w:hAnsi="Times New Roman" w:cs="Times New Roman"/>
          <w:color w:val="auto"/>
          <w:sz w:val="24"/>
          <w:szCs w:val="24"/>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bookmarkEnd w:id="217"/>
    <w:bookmarkEnd w:id="218"/>
    <w:bookmarkEnd w:id="219"/>
    <w:bookmarkEnd w:id="220"/>
    <w:bookmarkEnd w:id="221"/>
    <w:bookmarkEnd w:id="222"/>
    <w:p>
      <w:pPr>
        <w:rPr>
          <w:rFonts w:ascii="Times New Roman" w:hAnsi="Times New Roman" w:cs="Times New Roman"/>
          <w:color w:val="auto"/>
          <w:sz w:val="24"/>
          <w:szCs w:val="24"/>
        </w:rPr>
      </w:pPr>
      <w:r>
        <w:rPr>
          <w:rFonts w:ascii="Times New Roman" w:hAnsi="Times New Roman" w:cs="Times New Roman"/>
          <w:b/>
          <w:bCs/>
          <w:color w:val="auto"/>
          <w:sz w:val="28"/>
          <w:szCs w:val="28"/>
        </w:rPr>
        <mc:AlternateContent>
          <mc:Choice Requires="wps">
            <w:drawing>
              <wp:anchor distT="0" distB="0" distL="114300" distR="114300" simplePos="0" relativeHeight="251659264" behindDoc="0" locked="0" layoutInCell="1" allowOverlap="1">
                <wp:simplePos x="0" y="0"/>
                <wp:positionH relativeFrom="margin">
                  <wp:posOffset>-123190</wp:posOffset>
                </wp:positionH>
                <wp:positionV relativeFrom="paragraph">
                  <wp:posOffset>8173720</wp:posOffset>
                </wp:positionV>
                <wp:extent cx="5753100" cy="400050"/>
                <wp:effectExtent l="0" t="0" r="0" b="0"/>
                <wp:wrapNone/>
                <wp:docPr id="41" name="矩形 41"/>
                <wp:cNvGraphicFramePr/>
                <a:graphic xmlns:a="http://schemas.openxmlformats.org/drawingml/2006/main">
                  <a:graphicData uri="http://schemas.microsoft.com/office/word/2010/wordprocessingShape">
                    <wps:wsp>
                      <wps:cNvSpPr>
                        <a:spLocks noChangeArrowheads="1"/>
                      </wps:cNvSpPr>
                      <wps:spPr bwMode="auto">
                        <a:xfrm>
                          <a:off x="0" y="0"/>
                          <a:ext cx="5753100" cy="400050"/>
                        </a:xfrm>
                        <a:prstGeom prst="rect">
                          <a:avLst/>
                        </a:prstGeom>
                        <a:solidFill>
                          <a:srgbClr val="FFFFFF"/>
                        </a:solidFill>
                        <a:ln w="9525">
                          <a:noFill/>
                          <a:miter lim="800000"/>
                        </a:ln>
                      </wps:spPr>
                      <wps:txbx>
                        <w:txbxContent>
                          <w:p>
                            <w:pPr>
                              <w:jc w:val="center"/>
                              <w:rPr>
                                <w:rFonts w:hint="eastAsia" w:eastAsiaTheme="minorEastAsia"/>
                                <w:lang w:eastAsia="zh-CN"/>
                              </w:rPr>
                            </w:pPr>
                            <w:r>
                              <w:rPr>
                                <w:rFonts w:hint="eastAsia" w:ascii="Times New Roman" w:hAnsi="Times New Roman"/>
                                <w:b/>
                                <w:bCs/>
                                <w:color w:val="000000"/>
                                <w:sz w:val="28"/>
                                <w:szCs w:val="28"/>
                              </w:rPr>
                              <w:t>附图2  总项目平面布置图</w:t>
                            </w:r>
                            <w:r>
                              <w:rPr>
                                <w:rFonts w:hint="eastAsia" w:ascii="Times New Roman" w:hAnsi="Times New Roman"/>
                                <w:b/>
                                <w:bCs/>
                                <w:color w:val="000000"/>
                                <w:sz w:val="28"/>
                                <w:szCs w:val="28"/>
                                <w:lang w:eastAsia="zh-CN"/>
                              </w:rPr>
                              <w:t>（</w:t>
                            </w:r>
                            <w:r>
                              <w:rPr>
                                <w:rFonts w:hint="eastAsia" w:ascii="Times New Roman" w:hAnsi="Times New Roman"/>
                                <w:b/>
                                <w:bCs/>
                                <w:color w:val="000000"/>
                                <w:sz w:val="28"/>
                                <w:szCs w:val="28"/>
                                <w:lang w:val="en-US" w:eastAsia="zh-CN"/>
                              </w:rPr>
                              <w:t>含雨污水管网走向</w:t>
                            </w:r>
                            <w:r>
                              <w:rPr>
                                <w:rFonts w:hint="eastAsia" w:ascii="Times New Roman" w:hAnsi="Times New Roman"/>
                                <w:b/>
                                <w:bCs/>
                                <w:color w:val="000000"/>
                                <w:sz w:val="28"/>
                                <w:szCs w:val="28"/>
                                <w:lang w:eastAsia="zh-CN"/>
                              </w:rPr>
                              <w:t>）</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9.7pt;margin-top:643.6pt;height:31.5pt;width:453pt;mso-position-horizontal-relative:margin;z-index:251659264;mso-width-relative:page;mso-height-relative:page;" fillcolor="#FFFFFF" filled="t" stroked="f" coordsize="21600,21600" o:gfxdata="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CMX5HraAAAADQEAAA8AAAAAAAAAAQAgAAAAIgAAAGRycy9kb3du&#10;cmV2LnhtbFBLAQIUABQAAAAIAIdO4kBTE+3qNgIAAFMEAAAOAAAAAAAAAAEAIAAAACkBAABkcnMv&#10;ZTJvRG9jLnhtbFBLBQYAAAAABgAGAFkBAADRBQAAAAA=&#10;">
                <v:fill on="t" focussize="0,0"/>
                <v:stroke on="f" miterlimit="8" joinstyle="miter"/>
                <v:imagedata o:title=""/>
                <o:lock v:ext="edit" aspectratio="f"/>
                <v:textbox>
                  <w:txbxContent>
                    <w:p>
                      <w:pPr>
                        <w:jc w:val="center"/>
                        <w:rPr>
                          <w:rFonts w:hint="eastAsia" w:eastAsiaTheme="minorEastAsia"/>
                          <w:lang w:eastAsia="zh-CN"/>
                        </w:rPr>
                      </w:pPr>
                      <w:r>
                        <w:rPr>
                          <w:rFonts w:hint="eastAsia" w:ascii="Times New Roman" w:hAnsi="Times New Roman"/>
                          <w:b/>
                          <w:bCs/>
                          <w:color w:val="000000"/>
                          <w:sz w:val="28"/>
                          <w:szCs w:val="28"/>
                        </w:rPr>
                        <w:t>附图2  总项目平面布置图</w:t>
                      </w:r>
                      <w:r>
                        <w:rPr>
                          <w:rFonts w:hint="eastAsia" w:ascii="Times New Roman" w:hAnsi="Times New Roman"/>
                          <w:b/>
                          <w:bCs/>
                          <w:color w:val="000000"/>
                          <w:sz w:val="28"/>
                          <w:szCs w:val="28"/>
                          <w:lang w:eastAsia="zh-CN"/>
                        </w:rPr>
                        <w:t>（</w:t>
                      </w:r>
                      <w:r>
                        <w:rPr>
                          <w:rFonts w:hint="eastAsia" w:ascii="Times New Roman" w:hAnsi="Times New Roman"/>
                          <w:b/>
                          <w:bCs/>
                          <w:color w:val="000000"/>
                          <w:sz w:val="28"/>
                          <w:szCs w:val="28"/>
                          <w:lang w:val="en-US" w:eastAsia="zh-CN"/>
                        </w:rPr>
                        <w:t>含雨污水管网走向</w:t>
                      </w:r>
                      <w:r>
                        <w:rPr>
                          <w:rFonts w:hint="eastAsia" w:ascii="Times New Roman" w:hAnsi="Times New Roman"/>
                          <w:b/>
                          <w:bCs/>
                          <w:color w:val="000000"/>
                          <w:sz w:val="28"/>
                          <w:szCs w:val="28"/>
                          <w:lang w:eastAsia="zh-CN"/>
                        </w:rPr>
                        <w:t>）</w:t>
                      </w:r>
                    </w:p>
                  </w:txbxContent>
                </v:textbox>
              </v:rect>
            </w:pict>
          </mc:Fallback>
        </mc:AlternateContent>
      </w:r>
      <w:r>
        <w:rPr>
          <w:rFonts w:hint="default" w:ascii="Times New Roman" w:hAnsi="Times New Roman" w:cs="Times New Roman"/>
          <w:color w:val="auto"/>
          <w:sz w:val="24"/>
          <w:szCs w:val="24"/>
        </w:rPr>
        <w:drawing>
          <wp:inline distT="0" distB="0" distL="114300" distR="114300">
            <wp:extent cx="5726430" cy="8107045"/>
            <wp:effectExtent l="0" t="0" r="7620" b="8255"/>
            <wp:docPr id="81" name="图片 81" descr="总平面布置图（含雨污水管网）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总平面布置图（含雨污水管网）_00"/>
                    <pic:cNvPicPr>
                      <a:picLocks noChangeAspect="1"/>
                    </pic:cNvPicPr>
                  </pic:nvPicPr>
                  <pic:blipFill>
                    <a:blip r:embed="rId77"/>
                    <a:stretch>
                      <a:fillRect/>
                    </a:stretch>
                  </pic:blipFill>
                  <pic:spPr>
                    <a:xfrm>
                      <a:off x="0" y="0"/>
                      <a:ext cx="5726430" cy="8107045"/>
                    </a:xfrm>
                    <a:prstGeom prst="rect">
                      <a:avLst/>
                    </a:prstGeom>
                  </pic:spPr>
                </pic:pic>
              </a:graphicData>
            </a:graphic>
          </wp:inline>
        </w:drawing>
      </w:r>
    </w:p>
    <w:p>
      <w:pPr>
        <w:rPr>
          <w:rFonts w:ascii="Times New Roman" w:hAnsi="Times New Roman" w:cs="Times New Roman"/>
          <w:color w:val="auto"/>
          <w:sz w:val="24"/>
          <w:szCs w:val="24"/>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jc w:val="center"/>
        <w:rPr>
          <w:rFonts w:ascii="Times New Roman" w:hAnsi="Times New Roman" w:cs="Times New Roman"/>
          <w:color w:val="auto"/>
          <w:sz w:val="24"/>
          <w:szCs w:val="24"/>
        </w:rPr>
      </w:pPr>
      <w:r>
        <w:rPr>
          <w:rFonts w:ascii="Times New Roman" w:hAnsi="Times New Roman" w:cs="Times New Roman"/>
          <w:color w:val="auto"/>
        </w:rPr>
        <w:drawing>
          <wp:inline distT="0" distB="0" distL="114300" distR="114300">
            <wp:extent cx="7487920" cy="5282565"/>
            <wp:effectExtent l="0" t="0" r="8255" b="3810"/>
            <wp:docPr id="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
                    <pic:cNvPicPr>
                      <a:picLocks noChangeAspect="1"/>
                    </pic:cNvPicPr>
                  </pic:nvPicPr>
                  <pic:blipFill>
                    <a:blip r:embed="rId78"/>
                    <a:stretch>
                      <a:fillRect/>
                    </a:stretch>
                  </pic:blipFill>
                  <pic:spPr>
                    <a:xfrm>
                      <a:off x="0" y="0"/>
                      <a:ext cx="7487920" cy="5282565"/>
                    </a:xfrm>
                    <a:prstGeom prst="rect">
                      <a:avLst/>
                    </a:prstGeom>
                    <a:noFill/>
                    <a:ln>
                      <a:noFill/>
                    </a:ln>
                  </pic:spPr>
                </pic:pic>
              </a:graphicData>
            </a:graphic>
          </wp:inline>
        </w:drawing>
      </w:r>
    </w:p>
    <w:p>
      <w:pPr>
        <w:jc w:val="center"/>
        <w:outlineLvl w:val="0"/>
        <w:rPr>
          <w:rFonts w:ascii="Times New Roman" w:hAnsi="Times New Roman" w:cs="Times New Roman"/>
          <w:b/>
          <w:bCs/>
          <w:color w:val="auto"/>
          <w:sz w:val="24"/>
          <w:szCs w:val="24"/>
        </w:rPr>
        <w:sectPr>
          <w:pgSz w:w="16838" w:h="11906" w:orient="landscape"/>
          <w:pgMar w:top="1451" w:right="1440" w:bottom="1463" w:left="1440" w:header="851" w:footer="992" w:gutter="0"/>
          <w:pgBorders>
            <w:top w:val="none" w:sz="0" w:space="0"/>
            <w:left w:val="none" w:sz="0" w:space="0"/>
            <w:bottom w:val="none" w:sz="0" w:space="0"/>
            <w:right w:val="none" w:sz="0" w:space="0"/>
          </w:pgBorders>
          <w:cols w:space="425" w:num="1"/>
          <w:docGrid w:type="lines" w:linePitch="312" w:charSpace="0"/>
        </w:sectPr>
      </w:pPr>
      <w:bookmarkStart w:id="228" w:name="_Toc85120936"/>
      <w:bookmarkStart w:id="229" w:name="_Toc22425"/>
      <w:r>
        <w:rPr>
          <w:rFonts w:hint="default" w:ascii="Times New Roman" w:hAnsi="Times New Roman" w:cs="Times New Roman"/>
          <w:b/>
          <w:bCs/>
          <w:color w:val="auto"/>
          <w:sz w:val="24"/>
          <w:szCs w:val="24"/>
        </w:rPr>
        <w:t>附图</w:t>
      </w:r>
      <w:r>
        <w:rPr>
          <w:rFonts w:hint="default" w:ascii="Times New Roman" w:hAnsi="Times New Roman" w:cs="Times New Roman"/>
          <w:b/>
          <w:bCs/>
          <w:color w:val="auto"/>
          <w:sz w:val="24"/>
          <w:szCs w:val="24"/>
          <w:lang w:val="en-US" w:eastAsia="zh-CN"/>
        </w:rPr>
        <w:t>3</w:t>
      </w:r>
      <w:r>
        <w:rPr>
          <w:rFonts w:ascii="Times New Roman" w:hAnsi="Times New Roman" w:cs="Times New Roman"/>
          <w:b/>
          <w:bCs/>
          <w:color w:val="auto"/>
          <w:sz w:val="24"/>
          <w:szCs w:val="24"/>
        </w:rPr>
        <w:t xml:space="preserve">  </w:t>
      </w:r>
      <w:r>
        <w:rPr>
          <w:rFonts w:hint="default" w:ascii="Times New Roman" w:hAnsi="Times New Roman" w:cs="Times New Roman"/>
          <w:b/>
          <w:bCs/>
          <w:color w:val="auto"/>
          <w:sz w:val="24"/>
          <w:szCs w:val="24"/>
        </w:rPr>
        <w:t>项目验收监测点位图</w:t>
      </w:r>
      <w:bookmarkEnd w:id="228"/>
      <w:bookmarkEnd w:id="229"/>
    </w:p>
    <w:p>
      <w:pPr>
        <w:jc w:val="center"/>
        <w:outlineLvl w:val="0"/>
        <w:rPr>
          <w:rFonts w:ascii="Times New Roman" w:hAnsi="Times New Roman" w:cs="Times New Roman"/>
          <w:color w:val="auto"/>
          <w:sz w:val="24"/>
          <w:szCs w:val="24"/>
        </w:rPr>
      </w:pPr>
      <w:bookmarkStart w:id="230" w:name="_Toc19604"/>
      <w:r>
        <w:rPr>
          <w:rFonts w:hint="default" w:ascii="Times New Roman" w:hAnsi="Times New Roman" w:cs="Times New Roman"/>
          <w:b/>
          <w:color w:val="auto"/>
          <w:sz w:val="24"/>
          <w:szCs w:val="24"/>
        </w:rPr>
        <w:t>附图</w:t>
      </w:r>
      <w:r>
        <w:rPr>
          <w:rFonts w:hint="default" w:ascii="Times New Roman" w:hAnsi="Times New Roman" w:cs="Times New Roman"/>
          <w:b/>
          <w:color w:val="auto"/>
          <w:sz w:val="24"/>
          <w:szCs w:val="24"/>
          <w:lang w:val="en-US" w:eastAsia="zh-CN"/>
        </w:rPr>
        <w:t>4</w:t>
      </w:r>
      <w:r>
        <w:rPr>
          <w:rFonts w:ascii="Times New Roman" w:hAnsi="Times New Roman" w:cs="Times New Roman"/>
          <w:b/>
          <w:color w:val="auto"/>
          <w:sz w:val="24"/>
          <w:szCs w:val="24"/>
        </w:rPr>
        <w:t xml:space="preserve">  </w:t>
      </w:r>
      <w:r>
        <w:rPr>
          <w:rFonts w:hint="default" w:ascii="Times New Roman" w:hAnsi="Times New Roman" w:cs="Times New Roman"/>
          <w:b/>
          <w:color w:val="auto"/>
          <w:sz w:val="24"/>
          <w:szCs w:val="24"/>
        </w:rPr>
        <w:t>项目现场照片图</w:t>
      </w:r>
      <w:r>
        <w:rPr>
          <w:rFonts w:ascii="Times New Roman" w:hAnsi="Times New Roman" w:cs="Times New Roman"/>
          <w:color w:val="auto"/>
        </w:rPr>
        <w:drawing>
          <wp:anchor distT="0" distB="0" distL="114300" distR="114300" simplePos="0" relativeHeight="251671552" behindDoc="0" locked="0" layoutInCell="1" allowOverlap="1">
            <wp:simplePos x="0" y="0"/>
            <wp:positionH relativeFrom="column">
              <wp:posOffset>6257925</wp:posOffset>
            </wp:positionH>
            <wp:positionV relativeFrom="paragraph">
              <wp:posOffset>286385</wp:posOffset>
            </wp:positionV>
            <wp:extent cx="2999740" cy="2260600"/>
            <wp:effectExtent l="19050" t="19050" r="19685" b="25400"/>
            <wp:wrapNone/>
            <wp:docPr id="5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9"/>
                    <pic:cNvPicPr>
                      <a:picLocks noChangeAspect="1"/>
                    </pic:cNvPicPr>
                  </pic:nvPicPr>
                  <pic:blipFill>
                    <a:blip r:embed="rId79"/>
                    <a:stretch>
                      <a:fillRect/>
                    </a:stretch>
                  </pic:blipFill>
                  <pic:spPr>
                    <a:xfrm>
                      <a:off x="0" y="0"/>
                      <a:ext cx="2999740" cy="2260600"/>
                    </a:xfrm>
                    <a:prstGeom prst="rect">
                      <a:avLst/>
                    </a:prstGeom>
                    <a:noFill/>
                    <a:ln w="19050" cap="flat" cmpd="sng">
                      <a:solidFill>
                        <a:srgbClr val="FF0000"/>
                      </a:solidFill>
                      <a:prstDash val="solid"/>
                      <a:miter/>
                      <a:headEnd type="none" w="med" len="med"/>
                      <a:tailEnd type="none" w="med" len="med"/>
                    </a:ln>
                  </pic:spPr>
                </pic:pic>
              </a:graphicData>
            </a:graphic>
          </wp:anchor>
        </w:drawing>
      </w:r>
      <w:r>
        <w:rPr>
          <w:rFonts w:ascii="Times New Roman" w:hAnsi="Times New Roman" w:cs="Times New Roman"/>
          <w:color w:val="auto"/>
        </w:rPr>
        <w:drawing>
          <wp:anchor distT="0" distB="0" distL="114300" distR="114300" simplePos="0" relativeHeight="251669504" behindDoc="0" locked="0" layoutInCell="1" allowOverlap="1">
            <wp:simplePos x="0" y="0"/>
            <wp:positionH relativeFrom="column">
              <wp:posOffset>3124200</wp:posOffset>
            </wp:positionH>
            <wp:positionV relativeFrom="paragraph">
              <wp:posOffset>295910</wp:posOffset>
            </wp:positionV>
            <wp:extent cx="2990215" cy="2258060"/>
            <wp:effectExtent l="19050" t="19050" r="19685" b="27940"/>
            <wp:wrapNone/>
            <wp:docPr id="5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0"/>
                    <pic:cNvPicPr>
                      <a:picLocks noChangeAspect="1"/>
                    </pic:cNvPicPr>
                  </pic:nvPicPr>
                  <pic:blipFill>
                    <a:blip r:embed="rId80"/>
                    <a:stretch>
                      <a:fillRect/>
                    </a:stretch>
                  </pic:blipFill>
                  <pic:spPr>
                    <a:xfrm>
                      <a:off x="0" y="0"/>
                      <a:ext cx="2990215" cy="2258060"/>
                    </a:xfrm>
                    <a:prstGeom prst="rect">
                      <a:avLst/>
                    </a:prstGeom>
                    <a:noFill/>
                    <a:ln w="19050" cap="flat" cmpd="sng">
                      <a:solidFill>
                        <a:srgbClr val="FF0000"/>
                      </a:solidFill>
                      <a:prstDash val="solid"/>
                      <a:miter/>
                      <a:headEnd type="none" w="med" len="med"/>
                      <a:tailEnd type="none" w="med" len="med"/>
                    </a:ln>
                  </pic:spPr>
                </pic:pic>
              </a:graphicData>
            </a:graphic>
          </wp:anchor>
        </w:drawing>
      </w:r>
      <w:r>
        <w:rPr>
          <w:rFonts w:ascii="Times New Roman" w:hAnsi="Times New Roman" w:cs="Times New Roman"/>
          <w:color w:val="auto"/>
        </w:rPr>
        <w:drawing>
          <wp:anchor distT="0" distB="0" distL="114300" distR="114300" simplePos="0" relativeHeight="251667456" behindDoc="0" locked="0" layoutInCell="1" allowOverlap="1">
            <wp:simplePos x="0" y="0"/>
            <wp:positionH relativeFrom="column">
              <wp:posOffset>-171450</wp:posOffset>
            </wp:positionH>
            <wp:positionV relativeFrom="paragraph">
              <wp:posOffset>286385</wp:posOffset>
            </wp:positionV>
            <wp:extent cx="2974975" cy="2247265"/>
            <wp:effectExtent l="19050" t="19050" r="25400" b="19685"/>
            <wp:wrapNone/>
            <wp:docPr id="5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1"/>
                    <pic:cNvPicPr>
                      <a:picLocks noChangeAspect="1"/>
                    </pic:cNvPicPr>
                  </pic:nvPicPr>
                  <pic:blipFill>
                    <a:blip r:embed="rId81"/>
                    <a:stretch>
                      <a:fillRect/>
                    </a:stretch>
                  </pic:blipFill>
                  <pic:spPr>
                    <a:xfrm>
                      <a:off x="0" y="0"/>
                      <a:ext cx="2974975" cy="2247265"/>
                    </a:xfrm>
                    <a:prstGeom prst="rect">
                      <a:avLst/>
                    </a:prstGeom>
                    <a:noFill/>
                    <a:ln w="19050" cap="flat" cmpd="sng">
                      <a:solidFill>
                        <a:srgbClr val="FF0000"/>
                      </a:solidFill>
                      <a:prstDash val="solid"/>
                      <a:miter/>
                      <a:headEnd type="none" w="med" len="med"/>
                      <a:tailEnd type="none" w="med" len="med"/>
                    </a:ln>
                  </pic:spPr>
                </pic:pic>
              </a:graphicData>
            </a:graphic>
          </wp:anchor>
        </w:drawing>
      </w:r>
      <w:bookmarkEnd w:id="230"/>
    </w:p>
    <w:p>
      <w:pPr>
        <w:rPr>
          <w:rFonts w:ascii="Times New Roman" w:hAnsi="Times New Roman" w:cs="Times New Roman"/>
          <w:color w:val="auto"/>
        </w:rPr>
      </w:pPr>
      <w:r>
        <w:rPr>
          <w:rFonts w:ascii="Times New Roman" w:hAnsi="Times New Roman" w:cs="Times New Roman"/>
          <w:color w:val="auto"/>
        </w:rPr>
        <mc:AlternateContent>
          <mc:Choice Requires="wps">
            <w:drawing>
              <wp:anchor distT="0" distB="0" distL="114300" distR="114300" simplePos="0" relativeHeight="251677696" behindDoc="0" locked="0" layoutInCell="1" allowOverlap="1">
                <wp:simplePos x="0" y="0"/>
                <wp:positionH relativeFrom="column">
                  <wp:posOffset>6733540</wp:posOffset>
                </wp:positionH>
                <wp:positionV relativeFrom="paragraph">
                  <wp:posOffset>4978400</wp:posOffset>
                </wp:positionV>
                <wp:extent cx="2475230" cy="304800"/>
                <wp:effectExtent l="0" t="0" r="0" b="0"/>
                <wp:wrapNone/>
                <wp:docPr id="51" name="矩形 51"/>
                <wp:cNvGraphicFramePr/>
                <a:graphic xmlns:a="http://schemas.openxmlformats.org/drawingml/2006/main">
                  <a:graphicData uri="http://schemas.microsoft.com/office/word/2010/wordprocessingShape">
                    <wps:wsp>
                      <wps:cNvSpPr/>
                      <wps:spPr>
                        <a:xfrm>
                          <a:off x="0" y="0"/>
                          <a:ext cx="2475230" cy="304800"/>
                        </a:xfrm>
                        <a:prstGeom prst="rect">
                          <a:avLst/>
                        </a:prstGeom>
                        <a:noFill/>
                        <a:ln>
                          <a:noFill/>
                        </a:ln>
                      </wps:spPr>
                      <wps:txbx>
                        <w:txbxContent>
                          <w:p>
                            <w:pPr>
                              <w:jc w:val="center"/>
                              <w:rPr>
                                <w:rFonts w:eastAsia="宋体"/>
                                <w:highlight w:val="none"/>
                              </w:rPr>
                            </w:pPr>
                            <w:r>
                              <w:rPr>
                                <w:rFonts w:hint="eastAsia"/>
                                <w:highlight w:val="none"/>
                              </w:rPr>
                              <w:t>仓库内应急物资</w:t>
                            </w:r>
                          </w:p>
                        </w:txbxContent>
                      </wps:txbx>
                      <wps:bodyPr upright="1"/>
                    </wps:wsp>
                  </a:graphicData>
                </a:graphic>
              </wp:anchor>
            </w:drawing>
          </mc:Choice>
          <mc:Fallback>
            <w:pict>
              <v:rect id="_x0000_s1026" o:spid="_x0000_s1026" o:spt="1" style="position:absolute;left:0pt;margin-left:530.2pt;margin-top:392pt;height:24pt;width:194.9pt;z-index:251677696;mso-width-relative:page;mso-height-relative:page;" filled="f" stroked="f" coordsize="21600,21600" o:gfxdata="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Qg+wbtwAAAANAQAA&#10;DwAAAAAAAAABACAAAAAiAAAAZHJzL2Rvd25yZXYueG1sUEsBAhQAFAAAAAgAh07iQLsV+IajAQAA&#10;QwMAAA4AAAAAAAAAAQAgAAAAKwEAAGRycy9lMm9Eb2MueG1sUEsFBgAAAAAGAAYAWQEAAEAFAAAA&#10;AA==&#10;">
                <v:fill on="f" focussize="0,0"/>
                <v:stroke on="f"/>
                <v:imagedata o:title=""/>
                <o:lock v:ext="edit" aspectratio="f"/>
                <v:textbox>
                  <w:txbxContent>
                    <w:p>
                      <w:pPr>
                        <w:jc w:val="center"/>
                        <w:rPr>
                          <w:rFonts w:eastAsia="宋体"/>
                          <w:highlight w:val="none"/>
                        </w:rPr>
                      </w:pPr>
                      <w:r>
                        <w:rPr>
                          <w:rFonts w:hint="eastAsia"/>
                          <w:highlight w:val="none"/>
                        </w:rPr>
                        <w:t>仓库内应急物资</w:t>
                      </w:r>
                    </w:p>
                  </w:txbxContent>
                </v:textbox>
              </v:rect>
            </w:pict>
          </mc:Fallback>
        </mc:AlternateContent>
      </w:r>
      <w:r>
        <w:rPr>
          <w:rFonts w:ascii="Times New Roman" w:hAnsi="Times New Roman" w:cs="Times New Roman"/>
          <w:color w:val="auto"/>
        </w:rPr>
        <w:drawing>
          <wp:anchor distT="0" distB="0" distL="114300" distR="114300" simplePos="0" relativeHeight="251676672" behindDoc="0" locked="0" layoutInCell="1" allowOverlap="1">
            <wp:simplePos x="0" y="0"/>
            <wp:positionH relativeFrom="column">
              <wp:posOffset>6401435</wp:posOffset>
            </wp:positionH>
            <wp:positionV relativeFrom="paragraph">
              <wp:posOffset>2696210</wp:posOffset>
            </wp:positionV>
            <wp:extent cx="2938780" cy="2247265"/>
            <wp:effectExtent l="19050" t="19050" r="23495" b="19685"/>
            <wp:wrapNone/>
            <wp:docPr id="5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3"/>
                    <pic:cNvPicPr>
                      <a:picLocks noChangeAspect="1"/>
                    </pic:cNvPicPr>
                  </pic:nvPicPr>
                  <pic:blipFill>
                    <a:blip r:embed="rId82"/>
                    <a:stretch>
                      <a:fillRect/>
                    </a:stretch>
                  </pic:blipFill>
                  <pic:spPr>
                    <a:xfrm>
                      <a:off x="0" y="0"/>
                      <a:ext cx="2938780" cy="2247265"/>
                    </a:xfrm>
                    <a:prstGeom prst="rect">
                      <a:avLst/>
                    </a:prstGeom>
                    <a:noFill/>
                    <a:ln w="19050" cap="flat" cmpd="sng">
                      <a:solidFill>
                        <a:srgbClr val="FF0000"/>
                      </a:solidFill>
                      <a:prstDash val="solid"/>
                      <a:miter/>
                      <a:headEnd type="none" w="med" len="med"/>
                      <a:tailEnd type="none" w="med" len="med"/>
                    </a:ln>
                  </pic:spPr>
                </pic:pic>
              </a:graphicData>
            </a:graphic>
          </wp:anchor>
        </w:drawing>
      </w:r>
      <w:r>
        <w:rPr>
          <w:rFonts w:ascii="Times New Roman" w:hAnsi="Times New Roman" w:cs="Times New Roman"/>
          <w:color w:val="auto"/>
        </w:rPr>
        <mc:AlternateContent>
          <mc:Choice Requires="wps">
            <w:drawing>
              <wp:anchor distT="0" distB="0" distL="114300" distR="114300" simplePos="0" relativeHeight="251675648" behindDoc="0" locked="0" layoutInCell="1" allowOverlap="1">
                <wp:simplePos x="0" y="0"/>
                <wp:positionH relativeFrom="column">
                  <wp:posOffset>3295015</wp:posOffset>
                </wp:positionH>
                <wp:positionV relativeFrom="paragraph">
                  <wp:posOffset>5006975</wp:posOffset>
                </wp:positionV>
                <wp:extent cx="2475230" cy="304800"/>
                <wp:effectExtent l="0" t="0" r="0" b="0"/>
                <wp:wrapNone/>
                <wp:docPr id="57" name="矩形 57"/>
                <wp:cNvGraphicFramePr/>
                <a:graphic xmlns:a="http://schemas.openxmlformats.org/drawingml/2006/main">
                  <a:graphicData uri="http://schemas.microsoft.com/office/word/2010/wordprocessingShape">
                    <wps:wsp>
                      <wps:cNvSpPr/>
                      <wps:spPr>
                        <a:xfrm>
                          <a:off x="0" y="0"/>
                          <a:ext cx="2475230" cy="304800"/>
                        </a:xfrm>
                        <a:prstGeom prst="rect">
                          <a:avLst/>
                        </a:prstGeom>
                        <a:noFill/>
                        <a:ln>
                          <a:noFill/>
                        </a:ln>
                      </wps:spPr>
                      <wps:txbx>
                        <w:txbxContent>
                          <w:p>
                            <w:pPr>
                              <w:jc w:val="center"/>
                              <w:rPr>
                                <w:rFonts w:eastAsia="宋体"/>
                                <w:highlight w:val="none"/>
                              </w:rPr>
                            </w:pPr>
                            <w:r>
                              <w:rPr>
                                <w:rFonts w:hint="eastAsia"/>
                                <w:highlight w:val="none"/>
                              </w:rPr>
                              <w:t>仓库收集沟、收集池、泄漏监测仪</w:t>
                            </w:r>
                          </w:p>
                        </w:txbxContent>
                      </wps:txbx>
                      <wps:bodyPr upright="1"/>
                    </wps:wsp>
                  </a:graphicData>
                </a:graphic>
              </wp:anchor>
            </w:drawing>
          </mc:Choice>
          <mc:Fallback>
            <w:pict>
              <v:rect id="_x0000_s1026" o:spid="_x0000_s1026" o:spt="1" style="position:absolute;left:0pt;margin-left:259.45pt;margin-top:394.25pt;height:24pt;width:194.9pt;z-index:251675648;mso-width-relative:page;mso-height-relative:page;" filled="f" stroked="f" coordsize="21600,21600" o:gfxdata="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JIYEuDcAAAACwEA&#10;AA8AAAAAAAAAAQAgAAAAIgAAAGRycy9kb3ducmV2LnhtbFBLAQIUABQAAAAIAIdO4kDHA3ufpAEA&#10;AEMDAAAOAAAAAAAAAAEAIAAAACsBAABkcnMvZTJvRG9jLnhtbFBLBQYAAAAABgAGAFkBAABBBQAA&#10;AAA=&#10;">
                <v:fill on="f" focussize="0,0"/>
                <v:stroke on="f"/>
                <v:imagedata o:title=""/>
                <o:lock v:ext="edit" aspectratio="f"/>
                <v:textbox>
                  <w:txbxContent>
                    <w:p>
                      <w:pPr>
                        <w:jc w:val="center"/>
                        <w:rPr>
                          <w:rFonts w:eastAsia="宋体"/>
                          <w:highlight w:val="none"/>
                        </w:rPr>
                      </w:pPr>
                      <w:r>
                        <w:rPr>
                          <w:rFonts w:hint="eastAsia"/>
                          <w:highlight w:val="none"/>
                        </w:rPr>
                        <w:t>仓库收集沟、收集池、泄漏监测仪</w:t>
                      </w:r>
                    </w:p>
                  </w:txbxContent>
                </v:textbox>
              </v:rect>
            </w:pict>
          </mc:Fallback>
        </mc:AlternateContent>
      </w:r>
      <w:r>
        <w:rPr>
          <w:rFonts w:ascii="Times New Roman" w:hAnsi="Times New Roman" w:cs="Times New Roman"/>
          <w:color w:val="auto"/>
        </w:rPr>
        <mc:AlternateContent>
          <mc:Choice Requires="wps">
            <w:drawing>
              <wp:anchor distT="0" distB="0" distL="114300" distR="114300" simplePos="0" relativeHeight="251674624" behindDoc="0" locked="0" layoutInCell="1" allowOverlap="1">
                <wp:simplePos x="0" y="0"/>
                <wp:positionH relativeFrom="column">
                  <wp:posOffset>474980</wp:posOffset>
                </wp:positionH>
                <wp:positionV relativeFrom="paragraph">
                  <wp:posOffset>5026025</wp:posOffset>
                </wp:positionV>
                <wp:extent cx="1314450" cy="304800"/>
                <wp:effectExtent l="0" t="0" r="0" b="0"/>
                <wp:wrapNone/>
                <wp:docPr id="53" name="矩形 53"/>
                <wp:cNvGraphicFramePr/>
                <a:graphic xmlns:a="http://schemas.openxmlformats.org/drawingml/2006/main">
                  <a:graphicData uri="http://schemas.microsoft.com/office/word/2010/wordprocessingShape">
                    <wps:wsp>
                      <wps:cNvSpPr/>
                      <wps:spPr>
                        <a:xfrm>
                          <a:off x="0" y="0"/>
                          <a:ext cx="1314450" cy="304800"/>
                        </a:xfrm>
                        <a:prstGeom prst="rect">
                          <a:avLst/>
                        </a:prstGeom>
                        <a:noFill/>
                        <a:ln>
                          <a:noFill/>
                        </a:ln>
                      </wps:spPr>
                      <wps:txbx>
                        <w:txbxContent>
                          <w:p>
                            <w:pPr>
                              <w:jc w:val="center"/>
                              <w:rPr>
                                <w:rFonts w:eastAsia="宋体"/>
                              </w:rPr>
                            </w:pPr>
                            <w:r>
                              <w:rPr>
                                <w:rFonts w:hint="eastAsia"/>
                              </w:rPr>
                              <w:t>甲类仓库、危废间</w:t>
                            </w:r>
                          </w:p>
                        </w:txbxContent>
                      </wps:txbx>
                      <wps:bodyPr upright="1"/>
                    </wps:wsp>
                  </a:graphicData>
                </a:graphic>
              </wp:anchor>
            </w:drawing>
          </mc:Choice>
          <mc:Fallback>
            <w:pict>
              <v:rect id="_x0000_s1026" o:spid="_x0000_s1026" o:spt="1" style="position:absolute;left:0pt;margin-left:37.4pt;margin-top:395.75pt;height:24pt;width:103.5pt;z-index:251674624;mso-width-relative:page;mso-height-relative:page;" filled="f" stroked="f" coordsize="21600,21600" o:gfxdata="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I6Mxj7cAAAACgEA&#10;AA8AAAAAAAAAAQAgAAAAIgAAAGRycy9kb3ducmV2LnhtbFBLAQIUABQAAAAIAIdO4kB5i35XpAEA&#10;AEMDAAAOAAAAAAAAAAEAIAAAACsBAABkcnMvZTJvRG9jLnhtbFBLBQYAAAAABgAGAFkBAABBBQAA&#10;AAA=&#10;">
                <v:fill on="f" focussize="0,0"/>
                <v:stroke on="f"/>
                <v:imagedata o:title=""/>
                <o:lock v:ext="edit" aspectratio="f"/>
                <v:textbox>
                  <w:txbxContent>
                    <w:p>
                      <w:pPr>
                        <w:jc w:val="center"/>
                        <w:rPr>
                          <w:rFonts w:eastAsia="宋体"/>
                        </w:rPr>
                      </w:pPr>
                      <w:r>
                        <w:rPr>
                          <w:rFonts w:hint="eastAsia"/>
                        </w:rPr>
                        <w:t>甲类仓库、危废间</w:t>
                      </w:r>
                    </w:p>
                  </w:txbxContent>
                </v:textbox>
              </v:rect>
            </w:pict>
          </mc:Fallback>
        </mc:AlternateContent>
      </w:r>
      <w:r>
        <w:rPr>
          <w:rFonts w:ascii="Times New Roman" w:hAnsi="Times New Roman" w:cs="Times New Roman"/>
          <w:color w:val="auto"/>
        </w:rPr>
        <w:drawing>
          <wp:anchor distT="0" distB="0" distL="114300" distR="114300" simplePos="0" relativeHeight="251673600" behindDoc="0" locked="0" layoutInCell="1" allowOverlap="1">
            <wp:simplePos x="0" y="0"/>
            <wp:positionH relativeFrom="column">
              <wp:posOffset>-209550</wp:posOffset>
            </wp:positionH>
            <wp:positionV relativeFrom="paragraph">
              <wp:posOffset>2752725</wp:posOffset>
            </wp:positionV>
            <wp:extent cx="3011170" cy="2229485"/>
            <wp:effectExtent l="19050" t="19050" r="27305" b="27940"/>
            <wp:wrapNone/>
            <wp:docPr id="5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7"/>
                    <pic:cNvPicPr>
                      <a:picLocks noChangeAspect="1"/>
                    </pic:cNvPicPr>
                  </pic:nvPicPr>
                  <pic:blipFill>
                    <a:blip r:embed="rId83"/>
                    <a:stretch>
                      <a:fillRect/>
                    </a:stretch>
                  </pic:blipFill>
                  <pic:spPr>
                    <a:xfrm>
                      <a:off x="0" y="0"/>
                      <a:ext cx="3011170" cy="2229485"/>
                    </a:xfrm>
                    <a:prstGeom prst="rect">
                      <a:avLst/>
                    </a:prstGeom>
                    <a:noFill/>
                    <a:ln w="19050" cap="flat" cmpd="sng">
                      <a:solidFill>
                        <a:srgbClr val="FF0000"/>
                      </a:solidFill>
                      <a:prstDash val="solid"/>
                      <a:miter/>
                      <a:headEnd type="none" w="med" len="med"/>
                      <a:tailEnd type="none" w="med" len="med"/>
                    </a:ln>
                  </pic:spPr>
                </pic:pic>
              </a:graphicData>
            </a:graphic>
          </wp:anchor>
        </w:drawing>
      </w:r>
      <w:r>
        <w:rPr>
          <w:rFonts w:ascii="Times New Roman" w:hAnsi="Times New Roman" w:cs="Times New Roman"/>
          <w:color w:val="auto"/>
        </w:rPr>
        <mc:AlternateContent>
          <mc:Choice Requires="wps">
            <w:drawing>
              <wp:anchor distT="0" distB="0" distL="114300" distR="114300" simplePos="0" relativeHeight="251672576" behindDoc="0" locked="0" layoutInCell="1" allowOverlap="1">
                <wp:simplePos x="0" y="0"/>
                <wp:positionH relativeFrom="column">
                  <wp:posOffset>7294880</wp:posOffset>
                </wp:positionH>
                <wp:positionV relativeFrom="paragraph">
                  <wp:posOffset>2282825</wp:posOffset>
                </wp:positionV>
                <wp:extent cx="1314450" cy="304800"/>
                <wp:effectExtent l="0" t="0" r="0" b="0"/>
                <wp:wrapNone/>
                <wp:docPr id="59" name="矩形 59"/>
                <wp:cNvGraphicFramePr/>
                <a:graphic xmlns:a="http://schemas.openxmlformats.org/drawingml/2006/main">
                  <a:graphicData uri="http://schemas.microsoft.com/office/word/2010/wordprocessingShape">
                    <wps:wsp>
                      <wps:cNvSpPr/>
                      <wps:spPr>
                        <a:xfrm>
                          <a:off x="0" y="0"/>
                          <a:ext cx="1314450" cy="304800"/>
                        </a:xfrm>
                        <a:prstGeom prst="rect">
                          <a:avLst/>
                        </a:prstGeom>
                        <a:noFill/>
                        <a:ln>
                          <a:noFill/>
                        </a:ln>
                      </wps:spPr>
                      <wps:txbx>
                        <w:txbxContent>
                          <w:p>
                            <w:pPr>
                              <w:jc w:val="center"/>
                              <w:rPr>
                                <w:rFonts w:eastAsia="宋体"/>
                              </w:rPr>
                            </w:pPr>
                            <w:r>
                              <w:rPr>
                                <w:rFonts w:hint="eastAsia"/>
                              </w:rPr>
                              <w:t>丁类仓库</w:t>
                            </w:r>
                          </w:p>
                        </w:txbxContent>
                      </wps:txbx>
                      <wps:bodyPr upright="1"/>
                    </wps:wsp>
                  </a:graphicData>
                </a:graphic>
              </wp:anchor>
            </w:drawing>
          </mc:Choice>
          <mc:Fallback>
            <w:pict>
              <v:rect id="_x0000_s1026" o:spid="_x0000_s1026" o:spt="1" style="position:absolute;left:0pt;margin-left:574.4pt;margin-top:179.75pt;height:24pt;width:103.5pt;z-index:251672576;mso-width-relative:page;mso-height-relative:page;" filled="f" stroked="f" coordsize="21600,21600" o:gfxdata="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BTYdJw3QAAAA0B&#10;AAAPAAAAAAAAAAEAIAAAACIAAABkcnMvZG93bnJldi54bWxQSwECFAAUAAAACACHTuJA/bH7faQB&#10;AABDAwAADgAAAAAAAAABACAAAAAsAQAAZHJzL2Uyb0RvYy54bWxQSwUGAAAAAAYABgBZAQAAQgUA&#10;AAAA&#10;">
                <v:fill on="f" focussize="0,0"/>
                <v:stroke on="f"/>
                <v:imagedata o:title=""/>
                <o:lock v:ext="edit" aspectratio="f"/>
                <v:textbox>
                  <w:txbxContent>
                    <w:p>
                      <w:pPr>
                        <w:jc w:val="center"/>
                        <w:rPr>
                          <w:rFonts w:eastAsia="宋体"/>
                        </w:rPr>
                      </w:pPr>
                      <w:r>
                        <w:rPr>
                          <w:rFonts w:hint="eastAsia"/>
                        </w:rPr>
                        <w:t>丁类仓库</w:t>
                      </w:r>
                    </w:p>
                  </w:txbxContent>
                </v:textbox>
              </v:rect>
            </w:pict>
          </mc:Fallback>
        </mc:AlternateContent>
      </w:r>
      <w:r>
        <w:rPr>
          <w:rFonts w:ascii="Times New Roman" w:hAnsi="Times New Roman" w:cs="Times New Roman"/>
          <w:color w:val="auto"/>
        </w:rPr>
        <mc:AlternateContent>
          <mc:Choice Requires="wps">
            <w:drawing>
              <wp:anchor distT="0" distB="0" distL="114300" distR="114300" simplePos="0" relativeHeight="251670528" behindDoc="0" locked="0" layoutInCell="1" allowOverlap="1">
                <wp:simplePos x="0" y="0"/>
                <wp:positionH relativeFrom="column">
                  <wp:posOffset>3942080</wp:posOffset>
                </wp:positionH>
                <wp:positionV relativeFrom="paragraph">
                  <wp:posOffset>2292350</wp:posOffset>
                </wp:positionV>
                <wp:extent cx="1314450" cy="304800"/>
                <wp:effectExtent l="0" t="0" r="0" b="0"/>
                <wp:wrapNone/>
                <wp:docPr id="60" name="矩形 60"/>
                <wp:cNvGraphicFramePr/>
                <a:graphic xmlns:a="http://schemas.openxmlformats.org/drawingml/2006/main">
                  <a:graphicData uri="http://schemas.microsoft.com/office/word/2010/wordprocessingShape">
                    <wps:wsp>
                      <wps:cNvSpPr/>
                      <wps:spPr>
                        <a:xfrm>
                          <a:off x="0" y="0"/>
                          <a:ext cx="1314450" cy="304800"/>
                        </a:xfrm>
                        <a:prstGeom prst="rect">
                          <a:avLst/>
                        </a:prstGeom>
                        <a:noFill/>
                        <a:ln>
                          <a:noFill/>
                        </a:ln>
                      </wps:spPr>
                      <wps:txbx>
                        <w:txbxContent>
                          <w:p>
                            <w:pPr>
                              <w:jc w:val="center"/>
                              <w:rPr>
                                <w:rFonts w:eastAsia="宋体"/>
                              </w:rPr>
                            </w:pPr>
                            <w:r>
                              <w:rPr>
                                <w:rFonts w:hint="eastAsia"/>
                              </w:rPr>
                              <w:t>丙类仓库</w:t>
                            </w:r>
                          </w:p>
                        </w:txbxContent>
                      </wps:txbx>
                      <wps:bodyPr upright="1"/>
                    </wps:wsp>
                  </a:graphicData>
                </a:graphic>
              </wp:anchor>
            </w:drawing>
          </mc:Choice>
          <mc:Fallback>
            <w:pict>
              <v:rect id="_x0000_s1026" o:spid="_x0000_s1026" o:spt="1" style="position:absolute;left:0pt;margin-left:310.4pt;margin-top:180.5pt;height:24pt;width:103.5pt;z-index:251670528;mso-width-relative:page;mso-height-relative:page;" filled="f" stroked="f" coordsize="21600,21600" o:gfxdata="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CRyD7w2wAAAAsBAAAP&#10;AAAAAAAAAAEAIAAAACIAAABkcnMvZG93bnJldi54bWxQSwECFAAUAAAACACHTuJAZ9zSmqMBAABD&#10;AwAADgAAAAAAAAABACAAAAAqAQAAZHJzL2Uyb0RvYy54bWxQSwUGAAAAAAYABgBZAQAAPwUAAAAA&#10;">
                <v:fill on="f" focussize="0,0"/>
                <v:stroke on="f"/>
                <v:imagedata o:title=""/>
                <o:lock v:ext="edit" aspectratio="f"/>
                <v:textbox>
                  <w:txbxContent>
                    <w:p>
                      <w:pPr>
                        <w:jc w:val="center"/>
                        <w:rPr>
                          <w:rFonts w:eastAsia="宋体"/>
                        </w:rPr>
                      </w:pPr>
                      <w:r>
                        <w:rPr>
                          <w:rFonts w:hint="eastAsia"/>
                        </w:rPr>
                        <w:t>丙类仓库</w:t>
                      </w:r>
                    </w:p>
                  </w:txbxContent>
                </v:textbox>
              </v:rect>
            </w:pict>
          </mc:Fallback>
        </mc:AlternateContent>
      </w:r>
      <w:r>
        <w:rPr>
          <w:rFonts w:ascii="Times New Roman" w:hAnsi="Times New Roman" w:cs="Times New Roman"/>
          <w:color w:val="auto"/>
        </w:rPr>
        <mc:AlternateContent>
          <mc:Choice Requires="wps">
            <w:drawing>
              <wp:anchor distT="0" distB="0" distL="114300" distR="114300" simplePos="0" relativeHeight="251668480" behindDoc="0" locked="0" layoutInCell="1" allowOverlap="1">
                <wp:simplePos x="0" y="0"/>
                <wp:positionH relativeFrom="column">
                  <wp:posOffset>675005</wp:posOffset>
                </wp:positionH>
                <wp:positionV relativeFrom="paragraph">
                  <wp:posOffset>2292350</wp:posOffset>
                </wp:positionV>
                <wp:extent cx="1314450" cy="304800"/>
                <wp:effectExtent l="0" t="0" r="0" b="0"/>
                <wp:wrapNone/>
                <wp:docPr id="61" name="矩形 61"/>
                <wp:cNvGraphicFramePr/>
                <a:graphic xmlns:a="http://schemas.openxmlformats.org/drawingml/2006/main">
                  <a:graphicData uri="http://schemas.microsoft.com/office/word/2010/wordprocessingShape">
                    <wps:wsp>
                      <wps:cNvSpPr/>
                      <wps:spPr>
                        <a:xfrm>
                          <a:off x="0" y="0"/>
                          <a:ext cx="1314450" cy="304800"/>
                        </a:xfrm>
                        <a:prstGeom prst="rect">
                          <a:avLst/>
                        </a:prstGeom>
                        <a:noFill/>
                        <a:ln>
                          <a:noFill/>
                        </a:ln>
                      </wps:spPr>
                      <wps:txbx>
                        <w:txbxContent>
                          <w:p>
                            <w:pPr>
                              <w:jc w:val="center"/>
                              <w:rPr>
                                <w:rFonts w:eastAsia="宋体"/>
                              </w:rPr>
                            </w:pPr>
                            <w:r>
                              <w:rPr>
                                <w:rFonts w:hint="eastAsia"/>
                              </w:rPr>
                              <w:t>乙类仓库</w:t>
                            </w:r>
                          </w:p>
                        </w:txbxContent>
                      </wps:txbx>
                      <wps:bodyPr upright="1"/>
                    </wps:wsp>
                  </a:graphicData>
                </a:graphic>
              </wp:anchor>
            </w:drawing>
          </mc:Choice>
          <mc:Fallback>
            <w:pict>
              <v:rect id="_x0000_s1026" o:spid="_x0000_s1026" o:spt="1" style="position:absolute;left:0pt;margin-left:53.15pt;margin-top:180.5pt;height:24pt;width:103.5pt;z-index:251668480;mso-width-relative:page;mso-height-relative:page;" filled="f" stroked="f" coordsize="21600,21600" o:gfxdata="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J9GDY3aAAAACwEAAA8A&#10;AAAAAAAAAQAgAAAAIgAAAGRycy9kb3ducmV2LnhtbFBLAQIUABQAAAAIAIdO4kCNWpKeowEAAEMD&#10;AAAOAAAAAAAAAAEAIAAAACkBAABkcnMvZTJvRG9jLnhtbFBLBQYAAAAABgAGAFkBAAA+BQAAAAA=&#10;">
                <v:fill on="f" focussize="0,0"/>
                <v:stroke on="f"/>
                <v:imagedata o:title=""/>
                <o:lock v:ext="edit" aspectratio="f"/>
                <v:textbox>
                  <w:txbxContent>
                    <w:p>
                      <w:pPr>
                        <w:jc w:val="center"/>
                        <w:rPr>
                          <w:rFonts w:eastAsia="宋体"/>
                        </w:rPr>
                      </w:pPr>
                      <w:r>
                        <w:rPr>
                          <w:rFonts w:hint="eastAsia"/>
                        </w:rPr>
                        <w:t>乙类仓库</w:t>
                      </w:r>
                    </w:p>
                  </w:txbxContent>
                </v:textbox>
              </v:rect>
            </w:pict>
          </mc:Fallback>
        </mc:AlternateContent>
      </w:r>
    </w:p>
    <w:p>
      <w:pPr>
        <w:rPr>
          <w:rFonts w:ascii="Times New Roman" w:hAnsi="Times New Roman" w:cs="Times New Roman"/>
          <w:color w:val="auto"/>
          <w:szCs w:val="21"/>
        </w:rPr>
      </w:pPr>
    </w:p>
    <w:p>
      <w:pPr>
        <w:rPr>
          <w:rFonts w:ascii="Times New Roman" w:hAnsi="Times New Roman" w:cs="Times New Roman"/>
          <w:color w:val="auto"/>
        </w:rPr>
      </w:pPr>
    </w:p>
    <w:p>
      <w:pPr>
        <w:rPr>
          <w:rFonts w:ascii="Times New Roman" w:hAnsi="Times New Roman" w:cs="Times New Roman"/>
          <w:color w:val="auto"/>
        </w:rPr>
      </w:pPr>
    </w:p>
    <w:p>
      <w:pPr>
        <w:rPr>
          <w:rFonts w:ascii="Times New Roman" w:hAnsi="Times New Roman" w:cs="Times New Roman"/>
          <w:color w:val="auto"/>
        </w:rPr>
      </w:pPr>
    </w:p>
    <w:p>
      <w:pPr>
        <w:rPr>
          <w:rFonts w:ascii="Times New Roman" w:hAnsi="Times New Roman" w:cs="Times New Roman"/>
          <w:color w:val="auto"/>
        </w:rPr>
      </w:pPr>
    </w:p>
    <w:p>
      <w:pPr>
        <w:rPr>
          <w:rFonts w:ascii="Times New Roman" w:hAnsi="Times New Roman" w:cs="Times New Roman"/>
          <w:color w:val="auto"/>
        </w:rPr>
      </w:pPr>
    </w:p>
    <w:p>
      <w:pPr>
        <w:rPr>
          <w:rFonts w:ascii="Times New Roman" w:hAnsi="Times New Roman" w:cs="Times New Roman"/>
          <w:color w:val="auto"/>
        </w:rPr>
      </w:pPr>
    </w:p>
    <w:p>
      <w:pPr>
        <w:rPr>
          <w:rFonts w:ascii="Times New Roman" w:hAnsi="Times New Roman" w:cs="Times New Roman"/>
          <w:color w:val="auto"/>
        </w:rPr>
      </w:pPr>
    </w:p>
    <w:p>
      <w:pPr>
        <w:rPr>
          <w:rFonts w:ascii="Times New Roman" w:hAnsi="Times New Roman" w:cs="Times New Roman"/>
          <w:color w:val="auto"/>
        </w:rPr>
      </w:pPr>
    </w:p>
    <w:p>
      <w:pPr>
        <w:rPr>
          <w:rFonts w:ascii="Times New Roman" w:hAnsi="Times New Roman" w:cs="Times New Roman"/>
          <w:color w:val="auto"/>
        </w:rPr>
      </w:pPr>
    </w:p>
    <w:p>
      <w:pPr>
        <w:rPr>
          <w:rFonts w:ascii="Times New Roman" w:hAnsi="Times New Roman" w:cs="Times New Roman"/>
          <w:color w:val="auto"/>
        </w:rPr>
      </w:pPr>
    </w:p>
    <w:p>
      <w:pPr>
        <w:rPr>
          <w:rFonts w:ascii="Times New Roman" w:hAnsi="Times New Roman" w:cs="Times New Roman"/>
          <w:color w:val="auto"/>
        </w:rPr>
      </w:pPr>
    </w:p>
    <w:p>
      <w:pPr>
        <w:rPr>
          <w:rFonts w:ascii="Times New Roman" w:hAnsi="Times New Roman" w:cs="Times New Roman"/>
          <w:color w:val="auto"/>
        </w:rPr>
      </w:pPr>
      <w:r>
        <w:rPr>
          <w:rFonts w:ascii="Times New Roman" w:hAnsi="Times New Roman" w:cs="Times New Roman"/>
          <w:color w:val="auto"/>
        </w:rPr>
        <w:drawing>
          <wp:anchor distT="0" distB="0" distL="114300" distR="114300" simplePos="0" relativeHeight="251696128" behindDoc="0" locked="0" layoutInCell="1" allowOverlap="1">
            <wp:simplePos x="0" y="0"/>
            <wp:positionH relativeFrom="column">
              <wp:posOffset>3179445</wp:posOffset>
            </wp:positionH>
            <wp:positionV relativeFrom="paragraph">
              <wp:posOffset>174625</wp:posOffset>
            </wp:positionV>
            <wp:extent cx="2924175" cy="2194560"/>
            <wp:effectExtent l="19050" t="19050" r="19050" b="24765"/>
            <wp:wrapNone/>
            <wp:docPr id="97" name="图片 97" descr="16fc3c071601ea2ea03f35ba8ca61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16fc3c071601ea2ea03f35ba8ca61b3"/>
                    <pic:cNvPicPr>
                      <a:picLocks noChangeAspect="1"/>
                    </pic:cNvPicPr>
                  </pic:nvPicPr>
                  <pic:blipFill>
                    <a:blip r:embed="rId84"/>
                    <a:srcRect/>
                    <a:stretch>
                      <a:fillRect/>
                    </a:stretch>
                  </pic:blipFill>
                  <pic:spPr>
                    <a:xfrm>
                      <a:off x="0" y="0"/>
                      <a:ext cx="2924175" cy="2194560"/>
                    </a:xfrm>
                    <a:prstGeom prst="rect">
                      <a:avLst/>
                    </a:prstGeom>
                    <a:noFill/>
                    <a:ln w="19050" cap="flat" cmpd="sng">
                      <a:solidFill>
                        <a:srgbClr val="FF0000"/>
                      </a:solidFill>
                      <a:prstDash val="solid"/>
                      <a:miter/>
                      <a:headEnd type="none" w="med" len="med"/>
                      <a:tailEnd type="none" w="med" len="med"/>
                    </a:ln>
                  </pic:spPr>
                </pic:pic>
              </a:graphicData>
            </a:graphic>
          </wp:anchor>
        </w:drawing>
      </w:r>
    </w:p>
    <w:p>
      <w:pPr>
        <w:rPr>
          <w:rFonts w:ascii="Times New Roman" w:hAnsi="Times New Roman" w:cs="Times New Roman"/>
          <w:color w:val="auto"/>
        </w:rPr>
      </w:pPr>
    </w:p>
    <w:p>
      <w:pPr>
        <w:rPr>
          <w:rFonts w:ascii="Times New Roman" w:hAnsi="Times New Roman" w:cs="Times New Roman"/>
          <w:color w:val="auto"/>
        </w:rPr>
      </w:pPr>
    </w:p>
    <w:p>
      <w:pPr>
        <w:rPr>
          <w:rFonts w:ascii="Times New Roman" w:hAnsi="Times New Roman" w:cs="Times New Roman"/>
          <w:color w:val="auto"/>
        </w:rPr>
      </w:pPr>
    </w:p>
    <w:p>
      <w:pPr>
        <w:rPr>
          <w:rFonts w:ascii="Times New Roman" w:hAnsi="Times New Roman" w:cs="Times New Roman"/>
          <w:color w:val="auto"/>
        </w:rPr>
      </w:pPr>
    </w:p>
    <w:p>
      <w:pPr>
        <w:rPr>
          <w:rFonts w:ascii="Times New Roman" w:hAnsi="Times New Roman" w:cs="Times New Roman"/>
          <w:color w:val="auto"/>
        </w:rPr>
      </w:pPr>
    </w:p>
    <w:p>
      <w:pPr>
        <w:rPr>
          <w:rFonts w:ascii="Times New Roman" w:hAnsi="Times New Roman" w:cs="Times New Roman"/>
          <w:color w:val="auto"/>
        </w:rPr>
      </w:pPr>
    </w:p>
    <w:p>
      <w:pPr>
        <w:rPr>
          <w:rFonts w:ascii="Times New Roman" w:hAnsi="Times New Roman" w:cs="Times New Roman"/>
          <w:color w:val="auto"/>
        </w:rPr>
      </w:pPr>
    </w:p>
    <w:p>
      <w:pPr>
        <w:rPr>
          <w:rFonts w:ascii="Times New Roman" w:hAnsi="Times New Roman" w:cs="Times New Roman"/>
          <w:color w:val="auto"/>
        </w:rPr>
      </w:pPr>
    </w:p>
    <w:p>
      <w:pPr>
        <w:rPr>
          <w:rFonts w:ascii="Times New Roman" w:hAnsi="Times New Roman" w:cs="Times New Roman"/>
          <w:color w:val="auto"/>
        </w:rPr>
      </w:pPr>
    </w:p>
    <w:p>
      <w:pPr>
        <w:rPr>
          <w:rFonts w:ascii="Times New Roman" w:hAnsi="Times New Roman" w:cs="Times New Roman"/>
          <w:color w:val="auto"/>
        </w:rPr>
      </w:pPr>
    </w:p>
    <w:p>
      <w:pPr>
        <w:rPr>
          <w:rFonts w:ascii="Times New Roman" w:hAnsi="Times New Roman" w:cs="Times New Roman"/>
          <w:color w:val="auto"/>
        </w:rPr>
      </w:pPr>
    </w:p>
    <w:p>
      <w:pPr>
        <w:pStyle w:val="13"/>
        <w:rPr>
          <w:rFonts w:ascii="Times New Roman" w:hAnsi="Times New Roman" w:cs="Times New Roman"/>
          <w:color w:val="auto"/>
        </w:rPr>
      </w:pPr>
      <w:r>
        <w:rPr>
          <w:rFonts w:ascii="Times New Roman" w:hAnsi="Times New Roman" w:cs="Times New Roman"/>
          <w:color w:val="auto"/>
        </w:rPr>
        <w:drawing>
          <wp:anchor distT="0" distB="0" distL="114300" distR="114300" simplePos="0" relativeHeight="251682816" behindDoc="0" locked="0" layoutInCell="1" allowOverlap="1">
            <wp:simplePos x="0" y="0"/>
            <wp:positionH relativeFrom="column">
              <wp:posOffset>6315075</wp:posOffset>
            </wp:positionH>
            <wp:positionV relativeFrom="paragraph">
              <wp:posOffset>180340</wp:posOffset>
            </wp:positionV>
            <wp:extent cx="2959735" cy="2230120"/>
            <wp:effectExtent l="19050" t="19050" r="21590" b="27305"/>
            <wp:wrapNone/>
            <wp:docPr id="8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1"/>
                    <pic:cNvPicPr>
                      <a:picLocks noChangeAspect="1"/>
                    </pic:cNvPicPr>
                  </pic:nvPicPr>
                  <pic:blipFill>
                    <a:blip r:embed="rId85"/>
                    <a:stretch>
                      <a:fillRect/>
                    </a:stretch>
                  </pic:blipFill>
                  <pic:spPr>
                    <a:xfrm>
                      <a:off x="0" y="0"/>
                      <a:ext cx="2959735" cy="2230120"/>
                    </a:xfrm>
                    <a:prstGeom prst="rect">
                      <a:avLst/>
                    </a:prstGeom>
                    <a:noFill/>
                    <a:ln w="19050" cap="flat" cmpd="sng">
                      <a:solidFill>
                        <a:srgbClr val="FF0000"/>
                      </a:solidFill>
                      <a:prstDash val="solid"/>
                      <a:miter/>
                      <a:headEnd type="none" w="med" len="med"/>
                      <a:tailEnd type="none" w="med" len="med"/>
                    </a:ln>
                  </pic:spPr>
                </pic:pic>
              </a:graphicData>
            </a:graphic>
          </wp:anchor>
        </w:drawing>
      </w:r>
      <w:r>
        <w:rPr>
          <w:rFonts w:ascii="Times New Roman" w:hAnsi="Times New Roman" w:cs="Times New Roman"/>
          <w:color w:val="auto"/>
        </w:rPr>
        <w:drawing>
          <wp:anchor distT="0" distB="0" distL="114300" distR="114300" simplePos="0" relativeHeight="251681792" behindDoc="0" locked="0" layoutInCell="1" allowOverlap="1">
            <wp:simplePos x="0" y="0"/>
            <wp:positionH relativeFrom="column">
              <wp:posOffset>3086100</wp:posOffset>
            </wp:positionH>
            <wp:positionV relativeFrom="paragraph">
              <wp:posOffset>172085</wp:posOffset>
            </wp:positionV>
            <wp:extent cx="2952115" cy="2247900"/>
            <wp:effectExtent l="19050" t="19050" r="19685" b="19050"/>
            <wp:wrapNone/>
            <wp:docPr id="6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2"/>
                    <pic:cNvPicPr>
                      <a:picLocks noChangeAspect="1"/>
                    </pic:cNvPicPr>
                  </pic:nvPicPr>
                  <pic:blipFill>
                    <a:blip r:embed="rId86"/>
                    <a:stretch>
                      <a:fillRect/>
                    </a:stretch>
                  </pic:blipFill>
                  <pic:spPr>
                    <a:xfrm>
                      <a:off x="0" y="0"/>
                      <a:ext cx="2952115" cy="2247900"/>
                    </a:xfrm>
                    <a:prstGeom prst="rect">
                      <a:avLst/>
                    </a:prstGeom>
                    <a:noFill/>
                    <a:ln w="19050" cap="flat" cmpd="sng">
                      <a:solidFill>
                        <a:srgbClr val="FF0000"/>
                      </a:solidFill>
                      <a:prstDash val="solid"/>
                      <a:miter/>
                      <a:headEnd type="none" w="med" len="med"/>
                      <a:tailEnd type="none" w="med" len="med"/>
                    </a:ln>
                  </pic:spPr>
                </pic:pic>
              </a:graphicData>
            </a:graphic>
          </wp:anchor>
        </w:drawing>
      </w:r>
      <w:r>
        <w:rPr>
          <w:rFonts w:ascii="Times New Roman" w:hAnsi="Times New Roman" w:cs="Times New Roman"/>
          <w:color w:val="auto"/>
        </w:rPr>
        <w:drawing>
          <wp:anchor distT="0" distB="0" distL="114300" distR="114300" simplePos="0" relativeHeight="251678720" behindDoc="0" locked="0" layoutInCell="1" allowOverlap="1">
            <wp:simplePos x="0" y="0"/>
            <wp:positionH relativeFrom="column">
              <wp:posOffset>-190500</wp:posOffset>
            </wp:positionH>
            <wp:positionV relativeFrom="paragraph">
              <wp:posOffset>181610</wp:posOffset>
            </wp:positionV>
            <wp:extent cx="2985770" cy="2218690"/>
            <wp:effectExtent l="19050" t="19050" r="24130" b="19685"/>
            <wp:wrapNone/>
            <wp:docPr id="7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3"/>
                    <pic:cNvPicPr>
                      <a:picLocks noChangeAspect="1"/>
                    </pic:cNvPicPr>
                  </pic:nvPicPr>
                  <pic:blipFill>
                    <a:blip r:embed="rId87"/>
                    <a:stretch>
                      <a:fillRect/>
                    </a:stretch>
                  </pic:blipFill>
                  <pic:spPr>
                    <a:xfrm>
                      <a:off x="0" y="0"/>
                      <a:ext cx="2985770" cy="2218690"/>
                    </a:xfrm>
                    <a:prstGeom prst="rect">
                      <a:avLst/>
                    </a:prstGeom>
                    <a:noFill/>
                    <a:ln w="19050" cap="flat" cmpd="sng">
                      <a:solidFill>
                        <a:srgbClr val="FF0000"/>
                      </a:solidFill>
                      <a:prstDash val="solid"/>
                      <a:miter/>
                      <a:headEnd type="none" w="med" len="med"/>
                      <a:tailEnd type="none" w="med" len="med"/>
                    </a:ln>
                  </pic:spPr>
                </pic:pic>
              </a:graphicData>
            </a:graphic>
          </wp:anchor>
        </w:drawing>
      </w:r>
    </w:p>
    <w:p>
      <w:pPr>
        <w:rPr>
          <w:rFonts w:ascii="Times New Roman" w:hAnsi="Times New Roman" w:cs="Times New Roman"/>
          <w:color w:val="auto"/>
        </w:rPr>
      </w:pPr>
      <w:r>
        <w:rPr>
          <w:rFonts w:ascii="Times New Roman" w:hAnsi="Times New Roman" w:cs="Times New Roman"/>
          <w:color w:val="auto"/>
        </w:rPr>
        <mc:AlternateContent>
          <mc:Choice Requires="wps">
            <w:drawing>
              <wp:anchor distT="0" distB="0" distL="114300" distR="114300" simplePos="0" relativeHeight="251686912" behindDoc="0" locked="0" layoutInCell="1" allowOverlap="1">
                <wp:simplePos x="0" y="0"/>
                <wp:positionH relativeFrom="column">
                  <wp:posOffset>7342505</wp:posOffset>
                </wp:positionH>
                <wp:positionV relativeFrom="paragraph">
                  <wp:posOffset>4930775</wp:posOffset>
                </wp:positionV>
                <wp:extent cx="1314450" cy="304800"/>
                <wp:effectExtent l="0" t="0" r="0" b="0"/>
                <wp:wrapNone/>
                <wp:docPr id="74" name="矩形 74"/>
                <wp:cNvGraphicFramePr/>
                <a:graphic xmlns:a="http://schemas.openxmlformats.org/drawingml/2006/main">
                  <a:graphicData uri="http://schemas.microsoft.com/office/word/2010/wordprocessingShape">
                    <wps:wsp>
                      <wps:cNvSpPr/>
                      <wps:spPr>
                        <a:xfrm>
                          <a:off x="0" y="0"/>
                          <a:ext cx="1314450" cy="304800"/>
                        </a:xfrm>
                        <a:prstGeom prst="rect">
                          <a:avLst/>
                        </a:prstGeom>
                        <a:noFill/>
                        <a:ln>
                          <a:noFill/>
                        </a:ln>
                      </wps:spPr>
                      <wps:txbx>
                        <w:txbxContent>
                          <w:p>
                            <w:pPr>
                              <w:jc w:val="center"/>
                              <w:rPr>
                                <w:rFonts w:hint="eastAsia" w:eastAsia="宋体"/>
                                <w:lang w:eastAsia="zh-CN"/>
                              </w:rPr>
                            </w:pPr>
                            <w:r>
                              <w:rPr>
                                <w:rFonts w:hint="eastAsia" w:eastAsia="宋体"/>
                                <w:lang w:eastAsia="zh-CN"/>
                              </w:rPr>
                              <w:t>实验室废气处理装置</w:t>
                            </w:r>
                          </w:p>
                        </w:txbxContent>
                      </wps:txbx>
                      <wps:bodyPr upright="1"/>
                    </wps:wsp>
                  </a:graphicData>
                </a:graphic>
              </wp:anchor>
            </w:drawing>
          </mc:Choice>
          <mc:Fallback>
            <w:pict>
              <v:rect id="_x0000_s1026" o:spid="_x0000_s1026" o:spt="1" style="position:absolute;left:0pt;margin-left:578.15pt;margin-top:388.25pt;height:24pt;width:103.5pt;z-index:251686912;mso-width-relative:page;mso-height-relative:page;" filled="f" stroked="f" coordsize="21600,21600" o:gfxdata="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IniHs7cAAAADQEA&#10;AA8AAAAAAAAAAQAgAAAAIgAAAGRycy9kb3ducmV2LnhtbFBLAQIUABQAAAAIAIdO4kAvjAvLpAEA&#10;AEMDAAAOAAAAAAAAAAEAIAAAACsBAABkcnMvZTJvRG9jLnhtbFBLBQYAAAAABgAGAFkBAABBBQAA&#10;AAA=&#10;">
                <v:fill on="f" focussize="0,0"/>
                <v:stroke on="f"/>
                <v:imagedata o:title=""/>
                <o:lock v:ext="edit" aspectratio="f"/>
                <v:textbox>
                  <w:txbxContent>
                    <w:p>
                      <w:pPr>
                        <w:jc w:val="center"/>
                        <w:rPr>
                          <w:rFonts w:hint="eastAsia" w:eastAsia="宋体"/>
                          <w:lang w:eastAsia="zh-CN"/>
                        </w:rPr>
                      </w:pPr>
                      <w:r>
                        <w:rPr>
                          <w:rFonts w:hint="eastAsia" w:eastAsia="宋体"/>
                          <w:lang w:eastAsia="zh-CN"/>
                        </w:rPr>
                        <w:t>实验室废气处理装置</w:t>
                      </w:r>
                    </w:p>
                  </w:txbxContent>
                </v:textbox>
              </v:rect>
            </w:pict>
          </mc:Fallback>
        </mc:AlternateContent>
      </w:r>
      <w:r>
        <w:rPr>
          <w:rFonts w:ascii="Times New Roman" w:hAnsi="Times New Roman" w:cs="Times New Roman"/>
          <w:color w:val="auto"/>
        </w:rPr>
        <mc:AlternateContent>
          <mc:Choice Requires="wps">
            <w:drawing>
              <wp:anchor distT="0" distB="0" distL="114300" distR="114300" simplePos="0" relativeHeight="251685888" behindDoc="0" locked="0" layoutInCell="1" allowOverlap="1">
                <wp:simplePos x="0" y="0"/>
                <wp:positionH relativeFrom="column">
                  <wp:posOffset>3818255</wp:posOffset>
                </wp:positionH>
                <wp:positionV relativeFrom="paragraph">
                  <wp:posOffset>4873625</wp:posOffset>
                </wp:positionV>
                <wp:extent cx="1314450" cy="304800"/>
                <wp:effectExtent l="0" t="0" r="0" b="0"/>
                <wp:wrapNone/>
                <wp:docPr id="70" name="矩形 70"/>
                <wp:cNvGraphicFramePr/>
                <a:graphic xmlns:a="http://schemas.openxmlformats.org/drawingml/2006/main">
                  <a:graphicData uri="http://schemas.microsoft.com/office/word/2010/wordprocessingShape">
                    <wps:wsp>
                      <wps:cNvSpPr/>
                      <wps:spPr>
                        <a:xfrm>
                          <a:off x="0" y="0"/>
                          <a:ext cx="1314450" cy="304800"/>
                        </a:xfrm>
                        <a:prstGeom prst="rect">
                          <a:avLst/>
                        </a:prstGeom>
                        <a:noFill/>
                        <a:ln>
                          <a:noFill/>
                        </a:ln>
                      </wps:spPr>
                      <wps:txbx>
                        <w:txbxContent>
                          <w:p>
                            <w:pPr>
                              <w:jc w:val="center"/>
                              <w:rPr>
                                <w:rFonts w:eastAsia="宋体"/>
                              </w:rPr>
                            </w:pPr>
                            <w:r>
                              <w:rPr>
                                <w:rFonts w:hint="eastAsia" w:eastAsia="宋体"/>
                                <w:lang w:val="en-US" w:eastAsia="zh-CN"/>
                              </w:rPr>
                              <w:t>工艺</w:t>
                            </w:r>
                            <w:r>
                              <w:rPr>
                                <w:rFonts w:hint="eastAsia" w:eastAsia="宋体"/>
                              </w:rPr>
                              <w:t>废气处理装置</w:t>
                            </w:r>
                          </w:p>
                        </w:txbxContent>
                      </wps:txbx>
                      <wps:bodyPr upright="1"/>
                    </wps:wsp>
                  </a:graphicData>
                </a:graphic>
              </wp:anchor>
            </w:drawing>
          </mc:Choice>
          <mc:Fallback>
            <w:pict>
              <v:rect id="_x0000_s1026" o:spid="_x0000_s1026" o:spt="1" style="position:absolute;left:0pt;margin-left:300.65pt;margin-top:383.75pt;height:24pt;width:103.5pt;z-index:251685888;mso-width-relative:page;mso-height-relative:page;" filled="f" stroked="f" coordsize="21600,21600" o:gfxdata="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BdB6wz2wAAAAsBAAAP&#10;AAAAAAAAAAEAIAAAACIAAABkcnMvZG93bnJldi54bWxQSwECFAAUAAAACACHTuJAh5cJ2qMBAABD&#10;AwAADgAAAAAAAAABACAAAAAqAQAAZHJzL2Uyb0RvYy54bWxQSwUGAAAAAAYABgBZAQAAPwUAAAAA&#10;">
                <v:fill on="f" focussize="0,0"/>
                <v:stroke on="f"/>
                <v:imagedata o:title=""/>
                <o:lock v:ext="edit" aspectratio="f"/>
                <v:textbox>
                  <w:txbxContent>
                    <w:p>
                      <w:pPr>
                        <w:jc w:val="center"/>
                        <w:rPr>
                          <w:rFonts w:eastAsia="宋体"/>
                        </w:rPr>
                      </w:pPr>
                      <w:r>
                        <w:rPr>
                          <w:rFonts w:hint="eastAsia" w:eastAsia="宋体"/>
                          <w:lang w:val="en-US" w:eastAsia="zh-CN"/>
                        </w:rPr>
                        <w:t>工艺</w:t>
                      </w:r>
                      <w:r>
                        <w:rPr>
                          <w:rFonts w:hint="eastAsia" w:eastAsia="宋体"/>
                        </w:rPr>
                        <w:t>废气处理装置</w:t>
                      </w:r>
                    </w:p>
                  </w:txbxContent>
                </v:textbox>
              </v:rect>
            </w:pict>
          </mc:Fallback>
        </mc:AlternateContent>
      </w:r>
      <w:r>
        <w:rPr>
          <w:rFonts w:ascii="Times New Roman" w:hAnsi="Times New Roman" w:cs="Times New Roman"/>
          <w:color w:val="auto"/>
        </w:rPr>
        <mc:AlternateContent>
          <mc:Choice Requires="wps">
            <w:drawing>
              <wp:anchor distT="0" distB="0" distL="114300" distR="114300" simplePos="0" relativeHeight="251683840" behindDoc="0" locked="0" layoutInCell="1" allowOverlap="1">
                <wp:simplePos x="0" y="0"/>
                <wp:positionH relativeFrom="column">
                  <wp:posOffset>7132955</wp:posOffset>
                </wp:positionH>
                <wp:positionV relativeFrom="paragraph">
                  <wp:posOffset>2244725</wp:posOffset>
                </wp:positionV>
                <wp:extent cx="1314450" cy="304800"/>
                <wp:effectExtent l="0" t="0" r="0" b="0"/>
                <wp:wrapNone/>
                <wp:docPr id="73" name="矩形 73"/>
                <wp:cNvGraphicFramePr/>
                <a:graphic xmlns:a="http://schemas.openxmlformats.org/drawingml/2006/main">
                  <a:graphicData uri="http://schemas.microsoft.com/office/word/2010/wordprocessingShape">
                    <wps:wsp>
                      <wps:cNvSpPr/>
                      <wps:spPr>
                        <a:xfrm>
                          <a:off x="0" y="0"/>
                          <a:ext cx="1314450" cy="304800"/>
                        </a:xfrm>
                        <a:prstGeom prst="rect">
                          <a:avLst/>
                        </a:prstGeom>
                        <a:noFill/>
                        <a:ln>
                          <a:noFill/>
                        </a:ln>
                      </wps:spPr>
                      <wps:txbx>
                        <w:txbxContent>
                          <w:p>
                            <w:pPr>
                              <w:jc w:val="center"/>
                              <w:rPr>
                                <w:rFonts w:eastAsia="宋体"/>
                              </w:rPr>
                            </w:pPr>
                            <w:r>
                              <w:rPr>
                                <w:rFonts w:hint="eastAsia"/>
                              </w:rPr>
                              <w:t>储罐区</w:t>
                            </w:r>
                          </w:p>
                        </w:txbxContent>
                      </wps:txbx>
                      <wps:bodyPr upright="1"/>
                    </wps:wsp>
                  </a:graphicData>
                </a:graphic>
              </wp:anchor>
            </w:drawing>
          </mc:Choice>
          <mc:Fallback>
            <w:pict>
              <v:rect id="_x0000_s1026" o:spid="_x0000_s1026" o:spt="1" style="position:absolute;left:0pt;margin-left:561.65pt;margin-top:176.75pt;height:24pt;width:103.5pt;z-index:251683840;mso-width-relative:page;mso-height-relative:page;" filled="f" stroked="f" coordsize="21600,21600" o:gfxdata="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H1T3WHcAAAADQEA&#10;AA8AAAAAAAAAAQAgAAAAIgAAAGRycy9kb3ducmV2LnhtbFBLAQIUABQAAAAIAIdO4kC5HMjWpAEA&#10;AEMDAAAOAAAAAAAAAAEAIAAAACsBAABkcnMvZTJvRG9jLnhtbFBLBQYAAAAABgAGAFkBAABBBQAA&#10;AAA=&#10;">
                <v:fill on="f" focussize="0,0"/>
                <v:stroke on="f"/>
                <v:imagedata o:title=""/>
                <o:lock v:ext="edit" aspectratio="f"/>
                <v:textbox>
                  <w:txbxContent>
                    <w:p>
                      <w:pPr>
                        <w:jc w:val="center"/>
                        <w:rPr>
                          <w:rFonts w:eastAsia="宋体"/>
                        </w:rPr>
                      </w:pPr>
                      <w:r>
                        <w:rPr>
                          <w:rFonts w:hint="eastAsia"/>
                        </w:rPr>
                        <w:t>储罐区</w:t>
                      </w:r>
                    </w:p>
                  </w:txbxContent>
                </v:textbox>
              </v:rect>
            </w:pict>
          </mc:Fallback>
        </mc:AlternateContent>
      </w:r>
      <w:r>
        <w:rPr>
          <w:rFonts w:ascii="Times New Roman" w:hAnsi="Times New Roman" w:cs="Times New Roman"/>
          <w:color w:val="auto"/>
        </w:rPr>
        <mc:AlternateContent>
          <mc:Choice Requires="wps">
            <w:drawing>
              <wp:anchor distT="0" distB="0" distL="114300" distR="114300" simplePos="0" relativeHeight="251679744" behindDoc="0" locked="0" layoutInCell="1" allowOverlap="1">
                <wp:simplePos x="0" y="0"/>
                <wp:positionH relativeFrom="column">
                  <wp:posOffset>3884930</wp:posOffset>
                </wp:positionH>
                <wp:positionV relativeFrom="paragraph">
                  <wp:posOffset>2254250</wp:posOffset>
                </wp:positionV>
                <wp:extent cx="1314450" cy="304800"/>
                <wp:effectExtent l="0" t="0" r="0" b="0"/>
                <wp:wrapNone/>
                <wp:docPr id="76" name="矩形 76"/>
                <wp:cNvGraphicFramePr/>
                <a:graphic xmlns:a="http://schemas.openxmlformats.org/drawingml/2006/main">
                  <a:graphicData uri="http://schemas.microsoft.com/office/word/2010/wordprocessingShape">
                    <wps:wsp>
                      <wps:cNvSpPr/>
                      <wps:spPr>
                        <a:xfrm>
                          <a:off x="0" y="0"/>
                          <a:ext cx="1314450" cy="304800"/>
                        </a:xfrm>
                        <a:prstGeom prst="rect">
                          <a:avLst/>
                        </a:prstGeom>
                        <a:noFill/>
                        <a:ln>
                          <a:noFill/>
                        </a:ln>
                      </wps:spPr>
                      <wps:txbx>
                        <w:txbxContent>
                          <w:p>
                            <w:pPr>
                              <w:jc w:val="center"/>
                              <w:rPr>
                                <w:rFonts w:eastAsia="宋体"/>
                              </w:rPr>
                            </w:pPr>
                            <w:r>
                              <w:rPr>
                                <w:rFonts w:hint="eastAsia"/>
                              </w:rPr>
                              <w:t>储罐区</w:t>
                            </w:r>
                          </w:p>
                        </w:txbxContent>
                      </wps:txbx>
                      <wps:bodyPr upright="1"/>
                    </wps:wsp>
                  </a:graphicData>
                </a:graphic>
              </wp:anchor>
            </w:drawing>
          </mc:Choice>
          <mc:Fallback>
            <w:pict>
              <v:rect id="_x0000_s1026" o:spid="_x0000_s1026" o:spt="1" style="position:absolute;left:0pt;margin-left:305.9pt;margin-top:177.5pt;height:24pt;width:103.5pt;z-index:251679744;mso-width-relative:page;mso-height-relative:page;" filled="f" stroked="f" coordsize="21600,21600" o:gfxdata="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GV6wGNsAAAALAQAA&#10;DwAAAAAAAAABACAAAAAiAAAAZHJzL2Rvd25yZXYueG1sUEsBAhQAFAAAAAgAh07iQPuBisOkAQAA&#10;QwMAAA4AAAAAAAAAAQAgAAAAKgEAAGRycy9lMm9Eb2MueG1sUEsFBgAAAAAGAAYAWQEAAEAFAAAA&#10;AA==&#10;">
                <v:fill on="f" focussize="0,0"/>
                <v:stroke on="f"/>
                <v:imagedata o:title=""/>
                <o:lock v:ext="edit" aspectratio="f"/>
                <v:textbox>
                  <w:txbxContent>
                    <w:p>
                      <w:pPr>
                        <w:jc w:val="center"/>
                        <w:rPr>
                          <w:rFonts w:eastAsia="宋体"/>
                        </w:rPr>
                      </w:pPr>
                      <w:r>
                        <w:rPr>
                          <w:rFonts w:hint="eastAsia"/>
                        </w:rPr>
                        <w:t>储罐区</w:t>
                      </w:r>
                    </w:p>
                  </w:txbxContent>
                </v:textbox>
              </v:rect>
            </w:pict>
          </mc:Fallback>
        </mc:AlternateContent>
      </w:r>
      <w:r>
        <w:rPr>
          <w:rFonts w:ascii="Times New Roman" w:hAnsi="Times New Roman" w:cs="Times New Roman"/>
          <w:color w:val="auto"/>
        </w:rPr>
        <mc:AlternateContent>
          <mc:Choice Requires="wps">
            <w:drawing>
              <wp:anchor distT="0" distB="0" distL="114300" distR="114300" simplePos="0" relativeHeight="251680768" behindDoc="0" locked="0" layoutInCell="1" allowOverlap="1">
                <wp:simplePos x="0" y="0"/>
                <wp:positionH relativeFrom="column">
                  <wp:posOffset>675005</wp:posOffset>
                </wp:positionH>
                <wp:positionV relativeFrom="paragraph">
                  <wp:posOffset>2209800</wp:posOffset>
                </wp:positionV>
                <wp:extent cx="1314450" cy="304800"/>
                <wp:effectExtent l="0" t="0" r="0" b="0"/>
                <wp:wrapNone/>
                <wp:docPr id="78" name="矩形 78"/>
                <wp:cNvGraphicFramePr/>
                <a:graphic xmlns:a="http://schemas.openxmlformats.org/drawingml/2006/main">
                  <a:graphicData uri="http://schemas.microsoft.com/office/word/2010/wordprocessingShape">
                    <wps:wsp>
                      <wps:cNvSpPr/>
                      <wps:spPr>
                        <a:xfrm>
                          <a:off x="0" y="0"/>
                          <a:ext cx="1314450" cy="304800"/>
                        </a:xfrm>
                        <a:prstGeom prst="rect">
                          <a:avLst/>
                        </a:prstGeom>
                        <a:noFill/>
                        <a:ln>
                          <a:noFill/>
                        </a:ln>
                      </wps:spPr>
                      <wps:txbx>
                        <w:txbxContent>
                          <w:p>
                            <w:pPr>
                              <w:jc w:val="center"/>
                              <w:rPr>
                                <w:rFonts w:eastAsia="宋体"/>
                              </w:rPr>
                            </w:pPr>
                            <w:r>
                              <w:rPr>
                                <w:rFonts w:hint="eastAsia"/>
                              </w:rPr>
                              <w:t>应急物资</w:t>
                            </w:r>
                          </w:p>
                        </w:txbxContent>
                      </wps:txbx>
                      <wps:bodyPr upright="1"/>
                    </wps:wsp>
                  </a:graphicData>
                </a:graphic>
              </wp:anchor>
            </w:drawing>
          </mc:Choice>
          <mc:Fallback>
            <w:pict>
              <v:rect id="_x0000_s1026" o:spid="_x0000_s1026" o:spt="1" style="position:absolute;left:0pt;margin-left:53.15pt;margin-top:174pt;height:24pt;width:103.5pt;z-index:251680768;mso-width-relative:page;mso-height-relative:page;" filled="f" stroked="f" coordsize="21600,21600" o:gfxdata="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AwkpiJ2gAAAAsBAAAP&#10;AAAAAAAAAAEAIAAAACIAAABkcnMvZG93bnJldi54bWxQSwECFAAUAAAACACHTuJA16AN+KQBAABD&#10;AwAADgAAAAAAAAABACAAAAApAQAAZHJzL2Uyb0RvYy54bWxQSwUGAAAAAAYABgBZAQAAPwUAAAAA&#10;">
                <v:fill on="f" focussize="0,0"/>
                <v:stroke on="f"/>
                <v:imagedata o:title=""/>
                <o:lock v:ext="edit" aspectratio="f"/>
                <v:textbox>
                  <w:txbxContent>
                    <w:p>
                      <w:pPr>
                        <w:jc w:val="center"/>
                        <w:rPr>
                          <w:rFonts w:eastAsia="宋体"/>
                        </w:rPr>
                      </w:pPr>
                      <w:r>
                        <w:rPr>
                          <w:rFonts w:hint="eastAsia"/>
                        </w:rPr>
                        <w:t>应急物资</w:t>
                      </w:r>
                    </w:p>
                  </w:txbxContent>
                </v:textbox>
              </v:rect>
            </w:pict>
          </mc:Fallback>
        </mc:AlternateContent>
      </w:r>
    </w:p>
    <w:p>
      <w:pPr>
        <w:rPr>
          <w:rFonts w:ascii="Times New Roman" w:hAnsi="Times New Roman" w:cs="Times New Roman"/>
          <w:color w:val="auto"/>
          <w:szCs w:val="21"/>
        </w:rPr>
      </w:pPr>
    </w:p>
    <w:p>
      <w:pPr>
        <w:rPr>
          <w:rFonts w:ascii="Times New Roman" w:hAnsi="Times New Roman" w:cs="Times New Roman"/>
          <w:color w:val="auto"/>
        </w:rPr>
      </w:pPr>
    </w:p>
    <w:p>
      <w:pPr>
        <w:rPr>
          <w:rFonts w:ascii="Times New Roman" w:hAnsi="Times New Roman" w:cs="Times New Roman"/>
          <w:color w:val="auto"/>
        </w:rPr>
      </w:pPr>
    </w:p>
    <w:p>
      <w:pPr>
        <w:rPr>
          <w:rFonts w:ascii="Times New Roman" w:hAnsi="Times New Roman" w:cs="Times New Roman"/>
          <w:color w:val="auto"/>
        </w:rPr>
      </w:pPr>
    </w:p>
    <w:p>
      <w:pPr>
        <w:rPr>
          <w:rFonts w:ascii="Times New Roman" w:hAnsi="Times New Roman" w:cs="Times New Roman"/>
          <w:color w:val="auto"/>
        </w:rPr>
      </w:pPr>
    </w:p>
    <w:p>
      <w:pPr>
        <w:rPr>
          <w:rFonts w:ascii="Times New Roman" w:hAnsi="Times New Roman" w:cs="Times New Roman"/>
          <w:color w:val="auto"/>
        </w:rPr>
      </w:pPr>
    </w:p>
    <w:p>
      <w:pPr>
        <w:rPr>
          <w:rFonts w:ascii="Times New Roman" w:hAnsi="Times New Roman" w:cs="Times New Roman"/>
          <w:color w:val="auto"/>
        </w:rPr>
      </w:pPr>
    </w:p>
    <w:p>
      <w:pPr>
        <w:rPr>
          <w:rFonts w:ascii="Times New Roman" w:hAnsi="Times New Roman" w:cs="Times New Roman"/>
          <w:color w:val="auto"/>
        </w:rPr>
      </w:pPr>
    </w:p>
    <w:p>
      <w:pPr>
        <w:rPr>
          <w:rFonts w:ascii="Times New Roman" w:hAnsi="Times New Roman" w:cs="Times New Roman"/>
          <w:color w:val="auto"/>
        </w:rPr>
      </w:pPr>
    </w:p>
    <w:p>
      <w:pPr>
        <w:rPr>
          <w:rFonts w:ascii="Times New Roman" w:hAnsi="Times New Roman" w:cs="Times New Roman"/>
          <w:color w:val="auto"/>
        </w:rPr>
      </w:pPr>
    </w:p>
    <w:p>
      <w:pPr>
        <w:rPr>
          <w:rFonts w:ascii="Times New Roman" w:hAnsi="Times New Roman" w:cs="Times New Roman"/>
          <w:color w:val="auto"/>
        </w:rPr>
      </w:pPr>
    </w:p>
    <w:p>
      <w:pPr>
        <w:rPr>
          <w:rFonts w:ascii="Times New Roman" w:hAnsi="Times New Roman" w:cs="Times New Roman"/>
          <w:color w:val="auto"/>
        </w:rPr>
      </w:pPr>
      <w:r>
        <w:rPr>
          <w:rFonts w:hint="eastAsia" w:ascii="Times New Roman" w:hAnsi="Times New Roman" w:cs="Times New Roman" w:eastAsiaTheme="minorEastAsia"/>
          <w:color w:val="auto"/>
          <w:lang w:eastAsia="zh-CN"/>
        </w:rPr>
        <w:drawing>
          <wp:anchor distT="0" distB="0" distL="114300" distR="114300" simplePos="0" relativeHeight="251700224" behindDoc="0" locked="0" layoutInCell="1" allowOverlap="1">
            <wp:simplePos x="0" y="0"/>
            <wp:positionH relativeFrom="column">
              <wp:posOffset>6762750</wp:posOffset>
            </wp:positionH>
            <wp:positionV relativeFrom="paragraph">
              <wp:posOffset>128270</wp:posOffset>
            </wp:positionV>
            <wp:extent cx="1820545" cy="2426335"/>
            <wp:effectExtent l="0" t="0" r="8255" b="12065"/>
            <wp:wrapSquare wrapText="bothSides"/>
            <wp:docPr id="101" name="图片 101" descr="08e37cb10cacc61afd6a57d633215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08e37cb10cacc61afd6a57d6332156c"/>
                    <pic:cNvPicPr>
                      <a:picLocks noChangeAspect="1"/>
                    </pic:cNvPicPr>
                  </pic:nvPicPr>
                  <pic:blipFill>
                    <a:blip r:embed="rId88"/>
                    <a:stretch>
                      <a:fillRect/>
                    </a:stretch>
                  </pic:blipFill>
                  <pic:spPr>
                    <a:xfrm>
                      <a:off x="0" y="0"/>
                      <a:ext cx="1820545" cy="2426335"/>
                    </a:xfrm>
                    <a:prstGeom prst="rect">
                      <a:avLst/>
                    </a:prstGeom>
                  </pic:spPr>
                </pic:pic>
              </a:graphicData>
            </a:graphic>
          </wp:anchor>
        </w:drawing>
      </w:r>
      <w:r>
        <w:rPr>
          <w:rFonts w:hint="eastAsia" w:ascii="Times New Roman" w:hAnsi="Times New Roman" w:cs="Times New Roman" w:eastAsiaTheme="minorEastAsia"/>
          <w:color w:val="auto"/>
          <w:lang w:eastAsia="zh-CN"/>
        </w:rPr>
        <w:drawing>
          <wp:anchor distT="0" distB="0" distL="114300" distR="114300" simplePos="0" relativeHeight="251697152" behindDoc="0" locked="0" layoutInCell="1" allowOverlap="1">
            <wp:simplePos x="0" y="0"/>
            <wp:positionH relativeFrom="column">
              <wp:posOffset>3321685</wp:posOffset>
            </wp:positionH>
            <wp:positionV relativeFrom="paragraph">
              <wp:posOffset>122555</wp:posOffset>
            </wp:positionV>
            <wp:extent cx="2338705" cy="2384425"/>
            <wp:effectExtent l="0" t="0" r="4445" b="15875"/>
            <wp:wrapSquare wrapText="bothSides"/>
            <wp:docPr id="95" name="图片 95" descr="9051a298135c09f8f58629fc7dbd1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9051a298135c09f8f58629fc7dbd1a1"/>
                    <pic:cNvPicPr>
                      <a:picLocks noChangeAspect="1"/>
                    </pic:cNvPicPr>
                  </pic:nvPicPr>
                  <pic:blipFill>
                    <a:blip r:embed="rId89"/>
                    <a:stretch>
                      <a:fillRect/>
                    </a:stretch>
                  </pic:blipFill>
                  <pic:spPr>
                    <a:xfrm>
                      <a:off x="0" y="0"/>
                      <a:ext cx="2338705" cy="2384425"/>
                    </a:xfrm>
                    <a:prstGeom prst="rect">
                      <a:avLst/>
                    </a:prstGeom>
                  </pic:spPr>
                </pic:pic>
              </a:graphicData>
            </a:graphic>
          </wp:anchor>
        </w:drawing>
      </w:r>
    </w:p>
    <w:p>
      <w:pPr>
        <w:rPr>
          <w:rFonts w:hint="eastAsia" w:ascii="Times New Roman" w:hAnsi="Times New Roman" w:cs="Times New Roman" w:eastAsiaTheme="minorEastAsia"/>
          <w:color w:val="auto"/>
          <w:lang w:eastAsia="zh-CN"/>
        </w:rPr>
      </w:pPr>
      <w:r>
        <w:rPr>
          <w:rFonts w:hint="eastAsia" w:ascii="Times New Roman" w:hAnsi="Times New Roman" w:cs="Times New Roman" w:eastAsiaTheme="minorEastAsia"/>
          <w:color w:val="auto"/>
          <w:lang w:eastAsia="zh-CN"/>
        </w:rPr>
        <w:drawing>
          <wp:anchor distT="0" distB="0" distL="114300" distR="114300" simplePos="0" relativeHeight="251698176" behindDoc="0" locked="0" layoutInCell="1" allowOverlap="1">
            <wp:simplePos x="0" y="0"/>
            <wp:positionH relativeFrom="column">
              <wp:posOffset>-147320</wp:posOffset>
            </wp:positionH>
            <wp:positionV relativeFrom="paragraph">
              <wp:posOffset>51435</wp:posOffset>
            </wp:positionV>
            <wp:extent cx="2912745" cy="2185035"/>
            <wp:effectExtent l="0" t="0" r="1905" b="5715"/>
            <wp:wrapSquare wrapText="bothSides"/>
            <wp:docPr id="99" name="图片 99" descr="05445c0ca76356894bd0abc17a44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05445c0ca76356894bd0abc17a44547"/>
                    <pic:cNvPicPr>
                      <a:picLocks noChangeAspect="1"/>
                    </pic:cNvPicPr>
                  </pic:nvPicPr>
                  <pic:blipFill>
                    <a:blip r:embed="rId90"/>
                    <a:stretch>
                      <a:fillRect/>
                    </a:stretch>
                  </pic:blipFill>
                  <pic:spPr>
                    <a:xfrm>
                      <a:off x="0" y="0"/>
                      <a:ext cx="2912745" cy="2185035"/>
                    </a:xfrm>
                    <a:prstGeom prst="rect">
                      <a:avLst/>
                    </a:prstGeom>
                  </pic:spPr>
                </pic:pic>
              </a:graphicData>
            </a:graphic>
          </wp:anchor>
        </w:drawing>
      </w:r>
    </w:p>
    <w:p>
      <w:pPr>
        <w:rPr>
          <w:rFonts w:ascii="Times New Roman" w:hAnsi="Times New Roman" w:cs="Times New Roman"/>
          <w:color w:val="auto"/>
        </w:rPr>
      </w:pPr>
    </w:p>
    <w:p>
      <w:pPr>
        <w:rPr>
          <w:rFonts w:ascii="Times New Roman" w:hAnsi="Times New Roman" w:cs="Times New Roman"/>
          <w:color w:val="auto"/>
        </w:rPr>
      </w:pPr>
    </w:p>
    <w:p>
      <w:pPr>
        <w:rPr>
          <w:rFonts w:hint="eastAsia" w:ascii="Times New Roman" w:hAnsi="Times New Roman" w:cs="Times New Roman" w:eastAsiaTheme="minorEastAsia"/>
          <w:color w:val="auto"/>
          <w:lang w:eastAsia="zh-CN"/>
        </w:rPr>
      </w:pPr>
    </w:p>
    <w:p>
      <w:pPr>
        <w:rPr>
          <w:rFonts w:ascii="Times New Roman" w:hAnsi="Times New Roman" w:cs="Times New Roman"/>
          <w:color w:val="auto"/>
        </w:rPr>
      </w:pPr>
    </w:p>
    <w:p>
      <w:pPr>
        <w:rPr>
          <w:rFonts w:ascii="Times New Roman" w:hAnsi="Times New Roman" w:cs="Times New Roman"/>
          <w:color w:val="auto"/>
        </w:rPr>
      </w:pPr>
    </w:p>
    <w:p>
      <w:pPr>
        <w:rPr>
          <w:rFonts w:ascii="Times New Roman" w:hAnsi="Times New Roman" w:cs="Times New Roman"/>
          <w:color w:val="auto"/>
        </w:rPr>
      </w:pPr>
    </w:p>
    <w:p>
      <w:pPr>
        <w:rPr>
          <w:rFonts w:ascii="Times New Roman" w:hAnsi="Times New Roman" w:cs="Times New Roman"/>
          <w:color w:val="auto"/>
        </w:rPr>
      </w:pPr>
    </w:p>
    <w:p>
      <w:pPr>
        <w:rPr>
          <w:rFonts w:ascii="Times New Roman" w:hAnsi="Times New Roman" w:cs="Times New Roman"/>
          <w:color w:val="auto"/>
        </w:rPr>
      </w:pPr>
    </w:p>
    <w:p>
      <w:pPr>
        <w:rPr>
          <w:rFonts w:ascii="Times New Roman" w:hAnsi="Times New Roman" w:cs="Times New Roman"/>
          <w:color w:val="auto"/>
        </w:rPr>
      </w:pPr>
    </w:p>
    <w:p>
      <w:pPr>
        <w:rPr>
          <w:rFonts w:ascii="Times New Roman" w:hAnsi="Times New Roman" w:cs="Times New Roman"/>
          <w:color w:val="auto"/>
        </w:rPr>
      </w:pPr>
    </w:p>
    <w:p>
      <w:pPr>
        <w:rPr>
          <w:rFonts w:ascii="Times New Roman" w:hAnsi="Times New Roman" w:cs="Times New Roman"/>
          <w:color w:val="auto"/>
        </w:rPr>
      </w:pPr>
      <w:r>
        <w:rPr>
          <w:rFonts w:ascii="Times New Roman" w:hAnsi="Times New Roman" w:cs="Times New Roman"/>
          <w:color w:val="auto"/>
        </w:rPr>
        <mc:AlternateContent>
          <mc:Choice Requires="wps">
            <w:drawing>
              <wp:anchor distT="0" distB="0" distL="114300" distR="114300" simplePos="0" relativeHeight="251684864" behindDoc="0" locked="0" layoutInCell="1" allowOverlap="1">
                <wp:simplePos x="0" y="0"/>
                <wp:positionH relativeFrom="column">
                  <wp:posOffset>-2433955</wp:posOffset>
                </wp:positionH>
                <wp:positionV relativeFrom="paragraph">
                  <wp:posOffset>125095</wp:posOffset>
                </wp:positionV>
                <wp:extent cx="1724660" cy="304800"/>
                <wp:effectExtent l="0" t="0" r="0" b="0"/>
                <wp:wrapNone/>
                <wp:docPr id="72" name="矩形 72"/>
                <wp:cNvGraphicFramePr/>
                <a:graphic xmlns:a="http://schemas.openxmlformats.org/drawingml/2006/main">
                  <a:graphicData uri="http://schemas.microsoft.com/office/word/2010/wordprocessingShape">
                    <wps:wsp>
                      <wps:cNvSpPr/>
                      <wps:spPr>
                        <a:xfrm>
                          <a:off x="0" y="0"/>
                          <a:ext cx="1724660" cy="304800"/>
                        </a:xfrm>
                        <a:prstGeom prst="rect">
                          <a:avLst/>
                        </a:prstGeom>
                        <a:noFill/>
                        <a:ln>
                          <a:noFill/>
                        </a:ln>
                      </wps:spPr>
                      <wps:txbx>
                        <w:txbxContent>
                          <w:p>
                            <w:pPr>
                              <w:jc w:val="center"/>
                              <w:rPr>
                                <w:rFonts w:hint="default" w:eastAsia="宋体"/>
                                <w:highlight w:val="none"/>
                              </w:rPr>
                            </w:pPr>
                            <w:r>
                              <w:rPr>
                                <w:rFonts w:hint="eastAsia" w:eastAsia="宋体"/>
                                <w:highlight w:val="none"/>
                              </w:rPr>
                              <w:t>废水处理站</w:t>
                            </w:r>
                            <w:r>
                              <w:rPr>
                                <w:rFonts w:hint="eastAsia" w:eastAsia="宋体"/>
                                <w:highlight w:val="none"/>
                                <w:lang w:val="en-US" w:eastAsia="zh-CN"/>
                              </w:rPr>
                              <w:t>废气处理装置</w:t>
                            </w:r>
                          </w:p>
                        </w:txbxContent>
                      </wps:txbx>
                      <wps:bodyPr upright="1"/>
                    </wps:wsp>
                  </a:graphicData>
                </a:graphic>
              </wp:anchor>
            </w:drawing>
          </mc:Choice>
          <mc:Fallback>
            <w:pict>
              <v:rect id="_x0000_s1026" o:spid="_x0000_s1026" o:spt="1" style="position:absolute;left:0pt;margin-left:-191.65pt;margin-top:9.85pt;height:24pt;width:135.8pt;z-index:251684864;mso-width-relative:page;mso-height-relative:page;" filled="f" stroked="f" coordsize="21600,21600" o:gfxdata="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YwQ7v9sAAAALAQAA&#10;DwAAAAAAAAABACAAAAAiAAAAZHJzL2Rvd25yZXYueG1sUEsBAhQAFAAAAAgAh07iQN5lWZWkAQAA&#10;QwMAAA4AAAAAAAAAAQAgAAAAKgEAAGRycy9lMm9Eb2MueG1sUEsFBgAAAAAGAAYAWQEAAEAFAAAA&#10;AA==&#10;">
                <v:fill on="f" focussize="0,0"/>
                <v:stroke on="f"/>
                <v:imagedata o:title=""/>
                <o:lock v:ext="edit" aspectratio="f"/>
                <v:textbox>
                  <w:txbxContent>
                    <w:p>
                      <w:pPr>
                        <w:jc w:val="center"/>
                        <w:rPr>
                          <w:rFonts w:hint="default" w:eastAsia="宋体"/>
                          <w:highlight w:val="none"/>
                        </w:rPr>
                      </w:pPr>
                      <w:r>
                        <w:rPr>
                          <w:rFonts w:hint="eastAsia" w:eastAsia="宋体"/>
                          <w:highlight w:val="none"/>
                        </w:rPr>
                        <w:t>废水处理站</w:t>
                      </w:r>
                      <w:r>
                        <w:rPr>
                          <w:rFonts w:hint="eastAsia" w:eastAsia="宋体"/>
                          <w:highlight w:val="none"/>
                          <w:lang w:val="en-US" w:eastAsia="zh-CN"/>
                        </w:rPr>
                        <w:t>废气处理装置</w:t>
                      </w:r>
                    </w:p>
                  </w:txbxContent>
                </v:textbox>
              </v:rect>
            </w:pict>
          </mc:Fallback>
        </mc:AlternateContent>
      </w:r>
    </w:p>
    <w:p>
      <w:pPr>
        <w:pStyle w:val="13"/>
        <w:rPr>
          <w:rFonts w:ascii="Times New Roman" w:hAnsi="Times New Roman" w:cs="Times New Roman"/>
          <w:color w:val="auto"/>
        </w:rPr>
      </w:pPr>
      <w:r>
        <w:rPr>
          <w:rFonts w:ascii="Times New Roman" w:hAnsi="Times New Roman" w:cs="Times New Roman"/>
          <w:color w:val="auto"/>
        </w:rPr>
        <mc:AlternateContent>
          <mc:Choice Requires="wps">
            <w:drawing>
              <wp:anchor distT="0" distB="0" distL="114300" distR="114300" simplePos="0" relativeHeight="251693056" behindDoc="0" locked="0" layoutInCell="1" allowOverlap="1">
                <wp:simplePos x="0" y="0"/>
                <wp:positionH relativeFrom="column">
                  <wp:posOffset>7094855</wp:posOffset>
                </wp:positionH>
                <wp:positionV relativeFrom="paragraph">
                  <wp:posOffset>2416175</wp:posOffset>
                </wp:positionV>
                <wp:extent cx="1314450" cy="304800"/>
                <wp:effectExtent l="0" t="0" r="0" b="0"/>
                <wp:wrapNone/>
                <wp:docPr id="68" name="矩形 68"/>
                <wp:cNvGraphicFramePr/>
                <a:graphic xmlns:a="http://schemas.openxmlformats.org/drawingml/2006/main">
                  <a:graphicData uri="http://schemas.microsoft.com/office/word/2010/wordprocessingShape">
                    <wps:wsp>
                      <wps:cNvSpPr/>
                      <wps:spPr>
                        <a:xfrm>
                          <a:off x="0" y="0"/>
                          <a:ext cx="1314450" cy="304800"/>
                        </a:xfrm>
                        <a:prstGeom prst="rect">
                          <a:avLst/>
                        </a:prstGeom>
                        <a:noFill/>
                        <a:ln>
                          <a:noFill/>
                        </a:ln>
                      </wps:spPr>
                      <wps:txbx>
                        <w:txbxContent>
                          <w:p>
                            <w:pPr>
                              <w:jc w:val="center"/>
                              <w:rPr>
                                <w:rFonts w:eastAsia="宋体"/>
                              </w:rPr>
                            </w:pPr>
                            <w:r>
                              <w:rPr>
                                <w:rFonts w:hint="eastAsia" w:eastAsia="宋体"/>
                              </w:rPr>
                              <w:t>化学品制度入墙</w:t>
                            </w:r>
                          </w:p>
                        </w:txbxContent>
                      </wps:txbx>
                      <wps:bodyPr upright="1"/>
                    </wps:wsp>
                  </a:graphicData>
                </a:graphic>
              </wp:anchor>
            </w:drawing>
          </mc:Choice>
          <mc:Fallback>
            <w:pict>
              <v:rect id="_x0000_s1026" o:spid="_x0000_s1026" o:spt="1" style="position:absolute;left:0pt;margin-left:558.65pt;margin-top:190.25pt;height:24pt;width:103.5pt;z-index:251693056;mso-width-relative:page;mso-height-relative:page;" filled="f" stroked="f" coordsize="21600,21600" o:gfxdata="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LW22HzdAAAADQEA&#10;AA8AAAAAAAAAAQAgAAAAIgAAAGRycy9kb3ducmV2LnhtbFBLAQIUABQAAAAIAIdO4kA369a4owEA&#10;AEMDAAAOAAAAAAAAAAEAIAAAACwBAABkcnMvZTJvRG9jLnhtbFBLBQYAAAAABgAGAFkBAABBBQAA&#10;AAA=&#10;">
                <v:fill on="f" focussize="0,0"/>
                <v:stroke on="f"/>
                <v:imagedata o:title=""/>
                <o:lock v:ext="edit" aspectratio="f"/>
                <v:textbox>
                  <w:txbxContent>
                    <w:p>
                      <w:pPr>
                        <w:jc w:val="center"/>
                        <w:rPr>
                          <w:rFonts w:eastAsia="宋体"/>
                        </w:rPr>
                      </w:pPr>
                      <w:r>
                        <w:rPr>
                          <w:rFonts w:hint="eastAsia" w:eastAsia="宋体"/>
                        </w:rPr>
                        <w:t>化学品制度入墙</w:t>
                      </w:r>
                    </w:p>
                  </w:txbxContent>
                </v:textbox>
              </v:rect>
            </w:pict>
          </mc:Fallback>
        </mc:AlternateContent>
      </w:r>
      <w:r>
        <w:rPr>
          <w:rFonts w:ascii="Times New Roman" w:hAnsi="Times New Roman" w:cs="Times New Roman"/>
          <w:color w:val="auto"/>
        </w:rPr>
        <w:drawing>
          <wp:anchor distT="0" distB="0" distL="114300" distR="114300" simplePos="0" relativeHeight="251692032" behindDoc="0" locked="0" layoutInCell="1" allowOverlap="1">
            <wp:simplePos x="0" y="0"/>
            <wp:positionH relativeFrom="column">
              <wp:posOffset>6238875</wp:posOffset>
            </wp:positionH>
            <wp:positionV relativeFrom="paragraph">
              <wp:posOffset>47625</wp:posOffset>
            </wp:positionV>
            <wp:extent cx="2914650" cy="2256790"/>
            <wp:effectExtent l="19050" t="19050" r="19050" b="19685"/>
            <wp:wrapNone/>
            <wp:docPr id="7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4"/>
                    <pic:cNvPicPr>
                      <a:picLocks noChangeAspect="1"/>
                    </pic:cNvPicPr>
                  </pic:nvPicPr>
                  <pic:blipFill>
                    <a:blip r:embed="rId91"/>
                    <a:stretch>
                      <a:fillRect/>
                    </a:stretch>
                  </pic:blipFill>
                  <pic:spPr>
                    <a:xfrm>
                      <a:off x="0" y="0"/>
                      <a:ext cx="2914650" cy="2256790"/>
                    </a:xfrm>
                    <a:prstGeom prst="rect">
                      <a:avLst/>
                    </a:prstGeom>
                    <a:noFill/>
                    <a:ln w="19050" cap="flat" cmpd="sng">
                      <a:solidFill>
                        <a:srgbClr val="FF0000"/>
                      </a:solidFill>
                      <a:prstDash val="solid"/>
                      <a:miter/>
                      <a:headEnd type="none" w="med" len="med"/>
                      <a:tailEnd type="none" w="med" len="med"/>
                    </a:ln>
                  </pic:spPr>
                </pic:pic>
              </a:graphicData>
            </a:graphic>
          </wp:anchor>
        </w:drawing>
      </w:r>
      <w:r>
        <w:rPr>
          <w:rFonts w:ascii="Times New Roman" w:hAnsi="Times New Roman" w:cs="Times New Roman"/>
          <w:color w:val="auto"/>
        </w:rPr>
        <mc:AlternateContent>
          <mc:Choice Requires="wps">
            <w:drawing>
              <wp:anchor distT="0" distB="0" distL="114300" distR="114300" simplePos="0" relativeHeight="251691008" behindDoc="0" locked="0" layoutInCell="1" allowOverlap="1">
                <wp:simplePos x="0" y="0"/>
                <wp:positionH relativeFrom="column">
                  <wp:posOffset>3913505</wp:posOffset>
                </wp:positionH>
                <wp:positionV relativeFrom="paragraph">
                  <wp:posOffset>2368550</wp:posOffset>
                </wp:positionV>
                <wp:extent cx="1314450" cy="304800"/>
                <wp:effectExtent l="0" t="0" r="0" b="0"/>
                <wp:wrapNone/>
                <wp:docPr id="71" name="矩形 71"/>
                <wp:cNvGraphicFramePr/>
                <a:graphic xmlns:a="http://schemas.openxmlformats.org/drawingml/2006/main">
                  <a:graphicData uri="http://schemas.microsoft.com/office/word/2010/wordprocessingShape">
                    <wps:wsp>
                      <wps:cNvSpPr/>
                      <wps:spPr>
                        <a:xfrm>
                          <a:off x="0" y="0"/>
                          <a:ext cx="1314450" cy="304800"/>
                        </a:xfrm>
                        <a:prstGeom prst="rect">
                          <a:avLst/>
                        </a:prstGeom>
                        <a:noFill/>
                        <a:ln>
                          <a:noFill/>
                        </a:ln>
                      </wps:spPr>
                      <wps:txbx>
                        <w:txbxContent>
                          <w:p>
                            <w:pPr>
                              <w:jc w:val="center"/>
                              <w:rPr>
                                <w:rFonts w:eastAsia="宋体"/>
                              </w:rPr>
                            </w:pPr>
                            <w:r>
                              <w:rPr>
                                <w:rFonts w:hint="eastAsia" w:eastAsia="宋体"/>
                              </w:rPr>
                              <w:t>雨水阀门</w:t>
                            </w:r>
                          </w:p>
                        </w:txbxContent>
                      </wps:txbx>
                      <wps:bodyPr upright="1"/>
                    </wps:wsp>
                  </a:graphicData>
                </a:graphic>
              </wp:anchor>
            </w:drawing>
          </mc:Choice>
          <mc:Fallback>
            <w:pict>
              <v:rect id="_x0000_s1026" o:spid="_x0000_s1026" o:spt="1" style="position:absolute;left:0pt;margin-left:308.15pt;margin-top:186.5pt;height:24pt;width:103.5pt;z-index:251691008;mso-width-relative:page;mso-height-relative:page;" filled="f" stroked="f" coordsize="21600,21600" o:gfxdata="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C4EJZ92wAAAAsBAAAP&#10;AAAAAAAAAAEAIAAAACIAAABkcnMvZG93bnJldi54bWxQSwECFAAUAAAACACHTuJAbRFJ3qMBAABD&#10;AwAADgAAAAAAAAABACAAAAAqAQAAZHJzL2Uyb0RvYy54bWxQSwUGAAAAAAYABgBZAQAAPwUAAAAA&#10;">
                <v:fill on="f" focussize="0,0"/>
                <v:stroke on="f"/>
                <v:imagedata o:title=""/>
                <o:lock v:ext="edit" aspectratio="f"/>
                <v:textbox>
                  <w:txbxContent>
                    <w:p>
                      <w:pPr>
                        <w:jc w:val="center"/>
                        <w:rPr>
                          <w:rFonts w:eastAsia="宋体"/>
                        </w:rPr>
                      </w:pPr>
                      <w:r>
                        <w:rPr>
                          <w:rFonts w:hint="eastAsia" w:eastAsia="宋体"/>
                        </w:rPr>
                        <w:t>雨水阀门</w:t>
                      </w:r>
                    </w:p>
                  </w:txbxContent>
                </v:textbox>
              </v:rect>
            </w:pict>
          </mc:Fallback>
        </mc:AlternateContent>
      </w:r>
      <w:r>
        <w:rPr>
          <w:rFonts w:ascii="Times New Roman" w:hAnsi="Times New Roman" w:cs="Times New Roman"/>
          <w:color w:val="auto"/>
        </w:rPr>
        <w:drawing>
          <wp:anchor distT="0" distB="0" distL="114300" distR="114300" simplePos="0" relativeHeight="251689984" behindDoc="0" locked="0" layoutInCell="1" allowOverlap="1">
            <wp:simplePos x="0" y="0"/>
            <wp:positionH relativeFrom="column">
              <wp:posOffset>3048000</wp:posOffset>
            </wp:positionH>
            <wp:positionV relativeFrom="paragraph">
              <wp:posOffset>66675</wp:posOffset>
            </wp:positionV>
            <wp:extent cx="2962910" cy="2259965"/>
            <wp:effectExtent l="19050" t="19050" r="27940" b="26035"/>
            <wp:wrapNone/>
            <wp:docPr id="6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6"/>
                    <pic:cNvPicPr>
                      <a:picLocks noChangeAspect="1"/>
                    </pic:cNvPicPr>
                  </pic:nvPicPr>
                  <pic:blipFill>
                    <a:blip r:embed="rId92"/>
                    <a:stretch>
                      <a:fillRect/>
                    </a:stretch>
                  </pic:blipFill>
                  <pic:spPr>
                    <a:xfrm>
                      <a:off x="0" y="0"/>
                      <a:ext cx="2962910" cy="2259965"/>
                    </a:xfrm>
                    <a:prstGeom prst="rect">
                      <a:avLst/>
                    </a:prstGeom>
                    <a:noFill/>
                    <a:ln w="19050" cap="flat" cmpd="sng">
                      <a:solidFill>
                        <a:srgbClr val="FF0000"/>
                      </a:solidFill>
                      <a:prstDash val="solid"/>
                      <a:miter/>
                      <a:headEnd type="none" w="med" len="med"/>
                      <a:tailEnd type="none" w="med" len="med"/>
                    </a:ln>
                  </pic:spPr>
                </pic:pic>
              </a:graphicData>
            </a:graphic>
          </wp:anchor>
        </w:drawing>
      </w:r>
      <w:r>
        <w:rPr>
          <w:rFonts w:ascii="Times New Roman" w:hAnsi="Times New Roman" w:cs="Times New Roman"/>
          <w:color w:val="auto"/>
        </w:rPr>
        <mc:AlternateContent>
          <mc:Choice Requires="wps">
            <w:drawing>
              <wp:anchor distT="0" distB="0" distL="114300" distR="114300" simplePos="0" relativeHeight="251688960" behindDoc="0" locked="0" layoutInCell="1" allowOverlap="1">
                <wp:simplePos x="0" y="0"/>
                <wp:positionH relativeFrom="column">
                  <wp:posOffset>694055</wp:posOffset>
                </wp:positionH>
                <wp:positionV relativeFrom="paragraph">
                  <wp:posOffset>2425700</wp:posOffset>
                </wp:positionV>
                <wp:extent cx="1314450" cy="304800"/>
                <wp:effectExtent l="0" t="0" r="0" b="0"/>
                <wp:wrapNone/>
                <wp:docPr id="64" name="矩形 64"/>
                <wp:cNvGraphicFramePr/>
                <a:graphic xmlns:a="http://schemas.openxmlformats.org/drawingml/2006/main">
                  <a:graphicData uri="http://schemas.microsoft.com/office/word/2010/wordprocessingShape">
                    <wps:wsp>
                      <wps:cNvSpPr/>
                      <wps:spPr>
                        <a:xfrm>
                          <a:off x="0" y="0"/>
                          <a:ext cx="1314450" cy="304800"/>
                        </a:xfrm>
                        <a:prstGeom prst="rect">
                          <a:avLst/>
                        </a:prstGeom>
                        <a:noFill/>
                        <a:ln>
                          <a:noFill/>
                        </a:ln>
                      </wps:spPr>
                      <wps:txbx>
                        <w:txbxContent>
                          <w:p>
                            <w:pPr>
                              <w:jc w:val="center"/>
                              <w:rPr>
                                <w:rFonts w:eastAsia="宋体"/>
                              </w:rPr>
                            </w:pPr>
                            <w:r>
                              <w:rPr>
                                <w:rFonts w:hint="eastAsia" w:eastAsia="宋体"/>
                              </w:rPr>
                              <w:t>事故应急池</w:t>
                            </w:r>
                          </w:p>
                        </w:txbxContent>
                      </wps:txbx>
                      <wps:bodyPr upright="1"/>
                    </wps:wsp>
                  </a:graphicData>
                </a:graphic>
              </wp:anchor>
            </w:drawing>
          </mc:Choice>
          <mc:Fallback>
            <w:pict>
              <v:rect id="_x0000_s1026" o:spid="_x0000_s1026" o:spt="1" style="position:absolute;left:0pt;margin-left:54.65pt;margin-top:191pt;height:24pt;width:103.5pt;z-index:251688960;mso-width-relative:page;mso-height-relative:page;" filled="f" stroked="f" coordsize="21600,21600" o:gfxdata="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D2m4Yq2gAAAAsBAAAP&#10;AAAAAAAAAAEAIAAAACIAAABkcnMvZG93bnJldi54bWxQSwECFAAUAAAACACHTuJAz8fQi6QBAABD&#10;AwAADgAAAAAAAAABACAAAAApAQAAZHJzL2Uyb0RvYy54bWxQSwUGAAAAAAYABgBZAQAAPwUAAAAA&#10;">
                <v:fill on="f" focussize="0,0"/>
                <v:stroke on="f"/>
                <v:imagedata o:title=""/>
                <o:lock v:ext="edit" aspectratio="f"/>
                <v:textbox>
                  <w:txbxContent>
                    <w:p>
                      <w:pPr>
                        <w:jc w:val="center"/>
                        <w:rPr>
                          <w:rFonts w:eastAsia="宋体"/>
                        </w:rPr>
                      </w:pPr>
                      <w:r>
                        <w:rPr>
                          <w:rFonts w:hint="eastAsia" w:eastAsia="宋体"/>
                        </w:rPr>
                        <w:t>事故应急池</w:t>
                      </w:r>
                    </w:p>
                  </w:txbxContent>
                </v:textbox>
              </v:rect>
            </w:pict>
          </mc:Fallback>
        </mc:AlternateContent>
      </w:r>
      <w:r>
        <w:rPr>
          <w:rFonts w:ascii="Times New Roman" w:hAnsi="Times New Roman" w:cs="Times New Roman"/>
          <w:color w:val="auto"/>
        </w:rPr>
        <w:drawing>
          <wp:anchor distT="0" distB="0" distL="114300" distR="114300" simplePos="0" relativeHeight="251687936" behindDoc="0" locked="0" layoutInCell="1" allowOverlap="1">
            <wp:simplePos x="0" y="0"/>
            <wp:positionH relativeFrom="column">
              <wp:posOffset>-228600</wp:posOffset>
            </wp:positionH>
            <wp:positionV relativeFrom="paragraph">
              <wp:posOffset>44450</wp:posOffset>
            </wp:positionV>
            <wp:extent cx="2951480" cy="2277110"/>
            <wp:effectExtent l="19050" t="19050" r="20320" b="27940"/>
            <wp:wrapNone/>
            <wp:docPr id="6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8"/>
                    <pic:cNvPicPr>
                      <a:picLocks noChangeAspect="1"/>
                    </pic:cNvPicPr>
                  </pic:nvPicPr>
                  <pic:blipFill>
                    <a:blip r:embed="rId93"/>
                    <a:stretch>
                      <a:fillRect/>
                    </a:stretch>
                  </pic:blipFill>
                  <pic:spPr>
                    <a:xfrm>
                      <a:off x="0" y="0"/>
                      <a:ext cx="2951480" cy="2277110"/>
                    </a:xfrm>
                    <a:prstGeom prst="rect">
                      <a:avLst/>
                    </a:prstGeom>
                    <a:noFill/>
                    <a:ln w="19050" cap="flat" cmpd="sng">
                      <a:solidFill>
                        <a:srgbClr val="FF0000"/>
                      </a:solidFill>
                      <a:prstDash val="solid"/>
                      <a:miter/>
                      <a:headEnd type="none" w="med" len="med"/>
                      <a:tailEnd type="none" w="med" len="med"/>
                    </a:ln>
                  </pic:spPr>
                </pic:pic>
              </a:graphicData>
            </a:graphic>
          </wp:anchor>
        </w:drawing>
      </w:r>
    </w:p>
    <w:p>
      <w:pPr>
        <w:pStyle w:val="13"/>
        <w:rPr>
          <w:rFonts w:ascii="Times New Roman" w:hAnsi="Times New Roman" w:cs="Times New Roman"/>
          <w:b/>
          <w:color w:val="auto"/>
          <w:sz w:val="24"/>
          <w:szCs w:val="24"/>
        </w:rPr>
      </w:pPr>
      <w:r>
        <w:rPr>
          <w:rFonts w:ascii="Times New Roman" w:hAnsi="Times New Roman" w:cs="Times New Roman"/>
          <w:color w:val="auto"/>
        </w:rPr>
        <mc:AlternateContent>
          <mc:Choice Requires="wps">
            <w:drawing>
              <wp:anchor distT="0" distB="0" distL="114300" distR="114300" simplePos="0" relativeHeight="251701248" behindDoc="0" locked="0" layoutInCell="1" allowOverlap="1">
                <wp:simplePos x="0" y="0"/>
                <wp:positionH relativeFrom="column">
                  <wp:posOffset>448945</wp:posOffset>
                </wp:positionH>
                <wp:positionV relativeFrom="paragraph">
                  <wp:posOffset>4655820</wp:posOffset>
                </wp:positionV>
                <wp:extent cx="1314450" cy="304800"/>
                <wp:effectExtent l="0" t="0" r="0" b="0"/>
                <wp:wrapNone/>
                <wp:docPr id="103" name="矩形 103"/>
                <wp:cNvGraphicFramePr/>
                <a:graphic xmlns:a="http://schemas.openxmlformats.org/drawingml/2006/main">
                  <a:graphicData uri="http://schemas.microsoft.com/office/word/2010/wordprocessingShape">
                    <wps:wsp>
                      <wps:cNvSpPr/>
                      <wps:spPr>
                        <a:xfrm>
                          <a:off x="0" y="0"/>
                          <a:ext cx="1314450" cy="304800"/>
                        </a:xfrm>
                        <a:prstGeom prst="rect">
                          <a:avLst/>
                        </a:prstGeom>
                        <a:noFill/>
                        <a:ln>
                          <a:noFill/>
                        </a:ln>
                      </wps:spPr>
                      <wps:txbx>
                        <w:txbxContent>
                          <w:p>
                            <w:pPr>
                              <w:jc w:val="center"/>
                              <w:rPr>
                                <w:rFonts w:eastAsia="宋体"/>
                              </w:rPr>
                            </w:pPr>
                            <w:r>
                              <w:rPr>
                                <w:rFonts w:hint="eastAsia" w:eastAsia="宋体"/>
                              </w:rPr>
                              <w:t>初期雨水池</w:t>
                            </w:r>
                          </w:p>
                        </w:txbxContent>
                      </wps:txbx>
                      <wps:bodyPr upright="1"/>
                    </wps:wsp>
                  </a:graphicData>
                </a:graphic>
              </wp:anchor>
            </w:drawing>
          </mc:Choice>
          <mc:Fallback>
            <w:pict>
              <v:rect id="_x0000_s1026" o:spid="_x0000_s1026" o:spt="1" style="position:absolute;left:0pt;margin-left:35.35pt;margin-top:366.6pt;height:24pt;width:103.5pt;z-index:251701248;mso-width-relative:page;mso-height-relative:page;" filled="f" stroked="f" coordsize="21600,21600" o:gfxdata="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E3Va5zaAAAACgEAAA8A&#10;AAAAAAAAAQAgAAAAIgAAAGRycy9kb3ducmV2LnhtbFBLAQIUABQAAAAIAIdO4kBT0rUuowEAAEUD&#10;AAAOAAAAAAAAAAEAIAAAACkBAABkcnMvZTJvRG9jLnhtbFBLBQYAAAAABgAGAFkBAAA+BQAAAAA=&#10;">
                <v:fill on="f" focussize="0,0"/>
                <v:stroke on="f"/>
                <v:imagedata o:title=""/>
                <o:lock v:ext="edit" aspectratio="f"/>
                <v:textbox>
                  <w:txbxContent>
                    <w:p>
                      <w:pPr>
                        <w:jc w:val="center"/>
                        <w:rPr>
                          <w:rFonts w:eastAsia="宋体"/>
                        </w:rPr>
                      </w:pPr>
                      <w:r>
                        <w:rPr>
                          <w:rFonts w:hint="eastAsia" w:eastAsia="宋体"/>
                        </w:rPr>
                        <w:t>初期雨水池</w:t>
                      </w:r>
                    </w:p>
                  </w:txbxContent>
                </v:textbox>
              </v:rect>
            </w:pict>
          </mc:Fallback>
        </mc:AlternateContent>
      </w:r>
      <w:r>
        <w:rPr>
          <w:rFonts w:ascii="Times New Roman" w:hAnsi="Times New Roman" w:cs="Times New Roman"/>
          <w:color w:val="auto"/>
        </w:rPr>
        <w:drawing>
          <wp:anchor distT="0" distB="0" distL="114300" distR="114300" simplePos="0" relativeHeight="251699200" behindDoc="0" locked="0" layoutInCell="1" allowOverlap="1">
            <wp:simplePos x="0" y="0"/>
            <wp:positionH relativeFrom="column">
              <wp:posOffset>-267970</wp:posOffset>
            </wp:positionH>
            <wp:positionV relativeFrom="paragraph">
              <wp:posOffset>2430145</wp:posOffset>
            </wp:positionV>
            <wp:extent cx="2886075" cy="2135505"/>
            <wp:effectExtent l="19050" t="19050" r="28575" b="36195"/>
            <wp:wrapNone/>
            <wp:docPr id="10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5"/>
                    <pic:cNvPicPr>
                      <a:picLocks noChangeAspect="1"/>
                    </pic:cNvPicPr>
                  </pic:nvPicPr>
                  <pic:blipFill>
                    <a:blip r:embed="rId94"/>
                    <a:stretch>
                      <a:fillRect/>
                    </a:stretch>
                  </pic:blipFill>
                  <pic:spPr>
                    <a:xfrm>
                      <a:off x="0" y="0"/>
                      <a:ext cx="2886075" cy="2135505"/>
                    </a:xfrm>
                    <a:prstGeom prst="rect">
                      <a:avLst/>
                    </a:prstGeom>
                    <a:noFill/>
                    <a:ln w="19050" cap="flat" cmpd="sng">
                      <a:solidFill>
                        <a:srgbClr val="FF0000"/>
                      </a:solidFill>
                      <a:prstDash val="solid"/>
                      <a:miter/>
                      <a:headEnd type="none" w="med" len="med"/>
                      <a:tailEnd type="none" w="med" len="med"/>
                    </a:ln>
                  </pic:spPr>
                </pic:pic>
              </a:graphicData>
            </a:graphic>
          </wp:anchor>
        </w:drawing>
      </w:r>
    </w:p>
    <w:p/>
    <w:p/>
    <w:p/>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EFF" w:usb1="C000785B"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0000000000000000000"/>
    <w:charset w:val="86"/>
    <w:family w:val="modern"/>
    <w:pitch w:val="default"/>
    <w:sig w:usb0="00000000" w:usb1="00000000" w:usb2="00000010" w:usb3="00000000" w:csb0="00040000" w:csb1="00000000"/>
  </w:font>
  <w:font w:name="Arial Black">
    <w:panose1 w:val="020B0A04020102020204"/>
    <w:charset w:val="00"/>
    <w:family w:val="swiss"/>
    <w:pitch w:val="default"/>
    <w:sig w:usb0="A00002AF" w:usb1="400078FB" w:usb2="00000000" w:usb3="00000000" w:csb0="6000009F" w:csb1="DFD70000"/>
  </w:font>
  <w:font w:name="新宋体-18030">
    <w:altName w:val="微软雅黑"/>
    <w:panose1 w:val="00000000000000000000"/>
    <w:charset w:val="86"/>
    <w:family w:val="auto"/>
    <w:pitch w:val="default"/>
    <w:sig w:usb0="00000000" w:usb1="00000000" w:usb2="000A005E" w:usb3="00000000" w:csb0="00040001" w:csb1="00000000"/>
  </w:font>
  <w:font w:name="Wingdings 2">
    <w:altName w:val="Wingdings"/>
    <w:panose1 w:val="05020102010507070707"/>
    <w:charset w:val="02"/>
    <w:family w:val="roman"/>
    <w:pitch w:val="default"/>
    <w:sig w:usb0="00000000" w:usb1="00000000" w:usb2="00000000" w:usb3="00000000" w:csb0="80000000" w:csb1="00000000"/>
  </w:font>
  <w:font w:name="仿宋">
    <w:panose1 w:val="02010609060101010101"/>
    <w:charset w:val="86"/>
    <w:family w:val="auto"/>
    <w:pitch w:val="default"/>
    <w:sig w:usb0="800002BF" w:usb1="38CF7CFA" w:usb2="00000016" w:usb3="00000000" w:csb0="00040001" w:csb1="00000000"/>
  </w:font>
  <w:font w:name="Wingdings">
    <w:panose1 w:val="05000000000000000000"/>
    <w:charset w:val="00"/>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jc w:val="center"/>
      <w:rPr>
        <w:rFonts w:ascii="Times New Roman" w:hAnsi="Times New Roman" w:cs="Times New Roman"/>
        <w:sz w:val="24"/>
        <w:szCs w:val="24"/>
      </w:rPr>
    </w:pPr>
  </w:p>
  <w:p>
    <w:pPr>
      <w:pStyle w:val="20"/>
      <w:rPr>
        <w:rFonts w:ascii="Times New Roman" w:hAnsi="Times New Roman" w:cs="Times New Roman"/>
        <w:sz w:val="24"/>
        <w:szCs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472645080"/>
    </w:sdtPr>
    <w:sdtEndPr>
      <w:rPr>
        <w:rFonts w:ascii="Times New Roman" w:hAnsi="Times New Roman" w:cs="Times New Roman"/>
        <w:sz w:val="24"/>
        <w:szCs w:val="24"/>
      </w:rPr>
    </w:sdtEndPr>
    <w:sdtContent>
      <w:p>
        <w:pPr>
          <w:pStyle w:val="20"/>
          <w:jc w:val="center"/>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PAGE   \* MERGEFORMAT</w:instrText>
        </w:r>
        <w:r>
          <w:rPr>
            <w:rFonts w:ascii="Times New Roman" w:hAnsi="Times New Roman" w:cs="Times New Roman"/>
            <w:sz w:val="24"/>
            <w:szCs w:val="24"/>
          </w:rPr>
          <w:fldChar w:fldCharType="separate"/>
        </w:r>
        <w:r>
          <w:rPr>
            <w:rFonts w:ascii="Times New Roman" w:hAnsi="Times New Roman" w:cs="Times New Roman"/>
            <w:sz w:val="24"/>
            <w:szCs w:val="24"/>
            <w:lang w:val="zh-CN"/>
          </w:rPr>
          <w:t>23</w:t>
        </w:r>
        <w:r>
          <w:rPr>
            <w:rFonts w:ascii="Times New Roman" w:hAnsi="Times New Roman" w:cs="Times New Roman"/>
            <w:sz w:val="24"/>
            <w:szCs w:val="24"/>
          </w:rPr>
          <w:fldChar w:fldCharType="end"/>
        </w:r>
      </w:p>
    </w:sdtContent>
  </w:sdt>
  <w:p>
    <w:pPr>
      <w:pStyle w:val="20"/>
      <w:rPr>
        <w:rFonts w:ascii="Times New Roman" w:hAnsi="Times New Roman" w:cs="Times New Roman"/>
        <w:sz w:val="24"/>
        <w:szCs w:val="24"/>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6A27145"/>
    <w:multiLevelType w:val="singleLevel"/>
    <w:tmpl w:val="86A27145"/>
    <w:lvl w:ilvl="0" w:tentative="0">
      <w:start w:val="1"/>
      <w:numFmt w:val="decimal"/>
      <w:suff w:val="nothing"/>
      <w:lvlText w:val="（%1）"/>
      <w:lvlJc w:val="left"/>
    </w:lvl>
  </w:abstractNum>
  <w:abstractNum w:abstractNumId="1">
    <w:nsid w:val="C8D0980B"/>
    <w:multiLevelType w:val="singleLevel"/>
    <w:tmpl w:val="C8D0980B"/>
    <w:lvl w:ilvl="0" w:tentative="0">
      <w:start w:val="1"/>
      <w:numFmt w:val="decimal"/>
      <w:suff w:val="nothing"/>
      <w:lvlText w:val="%1、"/>
      <w:lvlJc w:val="left"/>
    </w:lvl>
  </w:abstractNum>
  <w:abstractNum w:abstractNumId="2">
    <w:nsid w:val="4A42B885"/>
    <w:multiLevelType w:val="singleLevel"/>
    <w:tmpl w:val="4A42B885"/>
    <w:lvl w:ilvl="0" w:tentative="0">
      <w:start w:val="1"/>
      <w:numFmt w:val="decimal"/>
      <w:suff w:val="nothing"/>
      <w:lvlText w:val="（%1）"/>
      <w:lvlJc w:val="left"/>
    </w:lvl>
  </w:abstractNum>
  <w:abstractNum w:abstractNumId="3">
    <w:nsid w:val="58726983"/>
    <w:multiLevelType w:val="singleLevel"/>
    <w:tmpl w:val="58726983"/>
    <w:lvl w:ilvl="0" w:tentative="0">
      <w:start w:val="1"/>
      <w:numFmt w:val="decimal"/>
      <w:suff w:val="nothing"/>
      <w:lvlText w:val="%1、"/>
      <w:lvlJc w:val="left"/>
    </w:lvl>
  </w:abstractNum>
  <w:abstractNum w:abstractNumId="4">
    <w:nsid w:val="618A4C76"/>
    <w:multiLevelType w:val="singleLevel"/>
    <w:tmpl w:val="618A4C76"/>
    <w:lvl w:ilvl="0" w:tentative="0">
      <w:start w:val="1"/>
      <w:numFmt w:val="lowerLetter"/>
      <w:suff w:val="nothing"/>
      <w:lvlText w:val="%1、"/>
      <w:lvlJc w:val="left"/>
    </w:lvl>
  </w:abstractNum>
  <w:num w:numId="1">
    <w:abstractNumId w:val="0"/>
  </w:num>
  <w:num w:numId="2">
    <w:abstractNumId w:val="4"/>
  </w:num>
  <w:num w:numId="3">
    <w:abstractNumId w:val="1"/>
  </w:num>
  <w:num w:numId="4">
    <w:abstractNumId w:val="3"/>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1"/>
  <w:bordersDoNotSurroundFooter w:val="1"/>
  <w:documentProtection w:enforcement="0"/>
  <w:defaultTabStop w:val="420"/>
  <w:drawingGridHorizontalSpacing w:val="105"/>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mUyMDEyNzZjNWI5NjhjYzA0NDg4ODk1NzZiMGUxZTkifQ=="/>
  </w:docVars>
  <w:rsids>
    <w:rsidRoot w:val="00AF5507"/>
    <w:rsid w:val="0000081C"/>
    <w:rsid w:val="00001F7E"/>
    <w:rsid w:val="000063B5"/>
    <w:rsid w:val="0001026E"/>
    <w:rsid w:val="0002487C"/>
    <w:rsid w:val="00033C8A"/>
    <w:rsid w:val="00037238"/>
    <w:rsid w:val="0004483B"/>
    <w:rsid w:val="000638D6"/>
    <w:rsid w:val="000642FF"/>
    <w:rsid w:val="00066994"/>
    <w:rsid w:val="00072334"/>
    <w:rsid w:val="00073C1E"/>
    <w:rsid w:val="0007410B"/>
    <w:rsid w:val="00075E44"/>
    <w:rsid w:val="000962B6"/>
    <w:rsid w:val="000A009C"/>
    <w:rsid w:val="000B35F8"/>
    <w:rsid w:val="000C3EE6"/>
    <w:rsid w:val="000D4BC4"/>
    <w:rsid w:val="000D526D"/>
    <w:rsid w:val="000D7FC4"/>
    <w:rsid w:val="000E5EF9"/>
    <w:rsid w:val="000E69B9"/>
    <w:rsid w:val="000F25F3"/>
    <w:rsid w:val="0011263E"/>
    <w:rsid w:val="00116EBD"/>
    <w:rsid w:val="00123D15"/>
    <w:rsid w:val="00125344"/>
    <w:rsid w:val="00125CF7"/>
    <w:rsid w:val="00126D87"/>
    <w:rsid w:val="0012715C"/>
    <w:rsid w:val="00127BA2"/>
    <w:rsid w:val="00127C94"/>
    <w:rsid w:val="00134BAF"/>
    <w:rsid w:val="00135FF2"/>
    <w:rsid w:val="00142ECF"/>
    <w:rsid w:val="00172361"/>
    <w:rsid w:val="0017237D"/>
    <w:rsid w:val="001772A2"/>
    <w:rsid w:val="00196C80"/>
    <w:rsid w:val="001A0655"/>
    <w:rsid w:val="001A22A2"/>
    <w:rsid w:val="001A37AE"/>
    <w:rsid w:val="001A6689"/>
    <w:rsid w:val="001B2A40"/>
    <w:rsid w:val="001C00DD"/>
    <w:rsid w:val="001C3A46"/>
    <w:rsid w:val="001C3DFE"/>
    <w:rsid w:val="001C43F4"/>
    <w:rsid w:val="001E04B1"/>
    <w:rsid w:val="001E063E"/>
    <w:rsid w:val="001E26AD"/>
    <w:rsid w:val="001E28DE"/>
    <w:rsid w:val="001E2AF4"/>
    <w:rsid w:val="001E5D16"/>
    <w:rsid w:val="001E70C5"/>
    <w:rsid w:val="001E79A9"/>
    <w:rsid w:val="001F5E4B"/>
    <w:rsid w:val="002077E4"/>
    <w:rsid w:val="002170A9"/>
    <w:rsid w:val="00224405"/>
    <w:rsid w:val="00226331"/>
    <w:rsid w:val="00226C77"/>
    <w:rsid w:val="0023203D"/>
    <w:rsid w:val="0023626C"/>
    <w:rsid w:val="002375F1"/>
    <w:rsid w:val="00247287"/>
    <w:rsid w:val="0026148E"/>
    <w:rsid w:val="0026316A"/>
    <w:rsid w:val="00263280"/>
    <w:rsid w:val="002636D2"/>
    <w:rsid w:val="00267E9B"/>
    <w:rsid w:val="00275AA2"/>
    <w:rsid w:val="0028192D"/>
    <w:rsid w:val="00292D66"/>
    <w:rsid w:val="002A0077"/>
    <w:rsid w:val="002A27AB"/>
    <w:rsid w:val="002A7BD5"/>
    <w:rsid w:val="002B5578"/>
    <w:rsid w:val="002C0C8C"/>
    <w:rsid w:val="002C1CDE"/>
    <w:rsid w:val="002C53A8"/>
    <w:rsid w:val="002D1CAF"/>
    <w:rsid w:val="002D7514"/>
    <w:rsid w:val="002E13FD"/>
    <w:rsid w:val="002F1ACF"/>
    <w:rsid w:val="003039FD"/>
    <w:rsid w:val="00303D1F"/>
    <w:rsid w:val="003070FD"/>
    <w:rsid w:val="00312835"/>
    <w:rsid w:val="00314475"/>
    <w:rsid w:val="003144BB"/>
    <w:rsid w:val="00314E87"/>
    <w:rsid w:val="003165F6"/>
    <w:rsid w:val="003228A1"/>
    <w:rsid w:val="0032436D"/>
    <w:rsid w:val="00331F71"/>
    <w:rsid w:val="00337CB1"/>
    <w:rsid w:val="003647AB"/>
    <w:rsid w:val="003679E5"/>
    <w:rsid w:val="003708D1"/>
    <w:rsid w:val="0037666F"/>
    <w:rsid w:val="00376AB0"/>
    <w:rsid w:val="00383681"/>
    <w:rsid w:val="003909C5"/>
    <w:rsid w:val="003921F0"/>
    <w:rsid w:val="00395788"/>
    <w:rsid w:val="003A051D"/>
    <w:rsid w:val="003A05EF"/>
    <w:rsid w:val="003A461E"/>
    <w:rsid w:val="003A49B0"/>
    <w:rsid w:val="003B14CF"/>
    <w:rsid w:val="003C45CF"/>
    <w:rsid w:val="003C48D4"/>
    <w:rsid w:val="003C7C97"/>
    <w:rsid w:val="003D00C8"/>
    <w:rsid w:val="003D04E8"/>
    <w:rsid w:val="003E77DD"/>
    <w:rsid w:val="003F2843"/>
    <w:rsid w:val="0040222B"/>
    <w:rsid w:val="00402820"/>
    <w:rsid w:val="004154D7"/>
    <w:rsid w:val="00416FC6"/>
    <w:rsid w:val="00421079"/>
    <w:rsid w:val="004242D5"/>
    <w:rsid w:val="0042600A"/>
    <w:rsid w:val="00426F67"/>
    <w:rsid w:val="004410F1"/>
    <w:rsid w:val="004525E0"/>
    <w:rsid w:val="00460D43"/>
    <w:rsid w:val="0046555B"/>
    <w:rsid w:val="0046707B"/>
    <w:rsid w:val="00467B86"/>
    <w:rsid w:val="00480F29"/>
    <w:rsid w:val="00480F4E"/>
    <w:rsid w:val="004842F8"/>
    <w:rsid w:val="00485809"/>
    <w:rsid w:val="00495F98"/>
    <w:rsid w:val="004A46DA"/>
    <w:rsid w:val="004A752D"/>
    <w:rsid w:val="004B45EE"/>
    <w:rsid w:val="004B52D6"/>
    <w:rsid w:val="004C1ADB"/>
    <w:rsid w:val="004C1C22"/>
    <w:rsid w:val="004D34D8"/>
    <w:rsid w:val="004D525D"/>
    <w:rsid w:val="004E7CA1"/>
    <w:rsid w:val="004F18F1"/>
    <w:rsid w:val="004F2E0F"/>
    <w:rsid w:val="004F4E2E"/>
    <w:rsid w:val="004F7B45"/>
    <w:rsid w:val="0050200D"/>
    <w:rsid w:val="00507A62"/>
    <w:rsid w:val="0051068C"/>
    <w:rsid w:val="00513C7B"/>
    <w:rsid w:val="0052189E"/>
    <w:rsid w:val="00526E61"/>
    <w:rsid w:val="00533254"/>
    <w:rsid w:val="00535CFA"/>
    <w:rsid w:val="00542179"/>
    <w:rsid w:val="00543607"/>
    <w:rsid w:val="00550E24"/>
    <w:rsid w:val="00550F1F"/>
    <w:rsid w:val="0056231E"/>
    <w:rsid w:val="00562B05"/>
    <w:rsid w:val="0058484B"/>
    <w:rsid w:val="00593CD0"/>
    <w:rsid w:val="005970C8"/>
    <w:rsid w:val="005A0020"/>
    <w:rsid w:val="005A3665"/>
    <w:rsid w:val="005A6099"/>
    <w:rsid w:val="005B2903"/>
    <w:rsid w:val="005B610D"/>
    <w:rsid w:val="005C1A7E"/>
    <w:rsid w:val="005C585E"/>
    <w:rsid w:val="005C59E0"/>
    <w:rsid w:val="005D7CED"/>
    <w:rsid w:val="005E562F"/>
    <w:rsid w:val="005F1ED8"/>
    <w:rsid w:val="005F278B"/>
    <w:rsid w:val="005F505F"/>
    <w:rsid w:val="0060137B"/>
    <w:rsid w:val="00611E04"/>
    <w:rsid w:val="0061529F"/>
    <w:rsid w:val="0062735C"/>
    <w:rsid w:val="00640D99"/>
    <w:rsid w:val="0067267E"/>
    <w:rsid w:val="006774C2"/>
    <w:rsid w:val="00684EAF"/>
    <w:rsid w:val="00686D3C"/>
    <w:rsid w:val="006904F7"/>
    <w:rsid w:val="00693609"/>
    <w:rsid w:val="00695D45"/>
    <w:rsid w:val="00696061"/>
    <w:rsid w:val="006C119E"/>
    <w:rsid w:val="006C3F59"/>
    <w:rsid w:val="006C6137"/>
    <w:rsid w:val="006D04F4"/>
    <w:rsid w:val="006D32FE"/>
    <w:rsid w:val="006D4D38"/>
    <w:rsid w:val="006D5CE9"/>
    <w:rsid w:val="006E60CD"/>
    <w:rsid w:val="006E72F1"/>
    <w:rsid w:val="00712369"/>
    <w:rsid w:val="00714572"/>
    <w:rsid w:val="00715873"/>
    <w:rsid w:val="007172D3"/>
    <w:rsid w:val="0073683E"/>
    <w:rsid w:val="007403CB"/>
    <w:rsid w:val="00751418"/>
    <w:rsid w:val="00752D08"/>
    <w:rsid w:val="00756ED4"/>
    <w:rsid w:val="00761E14"/>
    <w:rsid w:val="007664D0"/>
    <w:rsid w:val="00767CB7"/>
    <w:rsid w:val="00774122"/>
    <w:rsid w:val="0077598C"/>
    <w:rsid w:val="00775B18"/>
    <w:rsid w:val="00775E53"/>
    <w:rsid w:val="0078285D"/>
    <w:rsid w:val="00783722"/>
    <w:rsid w:val="0078538F"/>
    <w:rsid w:val="007925FC"/>
    <w:rsid w:val="007A34EB"/>
    <w:rsid w:val="007A6D48"/>
    <w:rsid w:val="007A6F8C"/>
    <w:rsid w:val="007C1134"/>
    <w:rsid w:val="007C7E76"/>
    <w:rsid w:val="007D16EC"/>
    <w:rsid w:val="007E1934"/>
    <w:rsid w:val="007E34D7"/>
    <w:rsid w:val="007E395C"/>
    <w:rsid w:val="007F2585"/>
    <w:rsid w:val="007F313C"/>
    <w:rsid w:val="007F6B9A"/>
    <w:rsid w:val="00800856"/>
    <w:rsid w:val="00800B2B"/>
    <w:rsid w:val="00820E46"/>
    <w:rsid w:val="00825CB9"/>
    <w:rsid w:val="00835BA0"/>
    <w:rsid w:val="0084097F"/>
    <w:rsid w:val="00842167"/>
    <w:rsid w:val="0084679C"/>
    <w:rsid w:val="008632D2"/>
    <w:rsid w:val="008653A7"/>
    <w:rsid w:val="00865FC0"/>
    <w:rsid w:val="00875143"/>
    <w:rsid w:val="00877623"/>
    <w:rsid w:val="00880028"/>
    <w:rsid w:val="008816D4"/>
    <w:rsid w:val="008A27DB"/>
    <w:rsid w:val="008A394B"/>
    <w:rsid w:val="008A518C"/>
    <w:rsid w:val="008A525F"/>
    <w:rsid w:val="008B003A"/>
    <w:rsid w:val="008B0E9B"/>
    <w:rsid w:val="008B4979"/>
    <w:rsid w:val="008B6195"/>
    <w:rsid w:val="008D30F4"/>
    <w:rsid w:val="008E4925"/>
    <w:rsid w:val="008F00CF"/>
    <w:rsid w:val="008F13FE"/>
    <w:rsid w:val="008F7132"/>
    <w:rsid w:val="00907811"/>
    <w:rsid w:val="00914219"/>
    <w:rsid w:val="009422D0"/>
    <w:rsid w:val="00947CF0"/>
    <w:rsid w:val="009617CC"/>
    <w:rsid w:val="00963A90"/>
    <w:rsid w:val="00965C9C"/>
    <w:rsid w:val="00967550"/>
    <w:rsid w:val="009676BC"/>
    <w:rsid w:val="0097270E"/>
    <w:rsid w:val="009812D6"/>
    <w:rsid w:val="009813A8"/>
    <w:rsid w:val="009910B3"/>
    <w:rsid w:val="00994453"/>
    <w:rsid w:val="00994472"/>
    <w:rsid w:val="00997D0F"/>
    <w:rsid w:val="009A2D08"/>
    <w:rsid w:val="009B2F61"/>
    <w:rsid w:val="009C7E61"/>
    <w:rsid w:val="009D1C88"/>
    <w:rsid w:val="009D7CC6"/>
    <w:rsid w:val="009E0652"/>
    <w:rsid w:val="009E09A5"/>
    <w:rsid w:val="009E682B"/>
    <w:rsid w:val="009F54FE"/>
    <w:rsid w:val="00A10210"/>
    <w:rsid w:val="00A12DFF"/>
    <w:rsid w:val="00A21427"/>
    <w:rsid w:val="00A300F5"/>
    <w:rsid w:val="00A4072E"/>
    <w:rsid w:val="00A445BC"/>
    <w:rsid w:val="00A55469"/>
    <w:rsid w:val="00A60FC2"/>
    <w:rsid w:val="00A61E27"/>
    <w:rsid w:val="00A642F6"/>
    <w:rsid w:val="00A66E6A"/>
    <w:rsid w:val="00A67886"/>
    <w:rsid w:val="00A67A64"/>
    <w:rsid w:val="00A70FD5"/>
    <w:rsid w:val="00A73530"/>
    <w:rsid w:val="00A85DF4"/>
    <w:rsid w:val="00A907BA"/>
    <w:rsid w:val="00AA23EE"/>
    <w:rsid w:val="00AA3A0A"/>
    <w:rsid w:val="00AA4BF1"/>
    <w:rsid w:val="00AA5CCB"/>
    <w:rsid w:val="00AB22BF"/>
    <w:rsid w:val="00AC1B27"/>
    <w:rsid w:val="00AD1AF1"/>
    <w:rsid w:val="00AE7C9D"/>
    <w:rsid w:val="00AF281F"/>
    <w:rsid w:val="00AF5507"/>
    <w:rsid w:val="00B020FA"/>
    <w:rsid w:val="00B0716F"/>
    <w:rsid w:val="00B10166"/>
    <w:rsid w:val="00B10E8E"/>
    <w:rsid w:val="00B16361"/>
    <w:rsid w:val="00B1721D"/>
    <w:rsid w:val="00B20FA1"/>
    <w:rsid w:val="00B2375A"/>
    <w:rsid w:val="00B2584F"/>
    <w:rsid w:val="00B276D9"/>
    <w:rsid w:val="00B33D9E"/>
    <w:rsid w:val="00B37F6F"/>
    <w:rsid w:val="00B43EC4"/>
    <w:rsid w:val="00B46115"/>
    <w:rsid w:val="00B51309"/>
    <w:rsid w:val="00B5155D"/>
    <w:rsid w:val="00B51A9C"/>
    <w:rsid w:val="00B5295D"/>
    <w:rsid w:val="00B61388"/>
    <w:rsid w:val="00B85F68"/>
    <w:rsid w:val="00B93615"/>
    <w:rsid w:val="00B9703C"/>
    <w:rsid w:val="00BB0383"/>
    <w:rsid w:val="00BB184C"/>
    <w:rsid w:val="00BB44FB"/>
    <w:rsid w:val="00BB77AF"/>
    <w:rsid w:val="00BC039F"/>
    <w:rsid w:val="00BE65A8"/>
    <w:rsid w:val="00BE7E29"/>
    <w:rsid w:val="00BF041B"/>
    <w:rsid w:val="00BF3DA6"/>
    <w:rsid w:val="00C03B7C"/>
    <w:rsid w:val="00C062E8"/>
    <w:rsid w:val="00C2505D"/>
    <w:rsid w:val="00C26D31"/>
    <w:rsid w:val="00C3001F"/>
    <w:rsid w:val="00C45DDE"/>
    <w:rsid w:val="00C45E67"/>
    <w:rsid w:val="00C5451E"/>
    <w:rsid w:val="00C646B3"/>
    <w:rsid w:val="00C65B19"/>
    <w:rsid w:val="00C65E43"/>
    <w:rsid w:val="00C662D4"/>
    <w:rsid w:val="00C679B1"/>
    <w:rsid w:val="00C74513"/>
    <w:rsid w:val="00C81991"/>
    <w:rsid w:val="00C83244"/>
    <w:rsid w:val="00C84705"/>
    <w:rsid w:val="00C87868"/>
    <w:rsid w:val="00CD13FB"/>
    <w:rsid w:val="00CD24CE"/>
    <w:rsid w:val="00CF06F2"/>
    <w:rsid w:val="00CF0A55"/>
    <w:rsid w:val="00CF0E60"/>
    <w:rsid w:val="00CF45E8"/>
    <w:rsid w:val="00D310E2"/>
    <w:rsid w:val="00D518DF"/>
    <w:rsid w:val="00D603CE"/>
    <w:rsid w:val="00D60892"/>
    <w:rsid w:val="00D71F2F"/>
    <w:rsid w:val="00D813E5"/>
    <w:rsid w:val="00D822F6"/>
    <w:rsid w:val="00D866C2"/>
    <w:rsid w:val="00D8684A"/>
    <w:rsid w:val="00DA7D53"/>
    <w:rsid w:val="00DB1AE4"/>
    <w:rsid w:val="00DD7D0F"/>
    <w:rsid w:val="00DE7B28"/>
    <w:rsid w:val="00DF78B9"/>
    <w:rsid w:val="00E023E7"/>
    <w:rsid w:val="00E072E8"/>
    <w:rsid w:val="00E13583"/>
    <w:rsid w:val="00E15B76"/>
    <w:rsid w:val="00E30725"/>
    <w:rsid w:val="00E310C6"/>
    <w:rsid w:val="00E33D7B"/>
    <w:rsid w:val="00E41984"/>
    <w:rsid w:val="00E4214D"/>
    <w:rsid w:val="00E65FBD"/>
    <w:rsid w:val="00E67E77"/>
    <w:rsid w:val="00E70C75"/>
    <w:rsid w:val="00E75457"/>
    <w:rsid w:val="00E83376"/>
    <w:rsid w:val="00E83DF0"/>
    <w:rsid w:val="00E856DF"/>
    <w:rsid w:val="00E85ABC"/>
    <w:rsid w:val="00E87B12"/>
    <w:rsid w:val="00E93B6C"/>
    <w:rsid w:val="00EA7594"/>
    <w:rsid w:val="00EB02BB"/>
    <w:rsid w:val="00EB3FD1"/>
    <w:rsid w:val="00EC0FA2"/>
    <w:rsid w:val="00EC1E12"/>
    <w:rsid w:val="00EC28B7"/>
    <w:rsid w:val="00EC4FBB"/>
    <w:rsid w:val="00ED7817"/>
    <w:rsid w:val="00ED7B83"/>
    <w:rsid w:val="00EE7A31"/>
    <w:rsid w:val="00EF32DF"/>
    <w:rsid w:val="00F01AC8"/>
    <w:rsid w:val="00F10D54"/>
    <w:rsid w:val="00F234AF"/>
    <w:rsid w:val="00F3606D"/>
    <w:rsid w:val="00F42145"/>
    <w:rsid w:val="00F4617E"/>
    <w:rsid w:val="00F46A2F"/>
    <w:rsid w:val="00F5723A"/>
    <w:rsid w:val="00F844EE"/>
    <w:rsid w:val="00F87D8B"/>
    <w:rsid w:val="00FA4C2F"/>
    <w:rsid w:val="00FA7EE3"/>
    <w:rsid w:val="00FD2753"/>
    <w:rsid w:val="00FD2C31"/>
    <w:rsid w:val="00FD316C"/>
    <w:rsid w:val="00FD5FBC"/>
    <w:rsid w:val="00FE173D"/>
    <w:rsid w:val="00FF1E60"/>
    <w:rsid w:val="00FF524E"/>
    <w:rsid w:val="00FF63EF"/>
    <w:rsid w:val="01043B05"/>
    <w:rsid w:val="01126162"/>
    <w:rsid w:val="01261B4D"/>
    <w:rsid w:val="013423E9"/>
    <w:rsid w:val="013A0684"/>
    <w:rsid w:val="0153396C"/>
    <w:rsid w:val="01603B98"/>
    <w:rsid w:val="0162494B"/>
    <w:rsid w:val="01647CF5"/>
    <w:rsid w:val="01664E63"/>
    <w:rsid w:val="01666CEC"/>
    <w:rsid w:val="016761D3"/>
    <w:rsid w:val="016D181E"/>
    <w:rsid w:val="016F5789"/>
    <w:rsid w:val="017818CA"/>
    <w:rsid w:val="0179781D"/>
    <w:rsid w:val="018343D6"/>
    <w:rsid w:val="019354F8"/>
    <w:rsid w:val="019E7A71"/>
    <w:rsid w:val="01A36565"/>
    <w:rsid w:val="01AC414B"/>
    <w:rsid w:val="01B23072"/>
    <w:rsid w:val="01B54FF8"/>
    <w:rsid w:val="01B71B55"/>
    <w:rsid w:val="01BB334A"/>
    <w:rsid w:val="01C00B04"/>
    <w:rsid w:val="01C31FD9"/>
    <w:rsid w:val="01C766F8"/>
    <w:rsid w:val="01CD660D"/>
    <w:rsid w:val="01D3237E"/>
    <w:rsid w:val="01D94F72"/>
    <w:rsid w:val="01DC16CA"/>
    <w:rsid w:val="01E17C77"/>
    <w:rsid w:val="01E92BAE"/>
    <w:rsid w:val="01EE708F"/>
    <w:rsid w:val="01FC6454"/>
    <w:rsid w:val="0214779A"/>
    <w:rsid w:val="021E3969"/>
    <w:rsid w:val="022A124D"/>
    <w:rsid w:val="02382BDD"/>
    <w:rsid w:val="0243242B"/>
    <w:rsid w:val="024F3767"/>
    <w:rsid w:val="0274779D"/>
    <w:rsid w:val="027A7176"/>
    <w:rsid w:val="027B2FD2"/>
    <w:rsid w:val="02812F8B"/>
    <w:rsid w:val="028234B6"/>
    <w:rsid w:val="02933614"/>
    <w:rsid w:val="029C53F6"/>
    <w:rsid w:val="029D1D47"/>
    <w:rsid w:val="02A02B8E"/>
    <w:rsid w:val="02AD4829"/>
    <w:rsid w:val="02B96D64"/>
    <w:rsid w:val="02BE5B84"/>
    <w:rsid w:val="02BF7536"/>
    <w:rsid w:val="02D259BB"/>
    <w:rsid w:val="02DD6077"/>
    <w:rsid w:val="02E06A9F"/>
    <w:rsid w:val="02EA506B"/>
    <w:rsid w:val="02F21CD6"/>
    <w:rsid w:val="02F226C1"/>
    <w:rsid w:val="02F64D4A"/>
    <w:rsid w:val="02FB5B4F"/>
    <w:rsid w:val="03033B74"/>
    <w:rsid w:val="030F4EDF"/>
    <w:rsid w:val="03104C10"/>
    <w:rsid w:val="0313667E"/>
    <w:rsid w:val="031B54CE"/>
    <w:rsid w:val="033C5B95"/>
    <w:rsid w:val="033D7E17"/>
    <w:rsid w:val="03444B21"/>
    <w:rsid w:val="034A7983"/>
    <w:rsid w:val="03594123"/>
    <w:rsid w:val="03595740"/>
    <w:rsid w:val="036436DA"/>
    <w:rsid w:val="036C224C"/>
    <w:rsid w:val="037C074C"/>
    <w:rsid w:val="0398322B"/>
    <w:rsid w:val="03B96E83"/>
    <w:rsid w:val="03B96F58"/>
    <w:rsid w:val="03BE717E"/>
    <w:rsid w:val="03EB6308"/>
    <w:rsid w:val="04065E1F"/>
    <w:rsid w:val="040D6B85"/>
    <w:rsid w:val="04204B8B"/>
    <w:rsid w:val="042542A5"/>
    <w:rsid w:val="042A55BB"/>
    <w:rsid w:val="043B5B79"/>
    <w:rsid w:val="044D763B"/>
    <w:rsid w:val="04576693"/>
    <w:rsid w:val="045C272A"/>
    <w:rsid w:val="04636062"/>
    <w:rsid w:val="046A656B"/>
    <w:rsid w:val="0477503F"/>
    <w:rsid w:val="049C0C01"/>
    <w:rsid w:val="04AA1E1F"/>
    <w:rsid w:val="04AD4AC4"/>
    <w:rsid w:val="04B10996"/>
    <w:rsid w:val="04B70ACA"/>
    <w:rsid w:val="04B8765E"/>
    <w:rsid w:val="04C14F15"/>
    <w:rsid w:val="04C53408"/>
    <w:rsid w:val="04C71AC3"/>
    <w:rsid w:val="04C805A0"/>
    <w:rsid w:val="04CA672C"/>
    <w:rsid w:val="04D1725C"/>
    <w:rsid w:val="04D772F2"/>
    <w:rsid w:val="04F106F3"/>
    <w:rsid w:val="05023F08"/>
    <w:rsid w:val="050A29C3"/>
    <w:rsid w:val="05140EF0"/>
    <w:rsid w:val="052135A8"/>
    <w:rsid w:val="0538275C"/>
    <w:rsid w:val="054E6AF5"/>
    <w:rsid w:val="055B7D6F"/>
    <w:rsid w:val="056B08E2"/>
    <w:rsid w:val="057601F7"/>
    <w:rsid w:val="057B60E2"/>
    <w:rsid w:val="05811028"/>
    <w:rsid w:val="05987678"/>
    <w:rsid w:val="059E1BE3"/>
    <w:rsid w:val="05AC65B4"/>
    <w:rsid w:val="05BB18C9"/>
    <w:rsid w:val="05BD1F05"/>
    <w:rsid w:val="05C2062C"/>
    <w:rsid w:val="05CD6AA4"/>
    <w:rsid w:val="05E23905"/>
    <w:rsid w:val="05E41ED9"/>
    <w:rsid w:val="05EE4052"/>
    <w:rsid w:val="05F2511B"/>
    <w:rsid w:val="06055A00"/>
    <w:rsid w:val="0607518A"/>
    <w:rsid w:val="0609377E"/>
    <w:rsid w:val="06095A5A"/>
    <w:rsid w:val="060B175B"/>
    <w:rsid w:val="0611434E"/>
    <w:rsid w:val="06132D0D"/>
    <w:rsid w:val="06187F50"/>
    <w:rsid w:val="061D26F9"/>
    <w:rsid w:val="06212D46"/>
    <w:rsid w:val="06267A9C"/>
    <w:rsid w:val="06324FB7"/>
    <w:rsid w:val="063A7C81"/>
    <w:rsid w:val="064B3995"/>
    <w:rsid w:val="06557456"/>
    <w:rsid w:val="066372DD"/>
    <w:rsid w:val="06670BFD"/>
    <w:rsid w:val="06756B5A"/>
    <w:rsid w:val="067E0526"/>
    <w:rsid w:val="068025D2"/>
    <w:rsid w:val="068F5698"/>
    <w:rsid w:val="06967FA4"/>
    <w:rsid w:val="069A1DD1"/>
    <w:rsid w:val="06B83644"/>
    <w:rsid w:val="06BD03ED"/>
    <w:rsid w:val="06C908E1"/>
    <w:rsid w:val="06CE15CF"/>
    <w:rsid w:val="06CF0A5C"/>
    <w:rsid w:val="06DB79C6"/>
    <w:rsid w:val="06DE52FA"/>
    <w:rsid w:val="06E37C91"/>
    <w:rsid w:val="06ED6016"/>
    <w:rsid w:val="06EF10E6"/>
    <w:rsid w:val="06F647CB"/>
    <w:rsid w:val="06FB2BB3"/>
    <w:rsid w:val="07016216"/>
    <w:rsid w:val="070760FE"/>
    <w:rsid w:val="070F44EC"/>
    <w:rsid w:val="071C6497"/>
    <w:rsid w:val="07212620"/>
    <w:rsid w:val="072A7FB5"/>
    <w:rsid w:val="07444B7B"/>
    <w:rsid w:val="075A301B"/>
    <w:rsid w:val="07615B8D"/>
    <w:rsid w:val="076E0FC0"/>
    <w:rsid w:val="077A78FD"/>
    <w:rsid w:val="0781546B"/>
    <w:rsid w:val="07876358"/>
    <w:rsid w:val="078C7257"/>
    <w:rsid w:val="078D3B95"/>
    <w:rsid w:val="07922679"/>
    <w:rsid w:val="079B78EE"/>
    <w:rsid w:val="079D7952"/>
    <w:rsid w:val="07A20895"/>
    <w:rsid w:val="07AD5F68"/>
    <w:rsid w:val="07BC4260"/>
    <w:rsid w:val="07D81EC8"/>
    <w:rsid w:val="07DE4A9B"/>
    <w:rsid w:val="07EA4D74"/>
    <w:rsid w:val="07EF2DB1"/>
    <w:rsid w:val="07F81A54"/>
    <w:rsid w:val="07FF7416"/>
    <w:rsid w:val="080568E2"/>
    <w:rsid w:val="08065F3C"/>
    <w:rsid w:val="080B0B2F"/>
    <w:rsid w:val="08144EF4"/>
    <w:rsid w:val="0835614D"/>
    <w:rsid w:val="08395460"/>
    <w:rsid w:val="083C6D70"/>
    <w:rsid w:val="083F083E"/>
    <w:rsid w:val="0845444B"/>
    <w:rsid w:val="084C2522"/>
    <w:rsid w:val="085C4A2E"/>
    <w:rsid w:val="086128F3"/>
    <w:rsid w:val="0863295F"/>
    <w:rsid w:val="086C7954"/>
    <w:rsid w:val="086D4871"/>
    <w:rsid w:val="086E1F58"/>
    <w:rsid w:val="087714E3"/>
    <w:rsid w:val="08774A3E"/>
    <w:rsid w:val="087D2178"/>
    <w:rsid w:val="088D15D2"/>
    <w:rsid w:val="08900209"/>
    <w:rsid w:val="08992875"/>
    <w:rsid w:val="08A05192"/>
    <w:rsid w:val="08A062DF"/>
    <w:rsid w:val="08A300A4"/>
    <w:rsid w:val="08A5740A"/>
    <w:rsid w:val="08A83A7D"/>
    <w:rsid w:val="08B14A52"/>
    <w:rsid w:val="08B14C3D"/>
    <w:rsid w:val="08B96900"/>
    <w:rsid w:val="08C33ABE"/>
    <w:rsid w:val="08C363FD"/>
    <w:rsid w:val="08D12CFD"/>
    <w:rsid w:val="08D563EF"/>
    <w:rsid w:val="08DA1E52"/>
    <w:rsid w:val="08DE4205"/>
    <w:rsid w:val="08E079E4"/>
    <w:rsid w:val="08E617B7"/>
    <w:rsid w:val="08E92E65"/>
    <w:rsid w:val="08F65639"/>
    <w:rsid w:val="08FF16D3"/>
    <w:rsid w:val="09077E86"/>
    <w:rsid w:val="091D5098"/>
    <w:rsid w:val="091E11A6"/>
    <w:rsid w:val="091E3565"/>
    <w:rsid w:val="093B3841"/>
    <w:rsid w:val="094D289C"/>
    <w:rsid w:val="09513DA8"/>
    <w:rsid w:val="095221AB"/>
    <w:rsid w:val="095730D0"/>
    <w:rsid w:val="095A1355"/>
    <w:rsid w:val="095A4D33"/>
    <w:rsid w:val="097341DB"/>
    <w:rsid w:val="097C531E"/>
    <w:rsid w:val="097D1554"/>
    <w:rsid w:val="09810CA8"/>
    <w:rsid w:val="09832161"/>
    <w:rsid w:val="099C4E9B"/>
    <w:rsid w:val="09AA0331"/>
    <w:rsid w:val="09B304CA"/>
    <w:rsid w:val="09BA339A"/>
    <w:rsid w:val="09BE7464"/>
    <w:rsid w:val="09C07C19"/>
    <w:rsid w:val="09C93AE0"/>
    <w:rsid w:val="09D0758E"/>
    <w:rsid w:val="09DD5C2D"/>
    <w:rsid w:val="09E05AF9"/>
    <w:rsid w:val="09E34DA4"/>
    <w:rsid w:val="09E81795"/>
    <w:rsid w:val="09E83AE8"/>
    <w:rsid w:val="09EE2B40"/>
    <w:rsid w:val="09F83865"/>
    <w:rsid w:val="09FB313E"/>
    <w:rsid w:val="0A0C416E"/>
    <w:rsid w:val="0A1C6EE0"/>
    <w:rsid w:val="0A2159B1"/>
    <w:rsid w:val="0A2916A5"/>
    <w:rsid w:val="0A4605F0"/>
    <w:rsid w:val="0A4F0D9E"/>
    <w:rsid w:val="0A523E97"/>
    <w:rsid w:val="0A526369"/>
    <w:rsid w:val="0A5E6885"/>
    <w:rsid w:val="0A5F1EF6"/>
    <w:rsid w:val="0A612BBF"/>
    <w:rsid w:val="0A6B2445"/>
    <w:rsid w:val="0A6C2E01"/>
    <w:rsid w:val="0A994C44"/>
    <w:rsid w:val="0A9B773D"/>
    <w:rsid w:val="0AAD23B8"/>
    <w:rsid w:val="0ABE1F95"/>
    <w:rsid w:val="0AD740A2"/>
    <w:rsid w:val="0AD759C9"/>
    <w:rsid w:val="0ADA0F2E"/>
    <w:rsid w:val="0ADD3233"/>
    <w:rsid w:val="0AEC0895"/>
    <w:rsid w:val="0AF46099"/>
    <w:rsid w:val="0AFB5EEC"/>
    <w:rsid w:val="0B035401"/>
    <w:rsid w:val="0B0678F6"/>
    <w:rsid w:val="0B0B1CCE"/>
    <w:rsid w:val="0B101E79"/>
    <w:rsid w:val="0B180745"/>
    <w:rsid w:val="0B197691"/>
    <w:rsid w:val="0B237881"/>
    <w:rsid w:val="0B306F3E"/>
    <w:rsid w:val="0B31334C"/>
    <w:rsid w:val="0B3376AA"/>
    <w:rsid w:val="0B343166"/>
    <w:rsid w:val="0B3F2351"/>
    <w:rsid w:val="0B4059F8"/>
    <w:rsid w:val="0B6C7FA0"/>
    <w:rsid w:val="0B7F4739"/>
    <w:rsid w:val="0B8114F1"/>
    <w:rsid w:val="0B87403D"/>
    <w:rsid w:val="0B9E2743"/>
    <w:rsid w:val="0BA83CD1"/>
    <w:rsid w:val="0BB34DBA"/>
    <w:rsid w:val="0BBE2C4F"/>
    <w:rsid w:val="0BC153A5"/>
    <w:rsid w:val="0BCD4494"/>
    <w:rsid w:val="0BCE71FC"/>
    <w:rsid w:val="0BD05003"/>
    <w:rsid w:val="0BD45CFE"/>
    <w:rsid w:val="0BD9102B"/>
    <w:rsid w:val="0BE02BD7"/>
    <w:rsid w:val="0BEC572F"/>
    <w:rsid w:val="0BF646B7"/>
    <w:rsid w:val="0C052BB3"/>
    <w:rsid w:val="0C0B1ED6"/>
    <w:rsid w:val="0C220821"/>
    <w:rsid w:val="0C26039B"/>
    <w:rsid w:val="0C303206"/>
    <w:rsid w:val="0C353B94"/>
    <w:rsid w:val="0C3B12C4"/>
    <w:rsid w:val="0C447164"/>
    <w:rsid w:val="0C4664BB"/>
    <w:rsid w:val="0C612616"/>
    <w:rsid w:val="0C766637"/>
    <w:rsid w:val="0C7A3B93"/>
    <w:rsid w:val="0C853C94"/>
    <w:rsid w:val="0C8C6426"/>
    <w:rsid w:val="0C8F6FAA"/>
    <w:rsid w:val="0C905685"/>
    <w:rsid w:val="0C980AC9"/>
    <w:rsid w:val="0CAA42D0"/>
    <w:rsid w:val="0CB87379"/>
    <w:rsid w:val="0CBD01E4"/>
    <w:rsid w:val="0CC2284F"/>
    <w:rsid w:val="0CC74BDA"/>
    <w:rsid w:val="0CD33B16"/>
    <w:rsid w:val="0CD76BFA"/>
    <w:rsid w:val="0CD963FB"/>
    <w:rsid w:val="0CDA4033"/>
    <w:rsid w:val="0D07790B"/>
    <w:rsid w:val="0D180D01"/>
    <w:rsid w:val="0D1F635E"/>
    <w:rsid w:val="0D2E25A0"/>
    <w:rsid w:val="0D3107D9"/>
    <w:rsid w:val="0D3B353F"/>
    <w:rsid w:val="0D3E0BB8"/>
    <w:rsid w:val="0D3E57CF"/>
    <w:rsid w:val="0D403C70"/>
    <w:rsid w:val="0D437B26"/>
    <w:rsid w:val="0D585284"/>
    <w:rsid w:val="0D6625BC"/>
    <w:rsid w:val="0D767055"/>
    <w:rsid w:val="0D7B3CDA"/>
    <w:rsid w:val="0D812E22"/>
    <w:rsid w:val="0D871A83"/>
    <w:rsid w:val="0D940D16"/>
    <w:rsid w:val="0D9A0C69"/>
    <w:rsid w:val="0D9F3432"/>
    <w:rsid w:val="0DC553EC"/>
    <w:rsid w:val="0DCA18F5"/>
    <w:rsid w:val="0DCC6737"/>
    <w:rsid w:val="0DD17C90"/>
    <w:rsid w:val="0DD3185B"/>
    <w:rsid w:val="0DEC0C35"/>
    <w:rsid w:val="0E164602"/>
    <w:rsid w:val="0E1A3F14"/>
    <w:rsid w:val="0E1C16F8"/>
    <w:rsid w:val="0E1E376F"/>
    <w:rsid w:val="0E2E5224"/>
    <w:rsid w:val="0E347D61"/>
    <w:rsid w:val="0E406ED7"/>
    <w:rsid w:val="0E4C349F"/>
    <w:rsid w:val="0E6854EB"/>
    <w:rsid w:val="0E830E4F"/>
    <w:rsid w:val="0E846D1A"/>
    <w:rsid w:val="0E901FCE"/>
    <w:rsid w:val="0E9253C2"/>
    <w:rsid w:val="0E9F3730"/>
    <w:rsid w:val="0E9F6F1A"/>
    <w:rsid w:val="0EAA3B24"/>
    <w:rsid w:val="0EB943A5"/>
    <w:rsid w:val="0EBC77D3"/>
    <w:rsid w:val="0ED73B7B"/>
    <w:rsid w:val="0EDD1CE9"/>
    <w:rsid w:val="0F081741"/>
    <w:rsid w:val="0F1C6F35"/>
    <w:rsid w:val="0F3732DE"/>
    <w:rsid w:val="0F3A42AB"/>
    <w:rsid w:val="0F3C1AA0"/>
    <w:rsid w:val="0F43256D"/>
    <w:rsid w:val="0F486F10"/>
    <w:rsid w:val="0F5A66D2"/>
    <w:rsid w:val="0F6A2AC3"/>
    <w:rsid w:val="0F6B5373"/>
    <w:rsid w:val="0F7234CE"/>
    <w:rsid w:val="0F7942E2"/>
    <w:rsid w:val="0F821EF0"/>
    <w:rsid w:val="0F840B42"/>
    <w:rsid w:val="0F89361B"/>
    <w:rsid w:val="0F8E44E7"/>
    <w:rsid w:val="0FA13EB5"/>
    <w:rsid w:val="0FA81B9C"/>
    <w:rsid w:val="0FB0375F"/>
    <w:rsid w:val="0FB660AE"/>
    <w:rsid w:val="0FB66340"/>
    <w:rsid w:val="0FBD458D"/>
    <w:rsid w:val="0FC069FB"/>
    <w:rsid w:val="0FEA38F6"/>
    <w:rsid w:val="0FEB03D6"/>
    <w:rsid w:val="0FF46269"/>
    <w:rsid w:val="0FF85985"/>
    <w:rsid w:val="0FFC2C64"/>
    <w:rsid w:val="1001371D"/>
    <w:rsid w:val="100C38E2"/>
    <w:rsid w:val="100E0F78"/>
    <w:rsid w:val="100F4E5B"/>
    <w:rsid w:val="102D7BAC"/>
    <w:rsid w:val="1031724F"/>
    <w:rsid w:val="103238F8"/>
    <w:rsid w:val="10346A04"/>
    <w:rsid w:val="104156DF"/>
    <w:rsid w:val="104C3352"/>
    <w:rsid w:val="1059673D"/>
    <w:rsid w:val="106B1D85"/>
    <w:rsid w:val="10707A90"/>
    <w:rsid w:val="10712075"/>
    <w:rsid w:val="1075076D"/>
    <w:rsid w:val="10805FF6"/>
    <w:rsid w:val="108347A9"/>
    <w:rsid w:val="10857ED2"/>
    <w:rsid w:val="108840F6"/>
    <w:rsid w:val="10A14895"/>
    <w:rsid w:val="10AB1764"/>
    <w:rsid w:val="10AC0C79"/>
    <w:rsid w:val="10B1286E"/>
    <w:rsid w:val="10B95821"/>
    <w:rsid w:val="10C43AD0"/>
    <w:rsid w:val="10C519B4"/>
    <w:rsid w:val="10CB4278"/>
    <w:rsid w:val="10D5643E"/>
    <w:rsid w:val="10EA2699"/>
    <w:rsid w:val="10F239F0"/>
    <w:rsid w:val="10F5041D"/>
    <w:rsid w:val="10FC745A"/>
    <w:rsid w:val="10FF31C3"/>
    <w:rsid w:val="11035453"/>
    <w:rsid w:val="11053625"/>
    <w:rsid w:val="11163A40"/>
    <w:rsid w:val="111F09F1"/>
    <w:rsid w:val="11231C07"/>
    <w:rsid w:val="112535CE"/>
    <w:rsid w:val="112D1341"/>
    <w:rsid w:val="112E4395"/>
    <w:rsid w:val="113171B0"/>
    <w:rsid w:val="113860BB"/>
    <w:rsid w:val="113A1F7B"/>
    <w:rsid w:val="113E483F"/>
    <w:rsid w:val="113F783A"/>
    <w:rsid w:val="11440E0C"/>
    <w:rsid w:val="11477416"/>
    <w:rsid w:val="114A74DA"/>
    <w:rsid w:val="114C5B69"/>
    <w:rsid w:val="115370B8"/>
    <w:rsid w:val="115B1FB6"/>
    <w:rsid w:val="1163547C"/>
    <w:rsid w:val="1164275E"/>
    <w:rsid w:val="116B059C"/>
    <w:rsid w:val="116C6814"/>
    <w:rsid w:val="116D412A"/>
    <w:rsid w:val="11842EB3"/>
    <w:rsid w:val="11874DA0"/>
    <w:rsid w:val="1188451D"/>
    <w:rsid w:val="118B1529"/>
    <w:rsid w:val="1194570E"/>
    <w:rsid w:val="11A72DD8"/>
    <w:rsid w:val="11AD6687"/>
    <w:rsid w:val="11BE0B12"/>
    <w:rsid w:val="11BF1E2D"/>
    <w:rsid w:val="11BF4FF1"/>
    <w:rsid w:val="11C35F6B"/>
    <w:rsid w:val="11CC5118"/>
    <w:rsid w:val="11CD1B5C"/>
    <w:rsid w:val="11D36467"/>
    <w:rsid w:val="11D966EF"/>
    <w:rsid w:val="11F32FA1"/>
    <w:rsid w:val="12086DFB"/>
    <w:rsid w:val="120941A3"/>
    <w:rsid w:val="12095655"/>
    <w:rsid w:val="120C5C1F"/>
    <w:rsid w:val="12157A0A"/>
    <w:rsid w:val="12285688"/>
    <w:rsid w:val="122C415C"/>
    <w:rsid w:val="122F642B"/>
    <w:rsid w:val="123423E3"/>
    <w:rsid w:val="12425979"/>
    <w:rsid w:val="12431CE1"/>
    <w:rsid w:val="124528D3"/>
    <w:rsid w:val="124B76A9"/>
    <w:rsid w:val="124E7291"/>
    <w:rsid w:val="1251445A"/>
    <w:rsid w:val="125314E9"/>
    <w:rsid w:val="1263032F"/>
    <w:rsid w:val="126B0026"/>
    <w:rsid w:val="126D0808"/>
    <w:rsid w:val="126D6A62"/>
    <w:rsid w:val="12715E5B"/>
    <w:rsid w:val="12736CEC"/>
    <w:rsid w:val="127A718C"/>
    <w:rsid w:val="128B42F4"/>
    <w:rsid w:val="128B54F6"/>
    <w:rsid w:val="12923602"/>
    <w:rsid w:val="12954239"/>
    <w:rsid w:val="12A4279E"/>
    <w:rsid w:val="12B17232"/>
    <w:rsid w:val="12B958ED"/>
    <w:rsid w:val="12BE33B6"/>
    <w:rsid w:val="12C468FA"/>
    <w:rsid w:val="12C5673F"/>
    <w:rsid w:val="12DA27E1"/>
    <w:rsid w:val="12DB6DE8"/>
    <w:rsid w:val="12DE64D9"/>
    <w:rsid w:val="12DF30CF"/>
    <w:rsid w:val="12EF300F"/>
    <w:rsid w:val="12EF4E34"/>
    <w:rsid w:val="12FD7795"/>
    <w:rsid w:val="13022B04"/>
    <w:rsid w:val="130737DA"/>
    <w:rsid w:val="131A2254"/>
    <w:rsid w:val="13235640"/>
    <w:rsid w:val="1341046D"/>
    <w:rsid w:val="134668F3"/>
    <w:rsid w:val="13556B35"/>
    <w:rsid w:val="1357284B"/>
    <w:rsid w:val="135733B6"/>
    <w:rsid w:val="135E6021"/>
    <w:rsid w:val="136A1C68"/>
    <w:rsid w:val="136B0253"/>
    <w:rsid w:val="13821E4B"/>
    <w:rsid w:val="138B5619"/>
    <w:rsid w:val="13946BCE"/>
    <w:rsid w:val="139766B7"/>
    <w:rsid w:val="139B3650"/>
    <w:rsid w:val="13A74CD9"/>
    <w:rsid w:val="13AD1362"/>
    <w:rsid w:val="13B15862"/>
    <w:rsid w:val="13C02045"/>
    <w:rsid w:val="13C37CAB"/>
    <w:rsid w:val="13D10D1E"/>
    <w:rsid w:val="13D8486C"/>
    <w:rsid w:val="13E17139"/>
    <w:rsid w:val="13E923A0"/>
    <w:rsid w:val="13EC6E3C"/>
    <w:rsid w:val="13F25BAC"/>
    <w:rsid w:val="140532B3"/>
    <w:rsid w:val="1411554F"/>
    <w:rsid w:val="144A729D"/>
    <w:rsid w:val="1459125F"/>
    <w:rsid w:val="14793773"/>
    <w:rsid w:val="14884038"/>
    <w:rsid w:val="148A7CE6"/>
    <w:rsid w:val="148D36DD"/>
    <w:rsid w:val="14983FA3"/>
    <w:rsid w:val="14A55216"/>
    <w:rsid w:val="14B410DC"/>
    <w:rsid w:val="14B625E9"/>
    <w:rsid w:val="14BE5ED1"/>
    <w:rsid w:val="14D3669F"/>
    <w:rsid w:val="14D67039"/>
    <w:rsid w:val="14DA7A1F"/>
    <w:rsid w:val="14F029A0"/>
    <w:rsid w:val="14F80678"/>
    <w:rsid w:val="14FB7B69"/>
    <w:rsid w:val="150C7B26"/>
    <w:rsid w:val="15170D71"/>
    <w:rsid w:val="15184FF8"/>
    <w:rsid w:val="151918F9"/>
    <w:rsid w:val="151B0C51"/>
    <w:rsid w:val="15266F58"/>
    <w:rsid w:val="152A2504"/>
    <w:rsid w:val="15343A6C"/>
    <w:rsid w:val="15434A90"/>
    <w:rsid w:val="15471A5D"/>
    <w:rsid w:val="154E3507"/>
    <w:rsid w:val="15524636"/>
    <w:rsid w:val="15570A49"/>
    <w:rsid w:val="15627521"/>
    <w:rsid w:val="1566650F"/>
    <w:rsid w:val="156863D3"/>
    <w:rsid w:val="156E689F"/>
    <w:rsid w:val="158373A0"/>
    <w:rsid w:val="15933DAD"/>
    <w:rsid w:val="1599373F"/>
    <w:rsid w:val="15A37B8A"/>
    <w:rsid w:val="15AB11AA"/>
    <w:rsid w:val="15AD1FBA"/>
    <w:rsid w:val="15AD23DE"/>
    <w:rsid w:val="15B70034"/>
    <w:rsid w:val="15C518A6"/>
    <w:rsid w:val="15CB7369"/>
    <w:rsid w:val="15CC1FA9"/>
    <w:rsid w:val="15D33357"/>
    <w:rsid w:val="15E35001"/>
    <w:rsid w:val="15E64143"/>
    <w:rsid w:val="15EC7FED"/>
    <w:rsid w:val="16143C1D"/>
    <w:rsid w:val="16167415"/>
    <w:rsid w:val="162A4285"/>
    <w:rsid w:val="16326D96"/>
    <w:rsid w:val="16332779"/>
    <w:rsid w:val="16362779"/>
    <w:rsid w:val="16376181"/>
    <w:rsid w:val="164F0798"/>
    <w:rsid w:val="165270A3"/>
    <w:rsid w:val="1658111C"/>
    <w:rsid w:val="16596681"/>
    <w:rsid w:val="165C6130"/>
    <w:rsid w:val="166959C2"/>
    <w:rsid w:val="166E7E37"/>
    <w:rsid w:val="16737C5F"/>
    <w:rsid w:val="16751212"/>
    <w:rsid w:val="167A1C68"/>
    <w:rsid w:val="16831080"/>
    <w:rsid w:val="16BF0A06"/>
    <w:rsid w:val="16BF7C43"/>
    <w:rsid w:val="16C924CC"/>
    <w:rsid w:val="16D60414"/>
    <w:rsid w:val="16D97D8C"/>
    <w:rsid w:val="16DD7EAC"/>
    <w:rsid w:val="16E262BB"/>
    <w:rsid w:val="16E6673B"/>
    <w:rsid w:val="16E870F1"/>
    <w:rsid w:val="16F10A64"/>
    <w:rsid w:val="16F50A3E"/>
    <w:rsid w:val="16F7346D"/>
    <w:rsid w:val="16F90FB9"/>
    <w:rsid w:val="16FC6BEE"/>
    <w:rsid w:val="17130D27"/>
    <w:rsid w:val="17172DE6"/>
    <w:rsid w:val="17320CD0"/>
    <w:rsid w:val="17381C4C"/>
    <w:rsid w:val="175513BF"/>
    <w:rsid w:val="17635305"/>
    <w:rsid w:val="1766228B"/>
    <w:rsid w:val="17664676"/>
    <w:rsid w:val="176A75F7"/>
    <w:rsid w:val="17702C3B"/>
    <w:rsid w:val="177D2565"/>
    <w:rsid w:val="178361CE"/>
    <w:rsid w:val="17841C49"/>
    <w:rsid w:val="17906C0B"/>
    <w:rsid w:val="17A33432"/>
    <w:rsid w:val="17A60E9C"/>
    <w:rsid w:val="17AE1B7D"/>
    <w:rsid w:val="17B949FC"/>
    <w:rsid w:val="17D16EB7"/>
    <w:rsid w:val="17D3561D"/>
    <w:rsid w:val="17E34CBA"/>
    <w:rsid w:val="17F137D6"/>
    <w:rsid w:val="181F747D"/>
    <w:rsid w:val="18347329"/>
    <w:rsid w:val="186113C1"/>
    <w:rsid w:val="186A3160"/>
    <w:rsid w:val="186B356A"/>
    <w:rsid w:val="186D7CEF"/>
    <w:rsid w:val="18705005"/>
    <w:rsid w:val="187B3159"/>
    <w:rsid w:val="187D2E46"/>
    <w:rsid w:val="188806F3"/>
    <w:rsid w:val="188B4DC2"/>
    <w:rsid w:val="18AA12C8"/>
    <w:rsid w:val="18AD40FE"/>
    <w:rsid w:val="18C9743F"/>
    <w:rsid w:val="18CE3BF7"/>
    <w:rsid w:val="18D3637E"/>
    <w:rsid w:val="18D66408"/>
    <w:rsid w:val="18D70A49"/>
    <w:rsid w:val="18D86139"/>
    <w:rsid w:val="18FD7008"/>
    <w:rsid w:val="192A7FAB"/>
    <w:rsid w:val="19311AF5"/>
    <w:rsid w:val="193147E1"/>
    <w:rsid w:val="193C0D5A"/>
    <w:rsid w:val="19413D82"/>
    <w:rsid w:val="19500962"/>
    <w:rsid w:val="19514C9D"/>
    <w:rsid w:val="19523DC3"/>
    <w:rsid w:val="196213AF"/>
    <w:rsid w:val="196B2634"/>
    <w:rsid w:val="19717F34"/>
    <w:rsid w:val="19737B74"/>
    <w:rsid w:val="197B309F"/>
    <w:rsid w:val="19807671"/>
    <w:rsid w:val="198077C8"/>
    <w:rsid w:val="19936FE2"/>
    <w:rsid w:val="19974450"/>
    <w:rsid w:val="199842E3"/>
    <w:rsid w:val="199D3503"/>
    <w:rsid w:val="19B1716D"/>
    <w:rsid w:val="19B607B4"/>
    <w:rsid w:val="19BD0BFB"/>
    <w:rsid w:val="19BD2B14"/>
    <w:rsid w:val="19DA6981"/>
    <w:rsid w:val="19E80E15"/>
    <w:rsid w:val="19E85A2B"/>
    <w:rsid w:val="1A114834"/>
    <w:rsid w:val="1A16314A"/>
    <w:rsid w:val="1A1A437E"/>
    <w:rsid w:val="1A1B732F"/>
    <w:rsid w:val="1A22336B"/>
    <w:rsid w:val="1A282F93"/>
    <w:rsid w:val="1A3B6B38"/>
    <w:rsid w:val="1A4B67C9"/>
    <w:rsid w:val="1A607C11"/>
    <w:rsid w:val="1A6100DB"/>
    <w:rsid w:val="1A632A0B"/>
    <w:rsid w:val="1A646F22"/>
    <w:rsid w:val="1A6E2552"/>
    <w:rsid w:val="1A844C0D"/>
    <w:rsid w:val="1A982F47"/>
    <w:rsid w:val="1A9E02C4"/>
    <w:rsid w:val="1A9E65BA"/>
    <w:rsid w:val="1AAB1C23"/>
    <w:rsid w:val="1AB32C2F"/>
    <w:rsid w:val="1AB50CF8"/>
    <w:rsid w:val="1ABB5F8D"/>
    <w:rsid w:val="1ABF7F69"/>
    <w:rsid w:val="1AC2007F"/>
    <w:rsid w:val="1AC5202A"/>
    <w:rsid w:val="1AC76E97"/>
    <w:rsid w:val="1AD44D22"/>
    <w:rsid w:val="1ADA1E25"/>
    <w:rsid w:val="1AE154C3"/>
    <w:rsid w:val="1AEA7ADD"/>
    <w:rsid w:val="1AF35854"/>
    <w:rsid w:val="1AFF080C"/>
    <w:rsid w:val="1B053DC9"/>
    <w:rsid w:val="1B0C18D0"/>
    <w:rsid w:val="1B28553C"/>
    <w:rsid w:val="1B406DCB"/>
    <w:rsid w:val="1B5A5DE7"/>
    <w:rsid w:val="1B650AF7"/>
    <w:rsid w:val="1B6E12C8"/>
    <w:rsid w:val="1B7E584E"/>
    <w:rsid w:val="1B8104BE"/>
    <w:rsid w:val="1B985D31"/>
    <w:rsid w:val="1BB0639C"/>
    <w:rsid w:val="1BD2389C"/>
    <w:rsid w:val="1BD30F18"/>
    <w:rsid w:val="1BDA274B"/>
    <w:rsid w:val="1BDB364D"/>
    <w:rsid w:val="1BF7414A"/>
    <w:rsid w:val="1C002A46"/>
    <w:rsid w:val="1C004371"/>
    <w:rsid w:val="1C375731"/>
    <w:rsid w:val="1C3C4FDA"/>
    <w:rsid w:val="1C655995"/>
    <w:rsid w:val="1C7070E1"/>
    <w:rsid w:val="1C843187"/>
    <w:rsid w:val="1C8A7183"/>
    <w:rsid w:val="1C8C1E19"/>
    <w:rsid w:val="1C8E6EBB"/>
    <w:rsid w:val="1C9469FB"/>
    <w:rsid w:val="1C953280"/>
    <w:rsid w:val="1C98000A"/>
    <w:rsid w:val="1CA814AF"/>
    <w:rsid w:val="1CB06B92"/>
    <w:rsid w:val="1CC3191A"/>
    <w:rsid w:val="1CD66908"/>
    <w:rsid w:val="1CD71B57"/>
    <w:rsid w:val="1CE05E63"/>
    <w:rsid w:val="1CE10CCB"/>
    <w:rsid w:val="1CE67BE1"/>
    <w:rsid w:val="1CEB41C3"/>
    <w:rsid w:val="1CED6DD4"/>
    <w:rsid w:val="1CFA1AD8"/>
    <w:rsid w:val="1CFD1CA5"/>
    <w:rsid w:val="1CFE1276"/>
    <w:rsid w:val="1D0B27CD"/>
    <w:rsid w:val="1D1642C3"/>
    <w:rsid w:val="1D1B4ACB"/>
    <w:rsid w:val="1D290083"/>
    <w:rsid w:val="1D3E072C"/>
    <w:rsid w:val="1D411EB7"/>
    <w:rsid w:val="1D466638"/>
    <w:rsid w:val="1D724D58"/>
    <w:rsid w:val="1D865BDE"/>
    <w:rsid w:val="1D87203C"/>
    <w:rsid w:val="1D8F1070"/>
    <w:rsid w:val="1D8F2DEF"/>
    <w:rsid w:val="1D94515F"/>
    <w:rsid w:val="1DB14B28"/>
    <w:rsid w:val="1DBB0500"/>
    <w:rsid w:val="1DC8464A"/>
    <w:rsid w:val="1DCD3B44"/>
    <w:rsid w:val="1DE22973"/>
    <w:rsid w:val="1DE84947"/>
    <w:rsid w:val="1E014D23"/>
    <w:rsid w:val="1E101484"/>
    <w:rsid w:val="1E17513C"/>
    <w:rsid w:val="1E1D2468"/>
    <w:rsid w:val="1E3E3403"/>
    <w:rsid w:val="1E49704C"/>
    <w:rsid w:val="1E633033"/>
    <w:rsid w:val="1E7E7901"/>
    <w:rsid w:val="1E8E6400"/>
    <w:rsid w:val="1E901FE5"/>
    <w:rsid w:val="1E9A50A5"/>
    <w:rsid w:val="1EA72BB0"/>
    <w:rsid w:val="1EAA22B1"/>
    <w:rsid w:val="1EAB3388"/>
    <w:rsid w:val="1EB700C5"/>
    <w:rsid w:val="1EBB2835"/>
    <w:rsid w:val="1EC56E9C"/>
    <w:rsid w:val="1EC76466"/>
    <w:rsid w:val="1ED3036C"/>
    <w:rsid w:val="1ED4162F"/>
    <w:rsid w:val="1ED860B8"/>
    <w:rsid w:val="1EE40F2E"/>
    <w:rsid w:val="1EEA757C"/>
    <w:rsid w:val="1EEB2ED4"/>
    <w:rsid w:val="1EEC3E81"/>
    <w:rsid w:val="1EF94A9C"/>
    <w:rsid w:val="1EFB3DD2"/>
    <w:rsid w:val="1EFF3358"/>
    <w:rsid w:val="1F066C22"/>
    <w:rsid w:val="1F083F40"/>
    <w:rsid w:val="1F11591E"/>
    <w:rsid w:val="1F1A7ECF"/>
    <w:rsid w:val="1F203EE0"/>
    <w:rsid w:val="1F2108AC"/>
    <w:rsid w:val="1F260F63"/>
    <w:rsid w:val="1F2E2C1F"/>
    <w:rsid w:val="1F334B8C"/>
    <w:rsid w:val="1F48535C"/>
    <w:rsid w:val="1F6C28DF"/>
    <w:rsid w:val="1F731901"/>
    <w:rsid w:val="1F79232C"/>
    <w:rsid w:val="1F7C65E5"/>
    <w:rsid w:val="1F8063F0"/>
    <w:rsid w:val="1F814A6E"/>
    <w:rsid w:val="1F956682"/>
    <w:rsid w:val="1FAA2264"/>
    <w:rsid w:val="1FAC0DF7"/>
    <w:rsid w:val="1FE2260A"/>
    <w:rsid w:val="1FE71D8E"/>
    <w:rsid w:val="1FE82D5E"/>
    <w:rsid w:val="1FEE3B18"/>
    <w:rsid w:val="20044081"/>
    <w:rsid w:val="200856EE"/>
    <w:rsid w:val="200A2942"/>
    <w:rsid w:val="202A6E01"/>
    <w:rsid w:val="20311B23"/>
    <w:rsid w:val="20334C86"/>
    <w:rsid w:val="20373247"/>
    <w:rsid w:val="20401500"/>
    <w:rsid w:val="204C187A"/>
    <w:rsid w:val="20542EEA"/>
    <w:rsid w:val="20566F0B"/>
    <w:rsid w:val="205B0E5F"/>
    <w:rsid w:val="206E284C"/>
    <w:rsid w:val="207775D3"/>
    <w:rsid w:val="208066B2"/>
    <w:rsid w:val="208318CF"/>
    <w:rsid w:val="209F231B"/>
    <w:rsid w:val="20A03BB6"/>
    <w:rsid w:val="20A050DC"/>
    <w:rsid w:val="20A84CA8"/>
    <w:rsid w:val="20AD05B6"/>
    <w:rsid w:val="20AD5F0C"/>
    <w:rsid w:val="20CC7299"/>
    <w:rsid w:val="20E611CF"/>
    <w:rsid w:val="20E91834"/>
    <w:rsid w:val="21036DE3"/>
    <w:rsid w:val="211C0997"/>
    <w:rsid w:val="212348E1"/>
    <w:rsid w:val="212427B6"/>
    <w:rsid w:val="212A6827"/>
    <w:rsid w:val="21361140"/>
    <w:rsid w:val="21383C69"/>
    <w:rsid w:val="213A5872"/>
    <w:rsid w:val="21595520"/>
    <w:rsid w:val="21625DA7"/>
    <w:rsid w:val="21663CE3"/>
    <w:rsid w:val="2167773C"/>
    <w:rsid w:val="21753044"/>
    <w:rsid w:val="21934E6E"/>
    <w:rsid w:val="219958E5"/>
    <w:rsid w:val="219D1405"/>
    <w:rsid w:val="21A47BCD"/>
    <w:rsid w:val="21AB0EAE"/>
    <w:rsid w:val="21AB602D"/>
    <w:rsid w:val="21AE6FB8"/>
    <w:rsid w:val="21B1135A"/>
    <w:rsid w:val="21B3320B"/>
    <w:rsid w:val="21BA3993"/>
    <w:rsid w:val="21BB2A71"/>
    <w:rsid w:val="21C220EF"/>
    <w:rsid w:val="21C25441"/>
    <w:rsid w:val="21DB15D8"/>
    <w:rsid w:val="21ED613B"/>
    <w:rsid w:val="21EE4FAF"/>
    <w:rsid w:val="21EF6E7D"/>
    <w:rsid w:val="21F10DB3"/>
    <w:rsid w:val="21F77F76"/>
    <w:rsid w:val="21FB2390"/>
    <w:rsid w:val="2202276A"/>
    <w:rsid w:val="22077732"/>
    <w:rsid w:val="222A1505"/>
    <w:rsid w:val="222E4317"/>
    <w:rsid w:val="22310EC6"/>
    <w:rsid w:val="22383288"/>
    <w:rsid w:val="22494929"/>
    <w:rsid w:val="224A2B99"/>
    <w:rsid w:val="224F19D9"/>
    <w:rsid w:val="22560201"/>
    <w:rsid w:val="225B4DC5"/>
    <w:rsid w:val="225D1395"/>
    <w:rsid w:val="225E4790"/>
    <w:rsid w:val="226256CD"/>
    <w:rsid w:val="22660A6A"/>
    <w:rsid w:val="2270405F"/>
    <w:rsid w:val="22797C95"/>
    <w:rsid w:val="228508BD"/>
    <w:rsid w:val="229507C5"/>
    <w:rsid w:val="22A659E4"/>
    <w:rsid w:val="22A744CF"/>
    <w:rsid w:val="22A97F4C"/>
    <w:rsid w:val="22AB47F5"/>
    <w:rsid w:val="22AF1FC4"/>
    <w:rsid w:val="22C23F68"/>
    <w:rsid w:val="22C6798B"/>
    <w:rsid w:val="22CB00FF"/>
    <w:rsid w:val="22D479E7"/>
    <w:rsid w:val="22E47941"/>
    <w:rsid w:val="22E576C8"/>
    <w:rsid w:val="231904FF"/>
    <w:rsid w:val="232F5482"/>
    <w:rsid w:val="233316D1"/>
    <w:rsid w:val="23331E5F"/>
    <w:rsid w:val="23373F08"/>
    <w:rsid w:val="233F5277"/>
    <w:rsid w:val="234E6452"/>
    <w:rsid w:val="235162AA"/>
    <w:rsid w:val="2351664C"/>
    <w:rsid w:val="235413E1"/>
    <w:rsid w:val="235C7C4E"/>
    <w:rsid w:val="235E260A"/>
    <w:rsid w:val="23613D85"/>
    <w:rsid w:val="23617098"/>
    <w:rsid w:val="23786857"/>
    <w:rsid w:val="237A5448"/>
    <w:rsid w:val="237B1D9F"/>
    <w:rsid w:val="238D6B82"/>
    <w:rsid w:val="239406F9"/>
    <w:rsid w:val="239C498B"/>
    <w:rsid w:val="239F20F3"/>
    <w:rsid w:val="23AC0912"/>
    <w:rsid w:val="23C11B07"/>
    <w:rsid w:val="23C96135"/>
    <w:rsid w:val="23C969C5"/>
    <w:rsid w:val="23C976EC"/>
    <w:rsid w:val="23CB42CF"/>
    <w:rsid w:val="23D360F1"/>
    <w:rsid w:val="23F254B0"/>
    <w:rsid w:val="23F277B8"/>
    <w:rsid w:val="23F82E9E"/>
    <w:rsid w:val="240A7463"/>
    <w:rsid w:val="240E33D6"/>
    <w:rsid w:val="24115E16"/>
    <w:rsid w:val="241E5170"/>
    <w:rsid w:val="24226A76"/>
    <w:rsid w:val="24241F5D"/>
    <w:rsid w:val="242F12BC"/>
    <w:rsid w:val="24324EE3"/>
    <w:rsid w:val="243D2B9E"/>
    <w:rsid w:val="243D5169"/>
    <w:rsid w:val="245A62C7"/>
    <w:rsid w:val="24646E1C"/>
    <w:rsid w:val="24665157"/>
    <w:rsid w:val="246C3C89"/>
    <w:rsid w:val="24744132"/>
    <w:rsid w:val="247F1DDB"/>
    <w:rsid w:val="2483051D"/>
    <w:rsid w:val="24841128"/>
    <w:rsid w:val="2485063D"/>
    <w:rsid w:val="248604FB"/>
    <w:rsid w:val="24953BDF"/>
    <w:rsid w:val="249B158F"/>
    <w:rsid w:val="24A41576"/>
    <w:rsid w:val="24AA4524"/>
    <w:rsid w:val="24AF4262"/>
    <w:rsid w:val="24B0782B"/>
    <w:rsid w:val="24C119CC"/>
    <w:rsid w:val="24CD3036"/>
    <w:rsid w:val="24E14CEC"/>
    <w:rsid w:val="24ED2FDD"/>
    <w:rsid w:val="24F21301"/>
    <w:rsid w:val="24F4220C"/>
    <w:rsid w:val="24FC6E4C"/>
    <w:rsid w:val="251001C9"/>
    <w:rsid w:val="25205A6D"/>
    <w:rsid w:val="252B7771"/>
    <w:rsid w:val="252E340C"/>
    <w:rsid w:val="253079A8"/>
    <w:rsid w:val="2533566C"/>
    <w:rsid w:val="253537E7"/>
    <w:rsid w:val="25360334"/>
    <w:rsid w:val="254A76FD"/>
    <w:rsid w:val="25653BCA"/>
    <w:rsid w:val="256B3BCD"/>
    <w:rsid w:val="25892465"/>
    <w:rsid w:val="258D57CE"/>
    <w:rsid w:val="259E0482"/>
    <w:rsid w:val="25BD4216"/>
    <w:rsid w:val="25C571ED"/>
    <w:rsid w:val="25CC228B"/>
    <w:rsid w:val="25CD5C56"/>
    <w:rsid w:val="25CF3FAE"/>
    <w:rsid w:val="25D42591"/>
    <w:rsid w:val="25D8498A"/>
    <w:rsid w:val="25DD6B9F"/>
    <w:rsid w:val="25E25E6B"/>
    <w:rsid w:val="25E56A85"/>
    <w:rsid w:val="25EF2E5A"/>
    <w:rsid w:val="25F5186C"/>
    <w:rsid w:val="25F52EC6"/>
    <w:rsid w:val="25FD6A03"/>
    <w:rsid w:val="26046B7F"/>
    <w:rsid w:val="261450AD"/>
    <w:rsid w:val="261659F7"/>
    <w:rsid w:val="2625604C"/>
    <w:rsid w:val="262B5098"/>
    <w:rsid w:val="262E2775"/>
    <w:rsid w:val="26312DDE"/>
    <w:rsid w:val="263156B6"/>
    <w:rsid w:val="26385D68"/>
    <w:rsid w:val="264410E4"/>
    <w:rsid w:val="264B14F5"/>
    <w:rsid w:val="264C09C9"/>
    <w:rsid w:val="265F06FD"/>
    <w:rsid w:val="266C6159"/>
    <w:rsid w:val="26830655"/>
    <w:rsid w:val="26853317"/>
    <w:rsid w:val="26870115"/>
    <w:rsid w:val="26887AC0"/>
    <w:rsid w:val="26AA56C1"/>
    <w:rsid w:val="26B000F0"/>
    <w:rsid w:val="26BA678C"/>
    <w:rsid w:val="26BA721A"/>
    <w:rsid w:val="26BD07EE"/>
    <w:rsid w:val="26C7764C"/>
    <w:rsid w:val="26CD1916"/>
    <w:rsid w:val="26D01D1F"/>
    <w:rsid w:val="26D259D0"/>
    <w:rsid w:val="26DA4529"/>
    <w:rsid w:val="26DF2618"/>
    <w:rsid w:val="26F05825"/>
    <w:rsid w:val="26F97497"/>
    <w:rsid w:val="270C7C5E"/>
    <w:rsid w:val="27161CB4"/>
    <w:rsid w:val="271B5559"/>
    <w:rsid w:val="271D4067"/>
    <w:rsid w:val="2726333C"/>
    <w:rsid w:val="272670F2"/>
    <w:rsid w:val="27325869"/>
    <w:rsid w:val="273A2FAD"/>
    <w:rsid w:val="27443E93"/>
    <w:rsid w:val="274939A8"/>
    <w:rsid w:val="27571E4B"/>
    <w:rsid w:val="275B6DAD"/>
    <w:rsid w:val="27625229"/>
    <w:rsid w:val="27632C1C"/>
    <w:rsid w:val="27656C9F"/>
    <w:rsid w:val="277D7496"/>
    <w:rsid w:val="27854D12"/>
    <w:rsid w:val="27923235"/>
    <w:rsid w:val="279659FF"/>
    <w:rsid w:val="279A4670"/>
    <w:rsid w:val="27D953D7"/>
    <w:rsid w:val="27DF3CA0"/>
    <w:rsid w:val="27DF61DF"/>
    <w:rsid w:val="27EF40FF"/>
    <w:rsid w:val="27F63B45"/>
    <w:rsid w:val="28024FED"/>
    <w:rsid w:val="28205ECA"/>
    <w:rsid w:val="282E3C02"/>
    <w:rsid w:val="285337D3"/>
    <w:rsid w:val="28541500"/>
    <w:rsid w:val="2857512C"/>
    <w:rsid w:val="2857731B"/>
    <w:rsid w:val="2861655C"/>
    <w:rsid w:val="28781538"/>
    <w:rsid w:val="28826767"/>
    <w:rsid w:val="2885434E"/>
    <w:rsid w:val="28875C3B"/>
    <w:rsid w:val="2888566A"/>
    <w:rsid w:val="288A06A5"/>
    <w:rsid w:val="288F020E"/>
    <w:rsid w:val="28931BEC"/>
    <w:rsid w:val="289B37B8"/>
    <w:rsid w:val="28A20207"/>
    <w:rsid w:val="28A72DC8"/>
    <w:rsid w:val="28B217EF"/>
    <w:rsid w:val="28B56EEE"/>
    <w:rsid w:val="28BC5FC9"/>
    <w:rsid w:val="28BD563B"/>
    <w:rsid w:val="28BF1A1D"/>
    <w:rsid w:val="28CC58F5"/>
    <w:rsid w:val="28D01BBA"/>
    <w:rsid w:val="28D16ADC"/>
    <w:rsid w:val="28D37A29"/>
    <w:rsid w:val="28DA6A45"/>
    <w:rsid w:val="28DB05B6"/>
    <w:rsid w:val="28DC35D0"/>
    <w:rsid w:val="28EC0B94"/>
    <w:rsid w:val="28EE30BB"/>
    <w:rsid w:val="28F20C9F"/>
    <w:rsid w:val="28F241CC"/>
    <w:rsid w:val="2922745F"/>
    <w:rsid w:val="2928797E"/>
    <w:rsid w:val="292A3227"/>
    <w:rsid w:val="292B462B"/>
    <w:rsid w:val="292E73D6"/>
    <w:rsid w:val="292F4619"/>
    <w:rsid w:val="29314EE6"/>
    <w:rsid w:val="29362A42"/>
    <w:rsid w:val="293D55AD"/>
    <w:rsid w:val="294D16C5"/>
    <w:rsid w:val="295B6A5F"/>
    <w:rsid w:val="296C32DA"/>
    <w:rsid w:val="296F30B0"/>
    <w:rsid w:val="29752795"/>
    <w:rsid w:val="29802FCA"/>
    <w:rsid w:val="298A5ED9"/>
    <w:rsid w:val="29906B88"/>
    <w:rsid w:val="299072A8"/>
    <w:rsid w:val="29B10AB0"/>
    <w:rsid w:val="29B552FF"/>
    <w:rsid w:val="29BD6E33"/>
    <w:rsid w:val="29C351D2"/>
    <w:rsid w:val="29CF5E7C"/>
    <w:rsid w:val="29D70C43"/>
    <w:rsid w:val="2A004136"/>
    <w:rsid w:val="2A041F25"/>
    <w:rsid w:val="2A077575"/>
    <w:rsid w:val="2A105E78"/>
    <w:rsid w:val="2A120CDC"/>
    <w:rsid w:val="2A2C04E6"/>
    <w:rsid w:val="2A2D1A7C"/>
    <w:rsid w:val="2A34583C"/>
    <w:rsid w:val="2A353FA1"/>
    <w:rsid w:val="2A4768F4"/>
    <w:rsid w:val="2A5E6E4F"/>
    <w:rsid w:val="2AA3236C"/>
    <w:rsid w:val="2AB82431"/>
    <w:rsid w:val="2ABA76BF"/>
    <w:rsid w:val="2ABB474E"/>
    <w:rsid w:val="2ABC46AF"/>
    <w:rsid w:val="2ACD746B"/>
    <w:rsid w:val="2ADE3C03"/>
    <w:rsid w:val="2AE829A2"/>
    <w:rsid w:val="2AEA1928"/>
    <w:rsid w:val="2AF1020D"/>
    <w:rsid w:val="2AFC4CB1"/>
    <w:rsid w:val="2B0B246D"/>
    <w:rsid w:val="2B2163DA"/>
    <w:rsid w:val="2B263901"/>
    <w:rsid w:val="2B3249C5"/>
    <w:rsid w:val="2B3526D1"/>
    <w:rsid w:val="2B3F4B7C"/>
    <w:rsid w:val="2B445F7D"/>
    <w:rsid w:val="2B44666B"/>
    <w:rsid w:val="2B45095C"/>
    <w:rsid w:val="2B4A5AAD"/>
    <w:rsid w:val="2B6E2167"/>
    <w:rsid w:val="2B71390C"/>
    <w:rsid w:val="2B7628E6"/>
    <w:rsid w:val="2B8069C3"/>
    <w:rsid w:val="2B85497E"/>
    <w:rsid w:val="2B8D3BFF"/>
    <w:rsid w:val="2B926505"/>
    <w:rsid w:val="2B9A08CC"/>
    <w:rsid w:val="2B9A2907"/>
    <w:rsid w:val="2B9C22CA"/>
    <w:rsid w:val="2BAA0467"/>
    <w:rsid w:val="2BB74160"/>
    <w:rsid w:val="2BC173FF"/>
    <w:rsid w:val="2BC40DD9"/>
    <w:rsid w:val="2BC43ECA"/>
    <w:rsid w:val="2BC64E7A"/>
    <w:rsid w:val="2BCE107A"/>
    <w:rsid w:val="2BCF27F8"/>
    <w:rsid w:val="2BE00DF4"/>
    <w:rsid w:val="2C005EDE"/>
    <w:rsid w:val="2C0170E8"/>
    <w:rsid w:val="2C036A18"/>
    <w:rsid w:val="2C2B4C26"/>
    <w:rsid w:val="2C2D4678"/>
    <w:rsid w:val="2C2F5F57"/>
    <w:rsid w:val="2C354F98"/>
    <w:rsid w:val="2C5329B0"/>
    <w:rsid w:val="2C706F4D"/>
    <w:rsid w:val="2CA42212"/>
    <w:rsid w:val="2CAE01E3"/>
    <w:rsid w:val="2CC42944"/>
    <w:rsid w:val="2CCD7A24"/>
    <w:rsid w:val="2CCF4D25"/>
    <w:rsid w:val="2CD81A5C"/>
    <w:rsid w:val="2CDB50F3"/>
    <w:rsid w:val="2CF5316A"/>
    <w:rsid w:val="2CFD2C33"/>
    <w:rsid w:val="2D0F4610"/>
    <w:rsid w:val="2D133C70"/>
    <w:rsid w:val="2D3E6447"/>
    <w:rsid w:val="2D48645A"/>
    <w:rsid w:val="2D4934D1"/>
    <w:rsid w:val="2D493794"/>
    <w:rsid w:val="2D4F685C"/>
    <w:rsid w:val="2D524C33"/>
    <w:rsid w:val="2D555DF7"/>
    <w:rsid w:val="2D621C19"/>
    <w:rsid w:val="2D654D6E"/>
    <w:rsid w:val="2D8F500C"/>
    <w:rsid w:val="2DAB0DE8"/>
    <w:rsid w:val="2DBC2D4D"/>
    <w:rsid w:val="2DBD5990"/>
    <w:rsid w:val="2DC4531C"/>
    <w:rsid w:val="2DD43413"/>
    <w:rsid w:val="2DE35EA3"/>
    <w:rsid w:val="2DF65A3F"/>
    <w:rsid w:val="2E122952"/>
    <w:rsid w:val="2E2521A9"/>
    <w:rsid w:val="2E362B48"/>
    <w:rsid w:val="2E686518"/>
    <w:rsid w:val="2E707163"/>
    <w:rsid w:val="2E847B94"/>
    <w:rsid w:val="2E8D7BF7"/>
    <w:rsid w:val="2E9C1D3E"/>
    <w:rsid w:val="2E9D5FF9"/>
    <w:rsid w:val="2EB604EE"/>
    <w:rsid w:val="2EB939BF"/>
    <w:rsid w:val="2EBC602E"/>
    <w:rsid w:val="2EBE010F"/>
    <w:rsid w:val="2EC02DEE"/>
    <w:rsid w:val="2EC23F39"/>
    <w:rsid w:val="2ED25F73"/>
    <w:rsid w:val="2EF72792"/>
    <w:rsid w:val="2EF80BDD"/>
    <w:rsid w:val="2F0219D3"/>
    <w:rsid w:val="2F06778B"/>
    <w:rsid w:val="2F0C083B"/>
    <w:rsid w:val="2F103493"/>
    <w:rsid w:val="2F186496"/>
    <w:rsid w:val="2F2405C1"/>
    <w:rsid w:val="2F2E54A9"/>
    <w:rsid w:val="2F3222BD"/>
    <w:rsid w:val="2F3405C3"/>
    <w:rsid w:val="2F383328"/>
    <w:rsid w:val="2F3C39BF"/>
    <w:rsid w:val="2F3F07FD"/>
    <w:rsid w:val="2F404906"/>
    <w:rsid w:val="2F437FF8"/>
    <w:rsid w:val="2F4F0FE6"/>
    <w:rsid w:val="2F50500D"/>
    <w:rsid w:val="2F6B2261"/>
    <w:rsid w:val="2F6C67DE"/>
    <w:rsid w:val="2F751B30"/>
    <w:rsid w:val="2F7A242C"/>
    <w:rsid w:val="2F7A3F1A"/>
    <w:rsid w:val="2F7E41FC"/>
    <w:rsid w:val="2F8069CD"/>
    <w:rsid w:val="2F8D73CD"/>
    <w:rsid w:val="2F91255B"/>
    <w:rsid w:val="2F921190"/>
    <w:rsid w:val="2F97525C"/>
    <w:rsid w:val="2FB27C22"/>
    <w:rsid w:val="2FB712F4"/>
    <w:rsid w:val="2FB8179F"/>
    <w:rsid w:val="2FC02BAD"/>
    <w:rsid w:val="2FD15A7C"/>
    <w:rsid w:val="2FD21DB3"/>
    <w:rsid w:val="2FDA2114"/>
    <w:rsid w:val="2FDB65FF"/>
    <w:rsid w:val="2FDD4C94"/>
    <w:rsid w:val="2FE55041"/>
    <w:rsid w:val="2FE84254"/>
    <w:rsid w:val="2FFB2789"/>
    <w:rsid w:val="30004318"/>
    <w:rsid w:val="30044B37"/>
    <w:rsid w:val="300C49F8"/>
    <w:rsid w:val="300D169F"/>
    <w:rsid w:val="30171EF1"/>
    <w:rsid w:val="30176C58"/>
    <w:rsid w:val="301D3CFD"/>
    <w:rsid w:val="30246CF2"/>
    <w:rsid w:val="3026414C"/>
    <w:rsid w:val="302E7AE6"/>
    <w:rsid w:val="303519E5"/>
    <w:rsid w:val="303B2D51"/>
    <w:rsid w:val="305C2D59"/>
    <w:rsid w:val="307651C1"/>
    <w:rsid w:val="30767F8A"/>
    <w:rsid w:val="308257D1"/>
    <w:rsid w:val="3098076F"/>
    <w:rsid w:val="30984495"/>
    <w:rsid w:val="309C78B1"/>
    <w:rsid w:val="30A55DDD"/>
    <w:rsid w:val="30B710E3"/>
    <w:rsid w:val="30B8297C"/>
    <w:rsid w:val="30BA620B"/>
    <w:rsid w:val="30BC7953"/>
    <w:rsid w:val="30C75386"/>
    <w:rsid w:val="30C80257"/>
    <w:rsid w:val="30CC215F"/>
    <w:rsid w:val="30D305F3"/>
    <w:rsid w:val="30E16F5D"/>
    <w:rsid w:val="30E445EF"/>
    <w:rsid w:val="30E94BB3"/>
    <w:rsid w:val="30EB7C5F"/>
    <w:rsid w:val="30FB330C"/>
    <w:rsid w:val="30FF16D5"/>
    <w:rsid w:val="310207C9"/>
    <w:rsid w:val="31046E3B"/>
    <w:rsid w:val="31085A55"/>
    <w:rsid w:val="31093FB2"/>
    <w:rsid w:val="311F07C4"/>
    <w:rsid w:val="313C1A89"/>
    <w:rsid w:val="3145499F"/>
    <w:rsid w:val="315836C7"/>
    <w:rsid w:val="31622F61"/>
    <w:rsid w:val="316F0A8A"/>
    <w:rsid w:val="317F5E66"/>
    <w:rsid w:val="318164C6"/>
    <w:rsid w:val="318921CF"/>
    <w:rsid w:val="31921173"/>
    <w:rsid w:val="31A2767B"/>
    <w:rsid w:val="31AB29AB"/>
    <w:rsid w:val="31B1252B"/>
    <w:rsid w:val="31C766F6"/>
    <w:rsid w:val="31DE2EDC"/>
    <w:rsid w:val="31F416A6"/>
    <w:rsid w:val="31F668A5"/>
    <w:rsid w:val="320627BA"/>
    <w:rsid w:val="320C0796"/>
    <w:rsid w:val="320E6827"/>
    <w:rsid w:val="321D6F5A"/>
    <w:rsid w:val="321F675A"/>
    <w:rsid w:val="322D6C56"/>
    <w:rsid w:val="324066E9"/>
    <w:rsid w:val="32417591"/>
    <w:rsid w:val="324549F6"/>
    <w:rsid w:val="32465B0A"/>
    <w:rsid w:val="324911B9"/>
    <w:rsid w:val="325C4044"/>
    <w:rsid w:val="32672B64"/>
    <w:rsid w:val="327E3104"/>
    <w:rsid w:val="327E7D02"/>
    <w:rsid w:val="327F497E"/>
    <w:rsid w:val="32813459"/>
    <w:rsid w:val="3282357F"/>
    <w:rsid w:val="32AC2BFA"/>
    <w:rsid w:val="32B22086"/>
    <w:rsid w:val="32B222B3"/>
    <w:rsid w:val="32C17BFC"/>
    <w:rsid w:val="32DE4B36"/>
    <w:rsid w:val="32DF5803"/>
    <w:rsid w:val="330133A2"/>
    <w:rsid w:val="330355E7"/>
    <w:rsid w:val="33040122"/>
    <w:rsid w:val="33354384"/>
    <w:rsid w:val="33383E97"/>
    <w:rsid w:val="33395FB8"/>
    <w:rsid w:val="333A7562"/>
    <w:rsid w:val="33406101"/>
    <w:rsid w:val="335124BF"/>
    <w:rsid w:val="336F30D5"/>
    <w:rsid w:val="33715E21"/>
    <w:rsid w:val="337C39A0"/>
    <w:rsid w:val="338E6B50"/>
    <w:rsid w:val="33900FAE"/>
    <w:rsid w:val="33A5148B"/>
    <w:rsid w:val="33A76E33"/>
    <w:rsid w:val="33B219FF"/>
    <w:rsid w:val="33B24D3F"/>
    <w:rsid w:val="33B5021E"/>
    <w:rsid w:val="33B504BB"/>
    <w:rsid w:val="33C11D05"/>
    <w:rsid w:val="33CB40CB"/>
    <w:rsid w:val="33D05EED"/>
    <w:rsid w:val="33D24D45"/>
    <w:rsid w:val="33D674E4"/>
    <w:rsid w:val="33E636C5"/>
    <w:rsid w:val="33EB24FF"/>
    <w:rsid w:val="33FE767E"/>
    <w:rsid w:val="340728DC"/>
    <w:rsid w:val="340E66C0"/>
    <w:rsid w:val="34101656"/>
    <w:rsid w:val="34155A19"/>
    <w:rsid w:val="34193EBA"/>
    <w:rsid w:val="34204AEF"/>
    <w:rsid w:val="342551BE"/>
    <w:rsid w:val="34256476"/>
    <w:rsid w:val="34344D93"/>
    <w:rsid w:val="3440300F"/>
    <w:rsid w:val="3441255B"/>
    <w:rsid w:val="34431CFB"/>
    <w:rsid w:val="34455F18"/>
    <w:rsid w:val="344E7BBA"/>
    <w:rsid w:val="34551789"/>
    <w:rsid w:val="346126A0"/>
    <w:rsid w:val="3462031D"/>
    <w:rsid w:val="346C4C76"/>
    <w:rsid w:val="34703893"/>
    <w:rsid w:val="347E5BDB"/>
    <w:rsid w:val="348101F3"/>
    <w:rsid w:val="34884B98"/>
    <w:rsid w:val="348F724B"/>
    <w:rsid w:val="34951A1B"/>
    <w:rsid w:val="3496520C"/>
    <w:rsid w:val="349A65C8"/>
    <w:rsid w:val="34AB4EA7"/>
    <w:rsid w:val="34AF6CBB"/>
    <w:rsid w:val="34C36EF7"/>
    <w:rsid w:val="34C46CBD"/>
    <w:rsid w:val="34CD0F2F"/>
    <w:rsid w:val="34D96843"/>
    <w:rsid w:val="34E82E61"/>
    <w:rsid w:val="34F355AC"/>
    <w:rsid w:val="34FB0CEF"/>
    <w:rsid w:val="34FD27C5"/>
    <w:rsid w:val="35097FE2"/>
    <w:rsid w:val="350E0385"/>
    <w:rsid w:val="352D6901"/>
    <w:rsid w:val="35404E9D"/>
    <w:rsid w:val="3549147D"/>
    <w:rsid w:val="355A7F8F"/>
    <w:rsid w:val="35613F58"/>
    <w:rsid w:val="356155D7"/>
    <w:rsid w:val="35697B6E"/>
    <w:rsid w:val="356A0B01"/>
    <w:rsid w:val="356B5A9F"/>
    <w:rsid w:val="358133D0"/>
    <w:rsid w:val="358B4E96"/>
    <w:rsid w:val="358D6240"/>
    <w:rsid w:val="35A630FA"/>
    <w:rsid w:val="35A66967"/>
    <w:rsid w:val="35A73341"/>
    <w:rsid w:val="35CC5271"/>
    <w:rsid w:val="35CF3F65"/>
    <w:rsid w:val="35D45A5B"/>
    <w:rsid w:val="35EB12DE"/>
    <w:rsid w:val="35ED4301"/>
    <w:rsid w:val="35EE08FF"/>
    <w:rsid w:val="35F8303B"/>
    <w:rsid w:val="35FB1DE6"/>
    <w:rsid w:val="35FD744D"/>
    <w:rsid w:val="36060990"/>
    <w:rsid w:val="360A7E61"/>
    <w:rsid w:val="360D1D88"/>
    <w:rsid w:val="36120D91"/>
    <w:rsid w:val="361F2775"/>
    <w:rsid w:val="36251B03"/>
    <w:rsid w:val="36257A55"/>
    <w:rsid w:val="363E769E"/>
    <w:rsid w:val="36405938"/>
    <w:rsid w:val="36432274"/>
    <w:rsid w:val="364B4787"/>
    <w:rsid w:val="364D164C"/>
    <w:rsid w:val="36923E70"/>
    <w:rsid w:val="36955741"/>
    <w:rsid w:val="36997FBD"/>
    <w:rsid w:val="369E2F96"/>
    <w:rsid w:val="36AD0DC9"/>
    <w:rsid w:val="36B137AA"/>
    <w:rsid w:val="36BE1457"/>
    <w:rsid w:val="36C160A5"/>
    <w:rsid w:val="36C45CE1"/>
    <w:rsid w:val="36D55C12"/>
    <w:rsid w:val="36DA2C1D"/>
    <w:rsid w:val="36E864A3"/>
    <w:rsid w:val="36EE6985"/>
    <w:rsid w:val="36F46832"/>
    <w:rsid w:val="36F5782A"/>
    <w:rsid w:val="36F6155B"/>
    <w:rsid w:val="36FB1C3A"/>
    <w:rsid w:val="37245494"/>
    <w:rsid w:val="372618AC"/>
    <w:rsid w:val="37313AF2"/>
    <w:rsid w:val="37343627"/>
    <w:rsid w:val="374130DC"/>
    <w:rsid w:val="3743302C"/>
    <w:rsid w:val="37567D34"/>
    <w:rsid w:val="37587F2F"/>
    <w:rsid w:val="3765185D"/>
    <w:rsid w:val="3769135D"/>
    <w:rsid w:val="37740B33"/>
    <w:rsid w:val="377510D2"/>
    <w:rsid w:val="377D4FB8"/>
    <w:rsid w:val="37863697"/>
    <w:rsid w:val="378D13FA"/>
    <w:rsid w:val="37906928"/>
    <w:rsid w:val="37AA62E7"/>
    <w:rsid w:val="37B80B2D"/>
    <w:rsid w:val="37BB58CE"/>
    <w:rsid w:val="37BF4033"/>
    <w:rsid w:val="37C02118"/>
    <w:rsid w:val="37C4514C"/>
    <w:rsid w:val="37C6165E"/>
    <w:rsid w:val="37CB4D02"/>
    <w:rsid w:val="37D67EB5"/>
    <w:rsid w:val="37D75C83"/>
    <w:rsid w:val="37DE2165"/>
    <w:rsid w:val="37DF0DE1"/>
    <w:rsid w:val="37E14A3D"/>
    <w:rsid w:val="37FB4049"/>
    <w:rsid w:val="3808608C"/>
    <w:rsid w:val="380A25C8"/>
    <w:rsid w:val="380F1AF6"/>
    <w:rsid w:val="38127E06"/>
    <w:rsid w:val="3818143B"/>
    <w:rsid w:val="38224057"/>
    <w:rsid w:val="3837486B"/>
    <w:rsid w:val="383A46D2"/>
    <w:rsid w:val="38433686"/>
    <w:rsid w:val="384C2151"/>
    <w:rsid w:val="384F35FD"/>
    <w:rsid w:val="384F7F39"/>
    <w:rsid w:val="38690BC4"/>
    <w:rsid w:val="38783CA7"/>
    <w:rsid w:val="388B45CA"/>
    <w:rsid w:val="389054C4"/>
    <w:rsid w:val="389A2558"/>
    <w:rsid w:val="38A62FAE"/>
    <w:rsid w:val="38A736EB"/>
    <w:rsid w:val="38AB12B1"/>
    <w:rsid w:val="38AB6374"/>
    <w:rsid w:val="38AB6A16"/>
    <w:rsid w:val="38AD00A9"/>
    <w:rsid w:val="38B537C1"/>
    <w:rsid w:val="38BA3A4F"/>
    <w:rsid w:val="38BE4742"/>
    <w:rsid w:val="38D7677C"/>
    <w:rsid w:val="38DD0CFA"/>
    <w:rsid w:val="38E95C4E"/>
    <w:rsid w:val="38E97B17"/>
    <w:rsid w:val="38EF61F2"/>
    <w:rsid w:val="38F7720C"/>
    <w:rsid w:val="38FA0804"/>
    <w:rsid w:val="390E550B"/>
    <w:rsid w:val="391215BC"/>
    <w:rsid w:val="39241D37"/>
    <w:rsid w:val="392C1BF3"/>
    <w:rsid w:val="393A49B8"/>
    <w:rsid w:val="393C6414"/>
    <w:rsid w:val="393D30D0"/>
    <w:rsid w:val="393D7E0D"/>
    <w:rsid w:val="393E436E"/>
    <w:rsid w:val="39414B8F"/>
    <w:rsid w:val="3946765B"/>
    <w:rsid w:val="394A3B00"/>
    <w:rsid w:val="395B0F05"/>
    <w:rsid w:val="395E18AA"/>
    <w:rsid w:val="395E20B2"/>
    <w:rsid w:val="39667CA4"/>
    <w:rsid w:val="396F536D"/>
    <w:rsid w:val="396F71D7"/>
    <w:rsid w:val="399A20A1"/>
    <w:rsid w:val="39A608B8"/>
    <w:rsid w:val="39AA659E"/>
    <w:rsid w:val="39AC3B9C"/>
    <w:rsid w:val="39B01664"/>
    <w:rsid w:val="39B54F85"/>
    <w:rsid w:val="39B63088"/>
    <w:rsid w:val="39DE4FFD"/>
    <w:rsid w:val="39E06A33"/>
    <w:rsid w:val="39E42E73"/>
    <w:rsid w:val="3A034161"/>
    <w:rsid w:val="3A171F1F"/>
    <w:rsid w:val="3A1807BA"/>
    <w:rsid w:val="3A1F3799"/>
    <w:rsid w:val="3A284322"/>
    <w:rsid w:val="3A2F44A8"/>
    <w:rsid w:val="3A3D5AEA"/>
    <w:rsid w:val="3A506E10"/>
    <w:rsid w:val="3A5C5B4C"/>
    <w:rsid w:val="3A840B03"/>
    <w:rsid w:val="3A920686"/>
    <w:rsid w:val="3A9B5C95"/>
    <w:rsid w:val="3A9F6796"/>
    <w:rsid w:val="3AA31246"/>
    <w:rsid w:val="3AA53316"/>
    <w:rsid w:val="3AAA653A"/>
    <w:rsid w:val="3AB14F19"/>
    <w:rsid w:val="3AB2268C"/>
    <w:rsid w:val="3AB667E8"/>
    <w:rsid w:val="3ABE3E15"/>
    <w:rsid w:val="3ACC714B"/>
    <w:rsid w:val="3ACD11EF"/>
    <w:rsid w:val="3ACF688B"/>
    <w:rsid w:val="3AD52C51"/>
    <w:rsid w:val="3AD810B1"/>
    <w:rsid w:val="3AD873E0"/>
    <w:rsid w:val="3AE5746A"/>
    <w:rsid w:val="3AED5FAA"/>
    <w:rsid w:val="3AEF1E0A"/>
    <w:rsid w:val="3AFD4483"/>
    <w:rsid w:val="3B080EDF"/>
    <w:rsid w:val="3B1B73E5"/>
    <w:rsid w:val="3B2B535B"/>
    <w:rsid w:val="3B301786"/>
    <w:rsid w:val="3B33567F"/>
    <w:rsid w:val="3B34762B"/>
    <w:rsid w:val="3B393DEE"/>
    <w:rsid w:val="3B3D1406"/>
    <w:rsid w:val="3B4200DF"/>
    <w:rsid w:val="3B5317CE"/>
    <w:rsid w:val="3B5D7C45"/>
    <w:rsid w:val="3B662258"/>
    <w:rsid w:val="3B6E268B"/>
    <w:rsid w:val="3B742C1A"/>
    <w:rsid w:val="3B8107F1"/>
    <w:rsid w:val="3B821A6E"/>
    <w:rsid w:val="3B842E07"/>
    <w:rsid w:val="3B844ADD"/>
    <w:rsid w:val="3B87580A"/>
    <w:rsid w:val="3B8C2781"/>
    <w:rsid w:val="3B964386"/>
    <w:rsid w:val="3B9871E5"/>
    <w:rsid w:val="3BA3017D"/>
    <w:rsid w:val="3BAA15E5"/>
    <w:rsid w:val="3BAA7684"/>
    <w:rsid w:val="3BB51E6C"/>
    <w:rsid w:val="3BB56107"/>
    <w:rsid w:val="3BB93BC8"/>
    <w:rsid w:val="3BBC74A0"/>
    <w:rsid w:val="3BC57760"/>
    <w:rsid w:val="3BEA4385"/>
    <w:rsid w:val="3BF100F1"/>
    <w:rsid w:val="3BF21E6A"/>
    <w:rsid w:val="3BF64713"/>
    <w:rsid w:val="3BF74AF1"/>
    <w:rsid w:val="3BFF12CF"/>
    <w:rsid w:val="3C030274"/>
    <w:rsid w:val="3C1E7A0C"/>
    <w:rsid w:val="3C1F70ED"/>
    <w:rsid w:val="3C20139E"/>
    <w:rsid w:val="3C32526A"/>
    <w:rsid w:val="3C396F1A"/>
    <w:rsid w:val="3C5A2CAF"/>
    <w:rsid w:val="3C5A348B"/>
    <w:rsid w:val="3C5E2EEB"/>
    <w:rsid w:val="3C653126"/>
    <w:rsid w:val="3C770736"/>
    <w:rsid w:val="3C9D74AD"/>
    <w:rsid w:val="3C9F5BEE"/>
    <w:rsid w:val="3CA425FE"/>
    <w:rsid w:val="3CAB5463"/>
    <w:rsid w:val="3CB11B9A"/>
    <w:rsid w:val="3CB5598C"/>
    <w:rsid w:val="3CC00D2A"/>
    <w:rsid w:val="3CC96E16"/>
    <w:rsid w:val="3CCC1711"/>
    <w:rsid w:val="3CE11237"/>
    <w:rsid w:val="3CE15AC4"/>
    <w:rsid w:val="3CEA589C"/>
    <w:rsid w:val="3CEB1303"/>
    <w:rsid w:val="3CF05F0D"/>
    <w:rsid w:val="3CF77F0C"/>
    <w:rsid w:val="3CFE1B4B"/>
    <w:rsid w:val="3D071C9F"/>
    <w:rsid w:val="3D074A19"/>
    <w:rsid w:val="3D2633D5"/>
    <w:rsid w:val="3D2B7698"/>
    <w:rsid w:val="3D41499C"/>
    <w:rsid w:val="3D4868D9"/>
    <w:rsid w:val="3D506919"/>
    <w:rsid w:val="3D571B7E"/>
    <w:rsid w:val="3D59321C"/>
    <w:rsid w:val="3D5D7D80"/>
    <w:rsid w:val="3D7A3CE3"/>
    <w:rsid w:val="3D7D601E"/>
    <w:rsid w:val="3D7E3FFF"/>
    <w:rsid w:val="3D837E01"/>
    <w:rsid w:val="3D84014C"/>
    <w:rsid w:val="3D9301FA"/>
    <w:rsid w:val="3D9B6BA1"/>
    <w:rsid w:val="3DD872DE"/>
    <w:rsid w:val="3DE62CCF"/>
    <w:rsid w:val="3DF03CBF"/>
    <w:rsid w:val="3DF072CA"/>
    <w:rsid w:val="3DF919AF"/>
    <w:rsid w:val="3DFD78CF"/>
    <w:rsid w:val="3E002B86"/>
    <w:rsid w:val="3E0156F6"/>
    <w:rsid w:val="3E030A21"/>
    <w:rsid w:val="3E0D7DC2"/>
    <w:rsid w:val="3E14339F"/>
    <w:rsid w:val="3E1C66EB"/>
    <w:rsid w:val="3E2D2DAB"/>
    <w:rsid w:val="3E3443B6"/>
    <w:rsid w:val="3E3719E3"/>
    <w:rsid w:val="3E540EB1"/>
    <w:rsid w:val="3E663FF3"/>
    <w:rsid w:val="3E7A2AFE"/>
    <w:rsid w:val="3E867B44"/>
    <w:rsid w:val="3E8B3EF7"/>
    <w:rsid w:val="3E924882"/>
    <w:rsid w:val="3E9709ED"/>
    <w:rsid w:val="3EB84A00"/>
    <w:rsid w:val="3EBC5F59"/>
    <w:rsid w:val="3EC44FD8"/>
    <w:rsid w:val="3EC822EE"/>
    <w:rsid w:val="3ED5294E"/>
    <w:rsid w:val="3EEE5351"/>
    <w:rsid w:val="3EF033E9"/>
    <w:rsid w:val="3EF03A44"/>
    <w:rsid w:val="3EF37009"/>
    <w:rsid w:val="3EF4550E"/>
    <w:rsid w:val="3F083AA2"/>
    <w:rsid w:val="3F3079A7"/>
    <w:rsid w:val="3F354148"/>
    <w:rsid w:val="3F6F2420"/>
    <w:rsid w:val="3F8819D9"/>
    <w:rsid w:val="3F885E4C"/>
    <w:rsid w:val="3FA105C1"/>
    <w:rsid w:val="3FA2212D"/>
    <w:rsid w:val="3FAD49D8"/>
    <w:rsid w:val="3FAD552B"/>
    <w:rsid w:val="3FBA17D7"/>
    <w:rsid w:val="3FBE166F"/>
    <w:rsid w:val="3FD82E67"/>
    <w:rsid w:val="3FDF1836"/>
    <w:rsid w:val="3FE162DE"/>
    <w:rsid w:val="3FEB6775"/>
    <w:rsid w:val="3FF02E67"/>
    <w:rsid w:val="40060B9F"/>
    <w:rsid w:val="400E4020"/>
    <w:rsid w:val="40124DC8"/>
    <w:rsid w:val="40232C81"/>
    <w:rsid w:val="40252375"/>
    <w:rsid w:val="4030767D"/>
    <w:rsid w:val="40350884"/>
    <w:rsid w:val="403A230D"/>
    <w:rsid w:val="403A65B2"/>
    <w:rsid w:val="403F7664"/>
    <w:rsid w:val="4041192B"/>
    <w:rsid w:val="405636CC"/>
    <w:rsid w:val="405C4BD5"/>
    <w:rsid w:val="405F101C"/>
    <w:rsid w:val="40774035"/>
    <w:rsid w:val="407E2D3F"/>
    <w:rsid w:val="408716A9"/>
    <w:rsid w:val="409448CC"/>
    <w:rsid w:val="4094744C"/>
    <w:rsid w:val="409C45B7"/>
    <w:rsid w:val="409D4254"/>
    <w:rsid w:val="40A81C2A"/>
    <w:rsid w:val="40FC5844"/>
    <w:rsid w:val="41041C51"/>
    <w:rsid w:val="411100FD"/>
    <w:rsid w:val="41146182"/>
    <w:rsid w:val="41171CA6"/>
    <w:rsid w:val="413D7167"/>
    <w:rsid w:val="41442B29"/>
    <w:rsid w:val="41475CC3"/>
    <w:rsid w:val="415D74F4"/>
    <w:rsid w:val="41677186"/>
    <w:rsid w:val="416A24F4"/>
    <w:rsid w:val="41706961"/>
    <w:rsid w:val="4180091E"/>
    <w:rsid w:val="41827D13"/>
    <w:rsid w:val="419905AC"/>
    <w:rsid w:val="41A82F2F"/>
    <w:rsid w:val="41AE3A22"/>
    <w:rsid w:val="41DA3550"/>
    <w:rsid w:val="41DB301D"/>
    <w:rsid w:val="41EA04CB"/>
    <w:rsid w:val="41EB126E"/>
    <w:rsid w:val="41ED2201"/>
    <w:rsid w:val="41F1137C"/>
    <w:rsid w:val="41F621E4"/>
    <w:rsid w:val="41F64ACE"/>
    <w:rsid w:val="41FA3B98"/>
    <w:rsid w:val="42014681"/>
    <w:rsid w:val="420473A6"/>
    <w:rsid w:val="420650D0"/>
    <w:rsid w:val="42073F46"/>
    <w:rsid w:val="42086425"/>
    <w:rsid w:val="420F2AC2"/>
    <w:rsid w:val="42104E96"/>
    <w:rsid w:val="421500DC"/>
    <w:rsid w:val="422660C2"/>
    <w:rsid w:val="42295E11"/>
    <w:rsid w:val="422D4436"/>
    <w:rsid w:val="42317D25"/>
    <w:rsid w:val="423621FB"/>
    <w:rsid w:val="423D41E1"/>
    <w:rsid w:val="425A27CE"/>
    <w:rsid w:val="425C1861"/>
    <w:rsid w:val="426717B8"/>
    <w:rsid w:val="4272466F"/>
    <w:rsid w:val="427E6CF3"/>
    <w:rsid w:val="42802253"/>
    <w:rsid w:val="42890D1D"/>
    <w:rsid w:val="42897C55"/>
    <w:rsid w:val="428A65E7"/>
    <w:rsid w:val="428D7AD8"/>
    <w:rsid w:val="429A077F"/>
    <w:rsid w:val="42A167A0"/>
    <w:rsid w:val="42A23EBE"/>
    <w:rsid w:val="42A45305"/>
    <w:rsid w:val="42A979EA"/>
    <w:rsid w:val="42D613C6"/>
    <w:rsid w:val="42EB570D"/>
    <w:rsid w:val="42F8550C"/>
    <w:rsid w:val="42FD7C91"/>
    <w:rsid w:val="43016F56"/>
    <w:rsid w:val="430265AE"/>
    <w:rsid w:val="432F64CF"/>
    <w:rsid w:val="43435377"/>
    <w:rsid w:val="434372F4"/>
    <w:rsid w:val="43452FFB"/>
    <w:rsid w:val="434E7946"/>
    <w:rsid w:val="436A743F"/>
    <w:rsid w:val="436B7331"/>
    <w:rsid w:val="436F672E"/>
    <w:rsid w:val="437B66E6"/>
    <w:rsid w:val="438A640D"/>
    <w:rsid w:val="439C3DDE"/>
    <w:rsid w:val="43A14E34"/>
    <w:rsid w:val="43A35A50"/>
    <w:rsid w:val="43AD6FD6"/>
    <w:rsid w:val="43B239A3"/>
    <w:rsid w:val="43C04D66"/>
    <w:rsid w:val="43C24E50"/>
    <w:rsid w:val="43D40DE1"/>
    <w:rsid w:val="43D73307"/>
    <w:rsid w:val="43D74940"/>
    <w:rsid w:val="43F431F1"/>
    <w:rsid w:val="44036420"/>
    <w:rsid w:val="4411316C"/>
    <w:rsid w:val="44224512"/>
    <w:rsid w:val="442964FE"/>
    <w:rsid w:val="442F5090"/>
    <w:rsid w:val="44307E88"/>
    <w:rsid w:val="44341AA4"/>
    <w:rsid w:val="44394A91"/>
    <w:rsid w:val="443F754F"/>
    <w:rsid w:val="44402A6C"/>
    <w:rsid w:val="444348C3"/>
    <w:rsid w:val="44515FEF"/>
    <w:rsid w:val="44583F99"/>
    <w:rsid w:val="446335BB"/>
    <w:rsid w:val="44816EF9"/>
    <w:rsid w:val="448737F4"/>
    <w:rsid w:val="448D373A"/>
    <w:rsid w:val="449D5769"/>
    <w:rsid w:val="44C07ADF"/>
    <w:rsid w:val="44D20E2D"/>
    <w:rsid w:val="44D40F04"/>
    <w:rsid w:val="44D65FDB"/>
    <w:rsid w:val="44E51D2D"/>
    <w:rsid w:val="450157F0"/>
    <w:rsid w:val="450217D1"/>
    <w:rsid w:val="450C4BB7"/>
    <w:rsid w:val="45163AEB"/>
    <w:rsid w:val="451F5CC3"/>
    <w:rsid w:val="452E187A"/>
    <w:rsid w:val="45360B7F"/>
    <w:rsid w:val="45391970"/>
    <w:rsid w:val="453A10EA"/>
    <w:rsid w:val="45402945"/>
    <w:rsid w:val="454163E3"/>
    <w:rsid w:val="45432841"/>
    <w:rsid w:val="454C10CA"/>
    <w:rsid w:val="455013A1"/>
    <w:rsid w:val="455D4CB2"/>
    <w:rsid w:val="45643C80"/>
    <w:rsid w:val="45734293"/>
    <w:rsid w:val="458155F0"/>
    <w:rsid w:val="458E3766"/>
    <w:rsid w:val="459116F8"/>
    <w:rsid w:val="45B27729"/>
    <w:rsid w:val="45B51E9E"/>
    <w:rsid w:val="45CE3AD9"/>
    <w:rsid w:val="45E20A9C"/>
    <w:rsid w:val="45E210A7"/>
    <w:rsid w:val="45E61CE4"/>
    <w:rsid w:val="45EE75CD"/>
    <w:rsid w:val="45F0496A"/>
    <w:rsid w:val="45F51593"/>
    <w:rsid w:val="45FF27F7"/>
    <w:rsid w:val="4601115B"/>
    <w:rsid w:val="46083AD4"/>
    <w:rsid w:val="46096319"/>
    <w:rsid w:val="461158FF"/>
    <w:rsid w:val="461B233D"/>
    <w:rsid w:val="461B4777"/>
    <w:rsid w:val="46212306"/>
    <w:rsid w:val="4622696F"/>
    <w:rsid w:val="462D0FE0"/>
    <w:rsid w:val="463154C6"/>
    <w:rsid w:val="463341A9"/>
    <w:rsid w:val="463829ED"/>
    <w:rsid w:val="46410259"/>
    <w:rsid w:val="4645158E"/>
    <w:rsid w:val="464B0AD6"/>
    <w:rsid w:val="46642209"/>
    <w:rsid w:val="466E3F81"/>
    <w:rsid w:val="46735C1D"/>
    <w:rsid w:val="46765D52"/>
    <w:rsid w:val="4680366A"/>
    <w:rsid w:val="46974768"/>
    <w:rsid w:val="46975FD4"/>
    <w:rsid w:val="46BE43A9"/>
    <w:rsid w:val="46C76EFC"/>
    <w:rsid w:val="46C814F8"/>
    <w:rsid w:val="46C83705"/>
    <w:rsid w:val="46CF452F"/>
    <w:rsid w:val="46D35255"/>
    <w:rsid w:val="46D44070"/>
    <w:rsid w:val="46E517FC"/>
    <w:rsid w:val="46F177AB"/>
    <w:rsid w:val="46FF2094"/>
    <w:rsid w:val="470110B5"/>
    <w:rsid w:val="470C4F72"/>
    <w:rsid w:val="471132E7"/>
    <w:rsid w:val="471A351E"/>
    <w:rsid w:val="47237868"/>
    <w:rsid w:val="47350738"/>
    <w:rsid w:val="47371C61"/>
    <w:rsid w:val="47657524"/>
    <w:rsid w:val="476E0BE6"/>
    <w:rsid w:val="477E1785"/>
    <w:rsid w:val="47803410"/>
    <w:rsid w:val="47825C79"/>
    <w:rsid w:val="478268B2"/>
    <w:rsid w:val="47832643"/>
    <w:rsid w:val="47855411"/>
    <w:rsid w:val="47872850"/>
    <w:rsid w:val="47901646"/>
    <w:rsid w:val="479C6C70"/>
    <w:rsid w:val="479F318E"/>
    <w:rsid w:val="47A03E89"/>
    <w:rsid w:val="47A65332"/>
    <w:rsid w:val="47A95F6A"/>
    <w:rsid w:val="47B43F52"/>
    <w:rsid w:val="47B656EC"/>
    <w:rsid w:val="47B736A8"/>
    <w:rsid w:val="47B9554B"/>
    <w:rsid w:val="47D16893"/>
    <w:rsid w:val="47D665DA"/>
    <w:rsid w:val="47D77DC9"/>
    <w:rsid w:val="47F3410B"/>
    <w:rsid w:val="47FE7268"/>
    <w:rsid w:val="480134E7"/>
    <w:rsid w:val="48061898"/>
    <w:rsid w:val="48150558"/>
    <w:rsid w:val="481871CC"/>
    <w:rsid w:val="48203344"/>
    <w:rsid w:val="483B2517"/>
    <w:rsid w:val="484E7E38"/>
    <w:rsid w:val="485856FF"/>
    <w:rsid w:val="485C3CD6"/>
    <w:rsid w:val="48654F70"/>
    <w:rsid w:val="48761432"/>
    <w:rsid w:val="488700B1"/>
    <w:rsid w:val="48951969"/>
    <w:rsid w:val="48A939ED"/>
    <w:rsid w:val="48AF57DE"/>
    <w:rsid w:val="48B8488A"/>
    <w:rsid w:val="48B8561E"/>
    <w:rsid w:val="48BF7C79"/>
    <w:rsid w:val="48D12738"/>
    <w:rsid w:val="48DF39E7"/>
    <w:rsid w:val="490E44E1"/>
    <w:rsid w:val="4921064C"/>
    <w:rsid w:val="492934FA"/>
    <w:rsid w:val="492A4771"/>
    <w:rsid w:val="492D31BE"/>
    <w:rsid w:val="49340190"/>
    <w:rsid w:val="494A3F08"/>
    <w:rsid w:val="494B442B"/>
    <w:rsid w:val="495F1A15"/>
    <w:rsid w:val="49603E35"/>
    <w:rsid w:val="49651715"/>
    <w:rsid w:val="496A51B7"/>
    <w:rsid w:val="49761CD1"/>
    <w:rsid w:val="498F4BD2"/>
    <w:rsid w:val="499220D5"/>
    <w:rsid w:val="499536AC"/>
    <w:rsid w:val="499D30F0"/>
    <w:rsid w:val="49B23A4E"/>
    <w:rsid w:val="49B51D29"/>
    <w:rsid w:val="49BA506C"/>
    <w:rsid w:val="49C606DB"/>
    <w:rsid w:val="49CC0253"/>
    <w:rsid w:val="49D55E29"/>
    <w:rsid w:val="49DC3B1C"/>
    <w:rsid w:val="49E40DAD"/>
    <w:rsid w:val="49E52A8B"/>
    <w:rsid w:val="49E8122F"/>
    <w:rsid w:val="49EE52A6"/>
    <w:rsid w:val="49F77899"/>
    <w:rsid w:val="49F8181E"/>
    <w:rsid w:val="49FC35C4"/>
    <w:rsid w:val="4A093E29"/>
    <w:rsid w:val="4A0E796D"/>
    <w:rsid w:val="4A1416F7"/>
    <w:rsid w:val="4A1557CC"/>
    <w:rsid w:val="4A415E13"/>
    <w:rsid w:val="4A493E5C"/>
    <w:rsid w:val="4A4C3450"/>
    <w:rsid w:val="4A517180"/>
    <w:rsid w:val="4A6366AA"/>
    <w:rsid w:val="4A792050"/>
    <w:rsid w:val="4A7D3C44"/>
    <w:rsid w:val="4A7E0EF8"/>
    <w:rsid w:val="4A803A9D"/>
    <w:rsid w:val="4A826A9A"/>
    <w:rsid w:val="4A895F7F"/>
    <w:rsid w:val="4A991715"/>
    <w:rsid w:val="4AAC326E"/>
    <w:rsid w:val="4AC526E8"/>
    <w:rsid w:val="4AC70BAE"/>
    <w:rsid w:val="4AC77343"/>
    <w:rsid w:val="4AD834E7"/>
    <w:rsid w:val="4ADF3BDC"/>
    <w:rsid w:val="4AE144B0"/>
    <w:rsid w:val="4AE26D3E"/>
    <w:rsid w:val="4AE874A0"/>
    <w:rsid w:val="4AFB17DD"/>
    <w:rsid w:val="4AFF6B94"/>
    <w:rsid w:val="4B046792"/>
    <w:rsid w:val="4B286A39"/>
    <w:rsid w:val="4B2A28C6"/>
    <w:rsid w:val="4B2B1EF4"/>
    <w:rsid w:val="4B3E2444"/>
    <w:rsid w:val="4B411CE4"/>
    <w:rsid w:val="4B4E03FF"/>
    <w:rsid w:val="4B4F7586"/>
    <w:rsid w:val="4B501CCB"/>
    <w:rsid w:val="4B516BA1"/>
    <w:rsid w:val="4B6F59B0"/>
    <w:rsid w:val="4B731475"/>
    <w:rsid w:val="4B786A2B"/>
    <w:rsid w:val="4B85132F"/>
    <w:rsid w:val="4B8B0C4E"/>
    <w:rsid w:val="4B8E1D59"/>
    <w:rsid w:val="4B9C20C5"/>
    <w:rsid w:val="4B9C2C36"/>
    <w:rsid w:val="4BA73459"/>
    <w:rsid w:val="4BB13173"/>
    <w:rsid w:val="4BB2024E"/>
    <w:rsid w:val="4BCE56FB"/>
    <w:rsid w:val="4BD112FE"/>
    <w:rsid w:val="4BD83BB4"/>
    <w:rsid w:val="4BF50033"/>
    <w:rsid w:val="4BF6611D"/>
    <w:rsid w:val="4C060382"/>
    <w:rsid w:val="4C073A82"/>
    <w:rsid w:val="4C1D3E92"/>
    <w:rsid w:val="4C2465D9"/>
    <w:rsid w:val="4C340713"/>
    <w:rsid w:val="4C375C38"/>
    <w:rsid w:val="4C4C4671"/>
    <w:rsid w:val="4C54409A"/>
    <w:rsid w:val="4C7366F1"/>
    <w:rsid w:val="4C7D1408"/>
    <w:rsid w:val="4C7E0B41"/>
    <w:rsid w:val="4C8C4119"/>
    <w:rsid w:val="4C937F6E"/>
    <w:rsid w:val="4C9C5C23"/>
    <w:rsid w:val="4C9E04D4"/>
    <w:rsid w:val="4CA317CA"/>
    <w:rsid w:val="4CAF4BE3"/>
    <w:rsid w:val="4CB167C9"/>
    <w:rsid w:val="4CC512E9"/>
    <w:rsid w:val="4CC95E14"/>
    <w:rsid w:val="4CD1354D"/>
    <w:rsid w:val="4CD47E12"/>
    <w:rsid w:val="4CE76F22"/>
    <w:rsid w:val="4CEF59A1"/>
    <w:rsid w:val="4D1F13DD"/>
    <w:rsid w:val="4D4A42F1"/>
    <w:rsid w:val="4D4B27A6"/>
    <w:rsid w:val="4D4D381D"/>
    <w:rsid w:val="4D4E1AA9"/>
    <w:rsid w:val="4D654745"/>
    <w:rsid w:val="4D731983"/>
    <w:rsid w:val="4D741160"/>
    <w:rsid w:val="4D790CA7"/>
    <w:rsid w:val="4D7A2338"/>
    <w:rsid w:val="4D820FA6"/>
    <w:rsid w:val="4D94101F"/>
    <w:rsid w:val="4D9578E0"/>
    <w:rsid w:val="4DA72D38"/>
    <w:rsid w:val="4DA96084"/>
    <w:rsid w:val="4DC50F07"/>
    <w:rsid w:val="4DDB4740"/>
    <w:rsid w:val="4DE00F1A"/>
    <w:rsid w:val="4DEC19B0"/>
    <w:rsid w:val="4DF638F6"/>
    <w:rsid w:val="4DFF68EB"/>
    <w:rsid w:val="4E063E19"/>
    <w:rsid w:val="4E123417"/>
    <w:rsid w:val="4E1F7F6F"/>
    <w:rsid w:val="4E291846"/>
    <w:rsid w:val="4E2E2D77"/>
    <w:rsid w:val="4E2F1A52"/>
    <w:rsid w:val="4E2F6181"/>
    <w:rsid w:val="4E31224F"/>
    <w:rsid w:val="4E4333EA"/>
    <w:rsid w:val="4E4C1A96"/>
    <w:rsid w:val="4E54457A"/>
    <w:rsid w:val="4E555E44"/>
    <w:rsid w:val="4E677747"/>
    <w:rsid w:val="4E6A0A8E"/>
    <w:rsid w:val="4E8B73AF"/>
    <w:rsid w:val="4E8D409C"/>
    <w:rsid w:val="4E8E5819"/>
    <w:rsid w:val="4E932EE9"/>
    <w:rsid w:val="4E944882"/>
    <w:rsid w:val="4E9D5BF2"/>
    <w:rsid w:val="4EAD2F52"/>
    <w:rsid w:val="4EB6074E"/>
    <w:rsid w:val="4EBC1B79"/>
    <w:rsid w:val="4EDF07B0"/>
    <w:rsid w:val="4EE21216"/>
    <w:rsid w:val="4EEB1473"/>
    <w:rsid w:val="4EED4F68"/>
    <w:rsid w:val="4EFA5988"/>
    <w:rsid w:val="4F0653F3"/>
    <w:rsid w:val="4F0A066F"/>
    <w:rsid w:val="4F210101"/>
    <w:rsid w:val="4F395C6D"/>
    <w:rsid w:val="4F4678CA"/>
    <w:rsid w:val="4F5763F8"/>
    <w:rsid w:val="4F623A6A"/>
    <w:rsid w:val="4F7477A4"/>
    <w:rsid w:val="4F81153E"/>
    <w:rsid w:val="4F88740F"/>
    <w:rsid w:val="4F8A2D0C"/>
    <w:rsid w:val="4F930ADD"/>
    <w:rsid w:val="4F9C6A41"/>
    <w:rsid w:val="4FA3392A"/>
    <w:rsid w:val="4FB02BF8"/>
    <w:rsid w:val="4FBF7DF9"/>
    <w:rsid w:val="4FCE2E20"/>
    <w:rsid w:val="4FD635DD"/>
    <w:rsid w:val="4FD8274E"/>
    <w:rsid w:val="4FD85CC5"/>
    <w:rsid w:val="4FE01CBD"/>
    <w:rsid w:val="4FE971AC"/>
    <w:rsid w:val="4FEB6160"/>
    <w:rsid w:val="4FF97BF5"/>
    <w:rsid w:val="4FFB788C"/>
    <w:rsid w:val="4FFD2954"/>
    <w:rsid w:val="500240CA"/>
    <w:rsid w:val="50036947"/>
    <w:rsid w:val="501F6407"/>
    <w:rsid w:val="50261649"/>
    <w:rsid w:val="50392917"/>
    <w:rsid w:val="5052402E"/>
    <w:rsid w:val="506A0FEC"/>
    <w:rsid w:val="50983F64"/>
    <w:rsid w:val="50A157F4"/>
    <w:rsid w:val="50A3094D"/>
    <w:rsid w:val="50B706E0"/>
    <w:rsid w:val="50BC44F0"/>
    <w:rsid w:val="50BC6B33"/>
    <w:rsid w:val="50C121B1"/>
    <w:rsid w:val="50D3512D"/>
    <w:rsid w:val="50DE4C28"/>
    <w:rsid w:val="50EE1EC9"/>
    <w:rsid w:val="50EE1F04"/>
    <w:rsid w:val="50EF0994"/>
    <w:rsid w:val="50F75878"/>
    <w:rsid w:val="50FC591A"/>
    <w:rsid w:val="510600D3"/>
    <w:rsid w:val="511078C8"/>
    <w:rsid w:val="51115F55"/>
    <w:rsid w:val="51222A9D"/>
    <w:rsid w:val="512367DC"/>
    <w:rsid w:val="5126079F"/>
    <w:rsid w:val="512C4424"/>
    <w:rsid w:val="5146655D"/>
    <w:rsid w:val="5150745C"/>
    <w:rsid w:val="515142B9"/>
    <w:rsid w:val="51595620"/>
    <w:rsid w:val="516D5769"/>
    <w:rsid w:val="516E43F1"/>
    <w:rsid w:val="517402D7"/>
    <w:rsid w:val="51756927"/>
    <w:rsid w:val="5176560C"/>
    <w:rsid w:val="517E45C0"/>
    <w:rsid w:val="518F0C70"/>
    <w:rsid w:val="51A406AD"/>
    <w:rsid w:val="51AA4B06"/>
    <w:rsid w:val="51CA1429"/>
    <w:rsid w:val="51CD0207"/>
    <w:rsid w:val="51D231AF"/>
    <w:rsid w:val="51DB4820"/>
    <w:rsid w:val="51E349E8"/>
    <w:rsid w:val="51F47C4D"/>
    <w:rsid w:val="51FD3BE9"/>
    <w:rsid w:val="51FE2D15"/>
    <w:rsid w:val="52045FB9"/>
    <w:rsid w:val="520E3FA7"/>
    <w:rsid w:val="52127D01"/>
    <w:rsid w:val="52230358"/>
    <w:rsid w:val="522E1952"/>
    <w:rsid w:val="522E6B04"/>
    <w:rsid w:val="523147F7"/>
    <w:rsid w:val="5242570F"/>
    <w:rsid w:val="5246652C"/>
    <w:rsid w:val="524E71D3"/>
    <w:rsid w:val="52591CB6"/>
    <w:rsid w:val="52611A28"/>
    <w:rsid w:val="526C4641"/>
    <w:rsid w:val="526E4A3F"/>
    <w:rsid w:val="52725BD8"/>
    <w:rsid w:val="52776D05"/>
    <w:rsid w:val="5288411D"/>
    <w:rsid w:val="528D0E80"/>
    <w:rsid w:val="52973201"/>
    <w:rsid w:val="529D6D3B"/>
    <w:rsid w:val="52A2160F"/>
    <w:rsid w:val="52A35006"/>
    <w:rsid w:val="52A352BA"/>
    <w:rsid w:val="52A62FA2"/>
    <w:rsid w:val="52B65EEE"/>
    <w:rsid w:val="52C75B5E"/>
    <w:rsid w:val="52C874A7"/>
    <w:rsid w:val="52CB51AC"/>
    <w:rsid w:val="52D215D5"/>
    <w:rsid w:val="52E12D9D"/>
    <w:rsid w:val="52FD44F1"/>
    <w:rsid w:val="53006B07"/>
    <w:rsid w:val="530F5799"/>
    <w:rsid w:val="531E2301"/>
    <w:rsid w:val="53241223"/>
    <w:rsid w:val="532E5908"/>
    <w:rsid w:val="532F0EDA"/>
    <w:rsid w:val="53326592"/>
    <w:rsid w:val="534E7804"/>
    <w:rsid w:val="535133DA"/>
    <w:rsid w:val="53547B0B"/>
    <w:rsid w:val="5366066F"/>
    <w:rsid w:val="536C3B7B"/>
    <w:rsid w:val="53746DE9"/>
    <w:rsid w:val="537846FB"/>
    <w:rsid w:val="537B44B7"/>
    <w:rsid w:val="537F5F0D"/>
    <w:rsid w:val="538B19AE"/>
    <w:rsid w:val="539616E1"/>
    <w:rsid w:val="53A60FCD"/>
    <w:rsid w:val="53A95D8E"/>
    <w:rsid w:val="53B76FEA"/>
    <w:rsid w:val="53B8787E"/>
    <w:rsid w:val="53C20783"/>
    <w:rsid w:val="53C57EE7"/>
    <w:rsid w:val="53DC10FA"/>
    <w:rsid w:val="53DC495C"/>
    <w:rsid w:val="53DF05A0"/>
    <w:rsid w:val="53E9581D"/>
    <w:rsid w:val="53F83BDA"/>
    <w:rsid w:val="54021DDB"/>
    <w:rsid w:val="541F1139"/>
    <w:rsid w:val="5422091F"/>
    <w:rsid w:val="542A3737"/>
    <w:rsid w:val="542D50A4"/>
    <w:rsid w:val="5433460A"/>
    <w:rsid w:val="5435127D"/>
    <w:rsid w:val="544D2A61"/>
    <w:rsid w:val="544E607C"/>
    <w:rsid w:val="5457495C"/>
    <w:rsid w:val="546B5234"/>
    <w:rsid w:val="546D7102"/>
    <w:rsid w:val="547124F9"/>
    <w:rsid w:val="54741114"/>
    <w:rsid w:val="54755DEC"/>
    <w:rsid w:val="54776AAE"/>
    <w:rsid w:val="547C0FA4"/>
    <w:rsid w:val="547D1769"/>
    <w:rsid w:val="5480589E"/>
    <w:rsid w:val="54842548"/>
    <w:rsid w:val="54B23357"/>
    <w:rsid w:val="54BE41EC"/>
    <w:rsid w:val="54C139B6"/>
    <w:rsid w:val="54ED39E9"/>
    <w:rsid w:val="54F11D6B"/>
    <w:rsid w:val="54F557F1"/>
    <w:rsid w:val="54F853D4"/>
    <w:rsid w:val="54FE244C"/>
    <w:rsid w:val="54FF18C4"/>
    <w:rsid w:val="55007072"/>
    <w:rsid w:val="5509192B"/>
    <w:rsid w:val="55222703"/>
    <w:rsid w:val="552915C4"/>
    <w:rsid w:val="552973FA"/>
    <w:rsid w:val="55475C9B"/>
    <w:rsid w:val="554B3E01"/>
    <w:rsid w:val="554F6D20"/>
    <w:rsid w:val="555527A2"/>
    <w:rsid w:val="555A5E0B"/>
    <w:rsid w:val="555B7B39"/>
    <w:rsid w:val="55691A34"/>
    <w:rsid w:val="55694275"/>
    <w:rsid w:val="556F3794"/>
    <w:rsid w:val="55840C55"/>
    <w:rsid w:val="5586406A"/>
    <w:rsid w:val="55873199"/>
    <w:rsid w:val="558E40E8"/>
    <w:rsid w:val="55983C3F"/>
    <w:rsid w:val="559C492B"/>
    <w:rsid w:val="559E5E9F"/>
    <w:rsid w:val="55AA2C07"/>
    <w:rsid w:val="55B005DA"/>
    <w:rsid w:val="55D128EA"/>
    <w:rsid w:val="55D47DC2"/>
    <w:rsid w:val="55D52EE8"/>
    <w:rsid w:val="55DE764F"/>
    <w:rsid w:val="55E001D5"/>
    <w:rsid w:val="55EC2D4A"/>
    <w:rsid w:val="55F24B4D"/>
    <w:rsid w:val="55FA3181"/>
    <w:rsid w:val="55FF2540"/>
    <w:rsid w:val="560D1246"/>
    <w:rsid w:val="56126717"/>
    <w:rsid w:val="56150CC3"/>
    <w:rsid w:val="56193B60"/>
    <w:rsid w:val="56233E0C"/>
    <w:rsid w:val="56276143"/>
    <w:rsid w:val="563E4A8B"/>
    <w:rsid w:val="56400146"/>
    <w:rsid w:val="565637DC"/>
    <w:rsid w:val="566B0A90"/>
    <w:rsid w:val="56724CBE"/>
    <w:rsid w:val="567523E7"/>
    <w:rsid w:val="567B40E9"/>
    <w:rsid w:val="568B3821"/>
    <w:rsid w:val="568C1EFC"/>
    <w:rsid w:val="56963E13"/>
    <w:rsid w:val="5696525E"/>
    <w:rsid w:val="56972650"/>
    <w:rsid w:val="569A4C1A"/>
    <w:rsid w:val="56A73DD6"/>
    <w:rsid w:val="56A77136"/>
    <w:rsid w:val="56B96209"/>
    <w:rsid w:val="56EC59D1"/>
    <w:rsid w:val="56EE726F"/>
    <w:rsid w:val="56FA15CA"/>
    <w:rsid w:val="57071D44"/>
    <w:rsid w:val="57122191"/>
    <w:rsid w:val="5720570F"/>
    <w:rsid w:val="57240411"/>
    <w:rsid w:val="57246792"/>
    <w:rsid w:val="57251DE4"/>
    <w:rsid w:val="572E0CFE"/>
    <w:rsid w:val="57396D34"/>
    <w:rsid w:val="57410932"/>
    <w:rsid w:val="57546704"/>
    <w:rsid w:val="576C0A42"/>
    <w:rsid w:val="576E0817"/>
    <w:rsid w:val="57705D43"/>
    <w:rsid w:val="577F25EC"/>
    <w:rsid w:val="578A2DC6"/>
    <w:rsid w:val="5791277B"/>
    <w:rsid w:val="57A05A0C"/>
    <w:rsid w:val="57A81A0B"/>
    <w:rsid w:val="57C3682A"/>
    <w:rsid w:val="57C645A7"/>
    <w:rsid w:val="57CE1618"/>
    <w:rsid w:val="57E92D42"/>
    <w:rsid w:val="57F1372B"/>
    <w:rsid w:val="57FD00D2"/>
    <w:rsid w:val="5803498E"/>
    <w:rsid w:val="58110290"/>
    <w:rsid w:val="581B213B"/>
    <w:rsid w:val="582113CD"/>
    <w:rsid w:val="583A4B80"/>
    <w:rsid w:val="58422B8C"/>
    <w:rsid w:val="584960AA"/>
    <w:rsid w:val="58531ED5"/>
    <w:rsid w:val="58584C0E"/>
    <w:rsid w:val="58660B6B"/>
    <w:rsid w:val="586F7714"/>
    <w:rsid w:val="5888104C"/>
    <w:rsid w:val="588E78BA"/>
    <w:rsid w:val="58A77926"/>
    <w:rsid w:val="58B46362"/>
    <w:rsid w:val="58B53F2F"/>
    <w:rsid w:val="58B95E60"/>
    <w:rsid w:val="58BD25BD"/>
    <w:rsid w:val="58C97FE3"/>
    <w:rsid w:val="58D402D9"/>
    <w:rsid w:val="58DD2CD7"/>
    <w:rsid w:val="58DF03DA"/>
    <w:rsid w:val="58EA16BC"/>
    <w:rsid w:val="58EC648C"/>
    <w:rsid w:val="591E70CB"/>
    <w:rsid w:val="5930268B"/>
    <w:rsid w:val="593B37C7"/>
    <w:rsid w:val="593E0508"/>
    <w:rsid w:val="59513519"/>
    <w:rsid w:val="59533309"/>
    <w:rsid w:val="59597BA4"/>
    <w:rsid w:val="59606454"/>
    <w:rsid w:val="59706590"/>
    <w:rsid w:val="59707F25"/>
    <w:rsid w:val="59784A65"/>
    <w:rsid w:val="597B7D2E"/>
    <w:rsid w:val="597D7893"/>
    <w:rsid w:val="59833702"/>
    <w:rsid w:val="598508E5"/>
    <w:rsid w:val="598B1A04"/>
    <w:rsid w:val="598B2BDF"/>
    <w:rsid w:val="598C6E7C"/>
    <w:rsid w:val="59904C0E"/>
    <w:rsid w:val="59984630"/>
    <w:rsid w:val="599C4711"/>
    <w:rsid w:val="59A05662"/>
    <w:rsid w:val="59B66ED0"/>
    <w:rsid w:val="59B7723D"/>
    <w:rsid w:val="59BF076A"/>
    <w:rsid w:val="59CC6974"/>
    <w:rsid w:val="59CF3D8A"/>
    <w:rsid w:val="59E92AD0"/>
    <w:rsid w:val="59E941BF"/>
    <w:rsid w:val="59EA1F22"/>
    <w:rsid w:val="5A0041AF"/>
    <w:rsid w:val="5A114F3E"/>
    <w:rsid w:val="5A2C04BE"/>
    <w:rsid w:val="5A2E3EE0"/>
    <w:rsid w:val="5A3E02B8"/>
    <w:rsid w:val="5A463971"/>
    <w:rsid w:val="5A5C713C"/>
    <w:rsid w:val="5A5E26A0"/>
    <w:rsid w:val="5A604755"/>
    <w:rsid w:val="5A617E7A"/>
    <w:rsid w:val="5A6A0AD2"/>
    <w:rsid w:val="5A71550F"/>
    <w:rsid w:val="5A7652BE"/>
    <w:rsid w:val="5A83508E"/>
    <w:rsid w:val="5A8A17EF"/>
    <w:rsid w:val="5A9A3314"/>
    <w:rsid w:val="5AA423DC"/>
    <w:rsid w:val="5AB06D2B"/>
    <w:rsid w:val="5AB52881"/>
    <w:rsid w:val="5AB628EA"/>
    <w:rsid w:val="5AB95575"/>
    <w:rsid w:val="5AC552DB"/>
    <w:rsid w:val="5AC71AA9"/>
    <w:rsid w:val="5AC92760"/>
    <w:rsid w:val="5ACA3787"/>
    <w:rsid w:val="5ACF4BB7"/>
    <w:rsid w:val="5AD52464"/>
    <w:rsid w:val="5ADC6C5F"/>
    <w:rsid w:val="5AE33BBC"/>
    <w:rsid w:val="5AE34BFB"/>
    <w:rsid w:val="5B031F1B"/>
    <w:rsid w:val="5B134DBC"/>
    <w:rsid w:val="5B233F52"/>
    <w:rsid w:val="5B3778EA"/>
    <w:rsid w:val="5B3F0C56"/>
    <w:rsid w:val="5B451A26"/>
    <w:rsid w:val="5B5770C1"/>
    <w:rsid w:val="5B613BCE"/>
    <w:rsid w:val="5B636FFD"/>
    <w:rsid w:val="5B6B4A86"/>
    <w:rsid w:val="5B6D40AC"/>
    <w:rsid w:val="5B6E1969"/>
    <w:rsid w:val="5B760D91"/>
    <w:rsid w:val="5B7B625F"/>
    <w:rsid w:val="5B8B13A5"/>
    <w:rsid w:val="5BAF0B5F"/>
    <w:rsid w:val="5BB2417A"/>
    <w:rsid w:val="5BB8503E"/>
    <w:rsid w:val="5BC8186B"/>
    <w:rsid w:val="5BC94766"/>
    <w:rsid w:val="5BCF3164"/>
    <w:rsid w:val="5BD07558"/>
    <w:rsid w:val="5BD857D4"/>
    <w:rsid w:val="5BDD58BE"/>
    <w:rsid w:val="5BDE53B9"/>
    <w:rsid w:val="5BF27D70"/>
    <w:rsid w:val="5BF53075"/>
    <w:rsid w:val="5C086F55"/>
    <w:rsid w:val="5C2B0320"/>
    <w:rsid w:val="5C385582"/>
    <w:rsid w:val="5C5D21AA"/>
    <w:rsid w:val="5C620EF2"/>
    <w:rsid w:val="5C684966"/>
    <w:rsid w:val="5C704350"/>
    <w:rsid w:val="5C885F58"/>
    <w:rsid w:val="5C8A349B"/>
    <w:rsid w:val="5C8C0AA4"/>
    <w:rsid w:val="5C9056AF"/>
    <w:rsid w:val="5C9D22F4"/>
    <w:rsid w:val="5CA01736"/>
    <w:rsid w:val="5CB01E17"/>
    <w:rsid w:val="5CB61156"/>
    <w:rsid w:val="5CCA3D76"/>
    <w:rsid w:val="5CCE4B8B"/>
    <w:rsid w:val="5CD30A53"/>
    <w:rsid w:val="5CDC401D"/>
    <w:rsid w:val="5CF17DF3"/>
    <w:rsid w:val="5CFA6C06"/>
    <w:rsid w:val="5D0C420F"/>
    <w:rsid w:val="5D232517"/>
    <w:rsid w:val="5D264E1F"/>
    <w:rsid w:val="5D302C7B"/>
    <w:rsid w:val="5D406B97"/>
    <w:rsid w:val="5D524E43"/>
    <w:rsid w:val="5D556453"/>
    <w:rsid w:val="5D592089"/>
    <w:rsid w:val="5D6817EA"/>
    <w:rsid w:val="5D7077D9"/>
    <w:rsid w:val="5D980D9C"/>
    <w:rsid w:val="5DA3064F"/>
    <w:rsid w:val="5DAB7F7B"/>
    <w:rsid w:val="5DB4101C"/>
    <w:rsid w:val="5DBC246C"/>
    <w:rsid w:val="5DBE218F"/>
    <w:rsid w:val="5DC04D4E"/>
    <w:rsid w:val="5DC071DB"/>
    <w:rsid w:val="5DC1537E"/>
    <w:rsid w:val="5DD9054C"/>
    <w:rsid w:val="5DD9572C"/>
    <w:rsid w:val="5DDC1480"/>
    <w:rsid w:val="5DEB7C9B"/>
    <w:rsid w:val="5DEF2F3B"/>
    <w:rsid w:val="5DF94989"/>
    <w:rsid w:val="5E226801"/>
    <w:rsid w:val="5E24034B"/>
    <w:rsid w:val="5E273BDE"/>
    <w:rsid w:val="5E28679C"/>
    <w:rsid w:val="5E29589E"/>
    <w:rsid w:val="5E29751E"/>
    <w:rsid w:val="5E310CF6"/>
    <w:rsid w:val="5E365851"/>
    <w:rsid w:val="5E3D3199"/>
    <w:rsid w:val="5E442206"/>
    <w:rsid w:val="5E54389B"/>
    <w:rsid w:val="5E5D6150"/>
    <w:rsid w:val="5E5F20D3"/>
    <w:rsid w:val="5E67556C"/>
    <w:rsid w:val="5E95150A"/>
    <w:rsid w:val="5EA80E54"/>
    <w:rsid w:val="5EB869FB"/>
    <w:rsid w:val="5EC111B1"/>
    <w:rsid w:val="5ED066CF"/>
    <w:rsid w:val="5ED33F6A"/>
    <w:rsid w:val="5ED805F9"/>
    <w:rsid w:val="5EE324E9"/>
    <w:rsid w:val="5EFA63FC"/>
    <w:rsid w:val="5EFF6829"/>
    <w:rsid w:val="5F030864"/>
    <w:rsid w:val="5F032E4E"/>
    <w:rsid w:val="5F1A6982"/>
    <w:rsid w:val="5F2B593C"/>
    <w:rsid w:val="5F321EB3"/>
    <w:rsid w:val="5F327F16"/>
    <w:rsid w:val="5F3E00CC"/>
    <w:rsid w:val="5F4D2280"/>
    <w:rsid w:val="5F8507D6"/>
    <w:rsid w:val="5F972E44"/>
    <w:rsid w:val="5F9761C2"/>
    <w:rsid w:val="5FC32C79"/>
    <w:rsid w:val="5FCD2354"/>
    <w:rsid w:val="5FD65523"/>
    <w:rsid w:val="5FD94E08"/>
    <w:rsid w:val="5FDF463E"/>
    <w:rsid w:val="5FE63DA0"/>
    <w:rsid w:val="5FE73324"/>
    <w:rsid w:val="5FEA0D36"/>
    <w:rsid w:val="5FED373F"/>
    <w:rsid w:val="5FFD46F5"/>
    <w:rsid w:val="60050B0E"/>
    <w:rsid w:val="600F0970"/>
    <w:rsid w:val="60171AF7"/>
    <w:rsid w:val="602139E7"/>
    <w:rsid w:val="6026186F"/>
    <w:rsid w:val="602F04A2"/>
    <w:rsid w:val="604B349C"/>
    <w:rsid w:val="605F0465"/>
    <w:rsid w:val="60601965"/>
    <w:rsid w:val="60831DD5"/>
    <w:rsid w:val="6088727C"/>
    <w:rsid w:val="60910C34"/>
    <w:rsid w:val="60986D7F"/>
    <w:rsid w:val="60A04F67"/>
    <w:rsid w:val="60A55E18"/>
    <w:rsid w:val="60A80284"/>
    <w:rsid w:val="60AB6E21"/>
    <w:rsid w:val="60BA7149"/>
    <w:rsid w:val="60C27991"/>
    <w:rsid w:val="60CA5FAB"/>
    <w:rsid w:val="60F61926"/>
    <w:rsid w:val="61074A54"/>
    <w:rsid w:val="610A7D46"/>
    <w:rsid w:val="611F409B"/>
    <w:rsid w:val="61236F67"/>
    <w:rsid w:val="6133230C"/>
    <w:rsid w:val="6134246B"/>
    <w:rsid w:val="61440162"/>
    <w:rsid w:val="61495783"/>
    <w:rsid w:val="614F326B"/>
    <w:rsid w:val="61543F30"/>
    <w:rsid w:val="61574301"/>
    <w:rsid w:val="615D6280"/>
    <w:rsid w:val="616468E5"/>
    <w:rsid w:val="616C2DA5"/>
    <w:rsid w:val="616E58F6"/>
    <w:rsid w:val="6172438D"/>
    <w:rsid w:val="618201C9"/>
    <w:rsid w:val="619137C9"/>
    <w:rsid w:val="619976CC"/>
    <w:rsid w:val="61A2049F"/>
    <w:rsid w:val="61A344E2"/>
    <w:rsid w:val="61A746D8"/>
    <w:rsid w:val="61B039CB"/>
    <w:rsid w:val="61D03F61"/>
    <w:rsid w:val="61D438BA"/>
    <w:rsid w:val="61E008BB"/>
    <w:rsid w:val="61E90AD1"/>
    <w:rsid w:val="61EF43B1"/>
    <w:rsid w:val="61FB1F87"/>
    <w:rsid w:val="621A5241"/>
    <w:rsid w:val="622340A1"/>
    <w:rsid w:val="622D286C"/>
    <w:rsid w:val="62377B88"/>
    <w:rsid w:val="62532776"/>
    <w:rsid w:val="62567F5A"/>
    <w:rsid w:val="625C4D1F"/>
    <w:rsid w:val="62670CF5"/>
    <w:rsid w:val="62725E08"/>
    <w:rsid w:val="62762634"/>
    <w:rsid w:val="627E0E15"/>
    <w:rsid w:val="62805E4B"/>
    <w:rsid w:val="628F27E0"/>
    <w:rsid w:val="628F4BE2"/>
    <w:rsid w:val="629123B3"/>
    <w:rsid w:val="62A27505"/>
    <w:rsid w:val="62BF5BF7"/>
    <w:rsid w:val="62C4009E"/>
    <w:rsid w:val="62CE2F89"/>
    <w:rsid w:val="62D06544"/>
    <w:rsid w:val="62E35521"/>
    <w:rsid w:val="62E556EA"/>
    <w:rsid w:val="62EB4F1A"/>
    <w:rsid w:val="62F430AA"/>
    <w:rsid w:val="63185F33"/>
    <w:rsid w:val="63204C0C"/>
    <w:rsid w:val="63216C14"/>
    <w:rsid w:val="63234AA4"/>
    <w:rsid w:val="632C4B8C"/>
    <w:rsid w:val="63301D0C"/>
    <w:rsid w:val="63341E50"/>
    <w:rsid w:val="6335147E"/>
    <w:rsid w:val="635043C0"/>
    <w:rsid w:val="63554271"/>
    <w:rsid w:val="636B3B73"/>
    <w:rsid w:val="63707B9A"/>
    <w:rsid w:val="638B4A2D"/>
    <w:rsid w:val="639F7EC8"/>
    <w:rsid w:val="63AF4E81"/>
    <w:rsid w:val="63B03407"/>
    <w:rsid w:val="63B62447"/>
    <w:rsid w:val="63B82FE0"/>
    <w:rsid w:val="63CB6432"/>
    <w:rsid w:val="63D24F81"/>
    <w:rsid w:val="63D44836"/>
    <w:rsid w:val="63E32E53"/>
    <w:rsid w:val="63E62D50"/>
    <w:rsid w:val="63ED2F2E"/>
    <w:rsid w:val="63EE0D6B"/>
    <w:rsid w:val="64086B15"/>
    <w:rsid w:val="64146EB9"/>
    <w:rsid w:val="641667BC"/>
    <w:rsid w:val="642D1651"/>
    <w:rsid w:val="64307E98"/>
    <w:rsid w:val="64322AAB"/>
    <w:rsid w:val="64345467"/>
    <w:rsid w:val="643B7165"/>
    <w:rsid w:val="643F7318"/>
    <w:rsid w:val="645979D4"/>
    <w:rsid w:val="64655487"/>
    <w:rsid w:val="64657589"/>
    <w:rsid w:val="64754652"/>
    <w:rsid w:val="6476039D"/>
    <w:rsid w:val="64807B17"/>
    <w:rsid w:val="64837CEA"/>
    <w:rsid w:val="64934B46"/>
    <w:rsid w:val="64B60F71"/>
    <w:rsid w:val="64E75CC6"/>
    <w:rsid w:val="64E80C08"/>
    <w:rsid w:val="64EF5EAF"/>
    <w:rsid w:val="64F31ED7"/>
    <w:rsid w:val="651856D8"/>
    <w:rsid w:val="651A1297"/>
    <w:rsid w:val="65201838"/>
    <w:rsid w:val="65295DFA"/>
    <w:rsid w:val="652D3049"/>
    <w:rsid w:val="652D6659"/>
    <w:rsid w:val="652E1D7C"/>
    <w:rsid w:val="65345B1D"/>
    <w:rsid w:val="65354295"/>
    <w:rsid w:val="653E638F"/>
    <w:rsid w:val="65402E24"/>
    <w:rsid w:val="6549180A"/>
    <w:rsid w:val="655A21B6"/>
    <w:rsid w:val="656A3B06"/>
    <w:rsid w:val="65754645"/>
    <w:rsid w:val="65772885"/>
    <w:rsid w:val="65831266"/>
    <w:rsid w:val="658A601C"/>
    <w:rsid w:val="658E32A1"/>
    <w:rsid w:val="65964096"/>
    <w:rsid w:val="65A842AD"/>
    <w:rsid w:val="65BA0992"/>
    <w:rsid w:val="65BD36C5"/>
    <w:rsid w:val="65C51199"/>
    <w:rsid w:val="65CE589D"/>
    <w:rsid w:val="65E62721"/>
    <w:rsid w:val="65F01C64"/>
    <w:rsid w:val="65FB026E"/>
    <w:rsid w:val="661C09FE"/>
    <w:rsid w:val="662F05AE"/>
    <w:rsid w:val="662F519A"/>
    <w:rsid w:val="66306268"/>
    <w:rsid w:val="663B4578"/>
    <w:rsid w:val="663C5520"/>
    <w:rsid w:val="663E36E6"/>
    <w:rsid w:val="66415808"/>
    <w:rsid w:val="6645315D"/>
    <w:rsid w:val="665407FC"/>
    <w:rsid w:val="66626649"/>
    <w:rsid w:val="6668641E"/>
    <w:rsid w:val="667A7AC1"/>
    <w:rsid w:val="667E437A"/>
    <w:rsid w:val="66830A39"/>
    <w:rsid w:val="66991FBB"/>
    <w:rsid w:val="669E165F"/>
    <w:rsid w:val="66B11BFF"/>
    <w:rsid w:val="66BA362E"/>
    <w:rsid w:val="66BD77D9"/>
    <w:rsid w:val="66C224D2"/>
    <w:rsid w:val="66C55225"/>
    <w:rsid w:val="66C97648"/>
    <w:rsid w:val="66FB5A85"/>
    <w:rsid w:val="66FC34D8"/>
    <w:rsid w:val="670A2366"/>
    <w:rsid w:val="6716308D"/>
    <w:rsid w:val="67210218"/>
    <w:rsid w:val="67267BC5"/>
    <w:rsid w:val="672A2BF4"/>
    <w:rsid w:val="672B0AD6"/>
    <w:rsid w:val="672C2E8E"/>
    <w:rsid w:val="672E0428"/>
    <w:rsid w:val="6730342F"/>
    <w:rsid w:val="673657DE"/>
    <w:rsid w:val="67413409"/>
    <w:rsid w:val="6741383D"/>
    <w:rsid w:val="674E0D0F"/>
    <w:rsid w:val="67542AD5"/>
    <w:rsid w:val="67552FA9"/>
    <w:rsid w:val="67563C2B"/>
    <w:rsid w:val="67633FCF"/>
    <w:rsid w:val="676672DD"/>
    <w:rsid w:val="67677B5C"/>
    <w:rsid w:val="676C59FF"/>
    <w:rsid w:val="677D6283"/>
    <w:rsid w:val="678A6D25"/>
    <w:rsid w:val="678D0C0A"/>
    <w:rsid w:val="6795336F"/>
    <w:rsid w:val="67A07E56"/>
    <w:rsid w:val="67AC4617"/>
    <w:rsid w:val="67AE6456"/>
    <w:rsid w:val="67BA533E"/>
    <w:rsid w:val="67DD0804"/>
    <w:rsid w:val="67DF6BFE"/>
    <w:rsid w:val="67EC2567"/>
    <w:rsid w:val="67FA436B"/>
    <w:rsid w:val="680058D9"/>
    <w:rsid w:val="681067C6"/>
    <w:rsid w:val="681E05A8"/>
    <w:rsid w:val="68216A97"/>
    <w:rsid w:val="68216C97"/>
    <w:rsid w:val="682A7AE8"/>
    <w:rsid w:val="682D597A"/>
    <w:rsid w:val="68370E89"/>
    <w:rsid w:val="684A156D"/>
    <w:rsid w:val="684D1959"/>
    <w:rsid w:val="68590ED8"/>
    <w:rsid w:val="685F5F15"/>
    <w:rsid w:val="68644623"/>
    <w:rsid w:val="687846B4"/>
    <w:rsid w:val="68791D09"/>
    <w:rsid w:val="68A461D8"/>
    <w:rsid w:val="68A76C24"/>
    <w:rsid w:val="68B05E3B"/>
    <w:rsid w:val="68B3303B"/>
    <w:rsid w:val="68BC76AB"/>
    <w:rsid w:val="68BE0F1A"/>
    <w:rsid w:val="68C37C20"/>
    <w:rsid w:val="68C7160C"/>
    <w:rsid w:val="68C71AE4"/>
    <w:rsid w:val="68D75865"/>
    <w:rsid w:val="68DF3A54"/>
    <w:rsid w:val="68EC229A"/>
    <w:rsid w:val="68F61F12"/>
    <w:rsid w:val="68FB6FF6"/>
    <w:rsid w:val="690551FD"/>
    <w:rsid w:val="69106795"/>
    <w:rsid w:val="69126146"/>
    <w:rsid w:val="691627AD"/>
    <w:rsid w:val="692802CF"/>
    <w:rsid w:val="692B5720"/>
    <w:rsid w:val="693D39FC"/>
    <w:rsid w:val="69450A55"/>
    <w:rsid w:val="6961184D"/>
    <w:rsid w:val="69614E2B"/>
    <w:rsid w:val="696E48B2"/>
    <w:rsid w:val="69714349"/>
    <w:rsid w:val="69754838"/>
    <w:rsid w:val="69872462"/>
    <w:rsid w:val="699E7A3F"/>
    <w:rsid w:val="69B15829"/>
    <w:rsid w:val="69C437AC"/>
    <w:rsid w:val="69C6160E"/>
    <w:rsid w:val="69C97D82"/>
    <w:rsid w:val="69CF1B45"/>
    <w:rsid w:val="69D31065"/>
    <w:rsid w:val="69DB5AF4"/>
    <w:rsid w:val="69DF2586"/>
    <w:rsid w:val="69E5033F"/>
    <w:rsid w:val="6A2F153E"/>
    <w:rsid w:val="6A341B9D"/>
    <w:rsid w:val="6A345A67"/>
    <w:rsid w:val="6A376D1A"/>
    <w:rsid w:val="6A491EA3"/>
    <w:rsid w:val="6A4A5FDA"/>
    <w:rsid w:val="6A5B09B2"/>
    <w:rsid w:val="6A631EC8"/>
    <w:rsid w:val="6A67440D"/>
    <w:rsid w:val="6A724108"/>
    <w:rsid w:val="6A7C5588"/>
    <w:rsid w:val="6A7C7DA3"/>
    <w:rsid w:val="6A7E170C"/>
    <w:rsid w:val="6A7F19D2"/>
    <w:rsid w:val="6A835E49"/>
    <w:rsid w:val="6A9954A3"/>
    <w:rsid w:val="6A9B16A7"/>
    <w:rsid w:val="6A9B19B2"/>
    <w:rsid w:val="6A9E03B2"/>
    <w:rsid w:val="6AA15CC1"/>
    <w:rsid w:val="6AA316DB"/>
    <w:rsid w:val="6AA659A9"/>
    <w:rsid w:val="6AAD27C8"/>
    <w:rsid w:val="6AAF0E8D"/>
    <w:rsid w:val="6AB109AD"/>
    <w:rsid w:val="6AC01514"/>
    <w:rsid w:val="6AC60A39"/>
    <w:rsid w:val="6AEC2E6F"/>
    <w:rsid w:val="6AEE0023"/>
    <w:rsid w:val="6AFB64A2"/>
    <w:rsid w:val="6AFD61F0"/>
    <w:rsid w:val="6B022534"/>
    <w:rsid w:val="6B145BD0"/>
    <w:rsid w:val="6B1A3182"/>
    <w:rsid w:val="6B2717CA"/>
    <w:rsid w:val="6B2B161C"/>
    <w:rsid w:val="6B2B29B7"/>
    <w:rsid w:val="6B2B2CA2"/>
    <w:rsid w:val="6B2B4306"/>
    <w:rsid w:val="6B2F09A7"/>
    <w:rsid w:val="6B306C6C"/>
    <w:rsid w:val="6B381269"/>
    <w:rsid w:val="6B422302"/>
    <w:rsid w:val="6B451466"/>
    <w:rsid w:val="6B460BAD"/>
    <w:rsid w:val="6B475555"/>
    <w:rsid w:val="6B487E87"/>
    <w:rsid w:val="6B4B01DD"/>
    <w:rsid w:val="6B510A7D"/>
    <w:rsid w:val="6B57523A"/>
    <w:rsid w:val="6B577C3D"/>
    <w:rsid w:val="6B5E4F64"/>
    <w:rsid w:val="6B6F016A"/>
    <w:rsid w:val="6B70378F"/>
    <w:rsid w:val="6B7F574E"/>
    <w:rsid w:val="6B811284"/>
    <w:rsid w:val="6B8C1F85"/>
    <w:rsid w:val="6B8D46C3"/>
    <w:rsid w:val="6B934A78"/>
    <w:rsid w:val="6B941308"/>
    <w:rsid w:val="6B991B8B"/>
    <w:rsid w:val="6BAA4D80"/>
    <w:rsid w:val="6BAB1B90"/>
    <w:rsid w:val="6BAF2CF7"/>
    <w:rsid w:val="6BB63BE2"/>
    <w:rsid w:val="6BC34C51"/>
    <w:rsid w:val="6BC72691"/>
    <w:rsid w:val="6BCE51BB"/>
    <w:rsid w:val="6BD34E5F"/>
    <w:rsid w:val="6BDE7DAE"/>
    <w:rsid w:val="6BE244E6"/>
    <w:rsid w:val="6BE55321"/>
    <w:rsid w:val="6BE7676C"/>
    <w:rsid w:val="6BEB4A13"/>
    <w:rsid w:val="6BEE1973"/>
    <w:rsid w:val="6BF61086"/>
    <w:rsid w:val="6C025D5D"/>
    <w:rsid w:val="6C0E7CDA"/>
    <w:rsid w:val="6C1C3294"/>
    <w:rsid w:val="6C2E0C42"/>
    <w:rsid w:val="6C413489"/>
    <w:rsid w:val="6C4C1EAF"/>
    <w:rsid w:val="6C5053D6"/>
    <w:rsid w:val="6C56572D"/>
    <w:rsid w:val="6C5C66A2"/>
    <w:rsid w:val="6C651C99"/>
    <w:rsid w:val="6C66187C"/>
    <w:rsid w:val="6C685A6D"/>
    <w:rsid w:val="6C6B5A69"/>
    <w:rsid w:val="6C6E0395"/>
    <w:rsid w:val="6C7004B9"/>
    <w:rsid w:val="6C8A013D"/>
    <w:rsid w:val="6CA507F9"/>
    <w:rsid w:val="6CA5485B"/>
    <w:rsid w:val="6CA70FDA"/>
    <w:rsid w:val="6CB95E66"/>
    <w:rsid w:val="6CBB3BD8"/>
    <w:rsid w:val="6CBD6560"/>
    <w:rsid w:val="6CD72B72"/>
    <w:rsid w:val="6CF04A38"/>
    <w:rsid w:val="6D003F29"/>
    <w:rsid w:val="6D017D90"/>
    <w:rsid w:val="6D19032E"/>
    <w:rsid w:val="6D1B5151"/>
    <w:rsid w:val="6D1B5783"/>
    <w:rsid w:val="6D1D60AE"/>
    <w:rsid w:val="6D3468C6"/>
    <w:rsid w:val="6D3565E2"/>
    <w:rsid w:val="6D403754"/>
    <w:rsid w:val="6D430BAA"/>
    <w:rsid w:val="6D48653F"/>
    <w:rsid w:val="6D491C4B"/>
    <w:rsid w:val="6D535BF2"/>
    <w:rsid w:val="6D57674B"/>
    <w:rsid w:val="6D5A4998"/>
    <w:rsid w:val="6D626921"/>
    <w:rsid w:val="6D68348E"/>
    <w:rsid w:val="6D7A7957"/>
    <w:rsid w:val="6D8F0381"/>
    <w:rsid w:val="6D9463C6"/>
    <w:rsid w:val="6DA87F38"/>
    <w:rsid w:val="6DB01C7A"/>
    <w:rsid w:val="6DCF2492"/>
    <w:rsid w:val="6DCF7814"/>
    <w:rsid w:val="6DE01A62"/>
    <w:rsid w:val="6DE763D6"/>
    <w:rsid w:val="6DFB2AD0"/>
    <w:rsid w:val="6E005439"/>
    <w:rsid w:val="6E006B78"/>
    <w:rsid w:val="6E094560"/>
    <w:rsid w:val="6E0D284D"/>
    <w:rsid w:val="6E146BD1"/>
    <w:rsid w:val="6E1E652C"/>
    <w:rsid w:val="6E203150"/>
    <w:rsid w:val="6E3067C8"/>
    <w:rsid w:val="6E373BB9"/>
    <w:rsid w:val="6E3B457B"/>
    <w:rsid w:val="6E3D2612"/>
    <w:rsid w:val="6E4B68D2"/>
    <w:rsid w:val="6E4C5CF8"/>
    <w:rsid w:val="6E5079A4"/>
    <w:rsid w:val="6E6D6464"/>
    <w:rsid w:val="6E72721E"/>
    <w:rsid w:val="6E801801"/>
    <w:rsid w:val="6E8912A9"/>
    <w:rsid w:val="6E895DC1"/>
    <w:rsid w:val="6E8B09F2"/>
    <w:rsid w:val="6E90014F"/>
    <w:rsid w:val="6E974650"/>
    <w:rsid w:val="6E9D2CFA"/>
    <w:rsid w:val="6EA04B91"/>
    <w:rsid w:val="6EA16C30"/>
    <w:rsid w:val="6EAB6319"/>
    <w:rsid w:val="6EAF19D7"/>
    <w:rsid w:val="6EAF63DE"/>
    <w:rsid w:val="6EBB7FFB"/>
    <w:rsid w:val="6EC169FD"/>
    <w:rsid w:val="6EC968A7"/>
    <w:rsid w:val="6ECD2333"/>
    <w:rsid w:val="6ED740A3"/>
    <w:rsid w:val="6EFC4BF0"/>
    <w:rsid w:val="6F07562E"/>
    <w:rsid w:val="6F076356"/>
    <w:rsid w:val="6F0A451A"/>
    <w:rsid w:val="6F0D3565"/>
    <w:rsid w:val="6F19675E"/>
    <w:rsid w:val="6F1D11C5"/>
    <w:rsid w:val="6F306927"/>
    <w:rsid w:val="6F42602C"/>
    <w:rsid w:val="6F572106"/>
    <w:rsid w:val="6F803B74"/>
    <w:rsid w:val="6F832BCF"/>
    <w:rsid w:val="6F877D2C"/>
    <w:rsid w:val="6F88486B"/>
    <w:rsid w:val="6F8916B7"/>
    <w:rsid w:val="6F8A5EFD"/>
    <w:rsid w:val="6F8E6069"/>
    <w:rsid w:val="6F9036EB"/>
    <w:rsid w:val="6FA6776D"/>
    <w:rsid w:val="6FAB79A2"/>
    <w:rsid w:val="6FC05498"/>
    <w:rsid w:val="6FD96351"/>
    <w:rsid w:val="6FF73DB3"/>
    <w:rsid w:val="70094312"/>
    <w:rsid w:val="7014380A"/>
    <w:rsid w:val="701877AF"/>
    <w:rsid w:val="702067B4"/>
    <w:rsid w:val="70206D73"/>
    <w:rsid w:val="70236A7D"/>
    <w:rsid w:val="7046496F"/>
    <w:rsid w:val="705A607D"/>
    <w:rsid w:val="70742D00"/>
    <w:rsid w:val="707E5E48"/>
    <w:rsid w:val="708B18F8"/>
    <w:rsid w:val="70911900"/>
    <w:rsid w:val="70932EA1"/>
    <w:rsid w:val="70991599"/>
    <w:rsid w:val="709A178B"/>
    <w:rsid w:val="709B6D82"/>
    <w:rsid w:val="70AB5E52"/>
    <w:rsid w:val="70B677E2"/>
    <w:rsid w:val="70CC520C"/>
    <w:rsid w:val="70E42E98"/>
    <w:rsid w:val="70EE3A93"/>
    <w:rsid w:val="70EE5847"/>
    <w:rsid w:val="70F12256"/>
    <w:rsid w:val="70F967DD"/>
    <w:rsid w:val="710074C5"/>
    <w:rsid w:val="71010DC2"/>
    <w:rsid w:val="710276AE"/>
    <w:rsid w:val="71047933"/>
    <w:rsid w:val="712A270A"/>
    <w:rsid w:val="712D1BEE"/>
    <w:rsid w:val="7133441A"/>
    <w:rsid w:val="71345CE3"/>
    <w:rsid w:val="71347D9D"/>
    <w:rsid w:val="71391836"/>
    <w:rsid w:val="713B009F"/>
    <w:rsid w:val="715F64FD"/>
    <w:rsid w:val="71736E96"/>
    <w:rsid w:val="717B3E95"/>
    <w:rsid w:val="719D364F"/>
    <w:rsid w:val="71AB08F8"/>
    <w:rsid w:val="71B4102B"/>
    <w:rsid w:val="71BA2AF0"/>
    <w:rsid w:val="71C1141E"/>
    <w:rsid w:val="71C86864"/>
    <w:rsid w:val="71DD41EA"/>
    <w:rsid w:val="71E048C5"/>
    <w:rsid w:val="71EA36A0"/>
    <w:rsid w:val="71F865E9"/>
    <w:rsid w:val="71F91D3F"/>
    <w:rsid w:val="71F92CB0"/>
    <w:rsid w:val="72071F4C"/>
    <w:rsid w:val="720D3653"/>
    <w:rsid w:val="720E3111"/>
    <w:rsid w:val="72164265"/>
    <w:rsid w:val="72181095"/>
    <w:rsid w:val="721A1F6D"/>
    <w:rsid w:val="722A3D25"/>
    <w:rsid w:val="72364113"/>
    <w:rsid w:val="7237482A"/>
    <w:rsid w:val="72390A08"/>
    <w:rsid w:val="7240689F"/>
    <w:rsid w:val="724911A4"/>
    <w:rsid w:val="724A0A34"/>
    <w:rsid w:val="725347C0"/>
    <w:rsid w:val="72614E39"/>
    <w:rsid w:val="72637419"/>
    <w:rsid w:val="72642CCA"/>
    <w:rsid w:val="726A52E5"/>
    <w:rsid w:val="72747BE8"/>
    <w:rsid w:val="72764A3F"/>
    <w:rsid w:val="727E4FCC"/>
    <w:rsid w:val="727E60BF"/>
    <w:rsid w:val="729C7A4C"/>
    <w:rsid w:val="729D3E1E"/>
    <w:rsid w:val="729F2B46"/>
    <w:rsid w:val="72B86D47"/>
    <w:rsid w:val="72BC6BE7"/>
    <w:rsid w:val="72D67DFD"/>
    <w:rsid w:val="72EC63E4"/>
    <w:rsid w:val="72FE2E2B"/>
    <w:rsid w:val="72FE46C6"/>
    <w:rsid w:val="72FF27C3"/>
    <w:rsid w:val="730775BC"/>
    <w:rsid w:val="730A0508"/>
    <w:rsid w:val="7312578C"/>
    <w:rsid w:val="732054FC"/>
    <w:rsid w:val="73282F5F"/>
    <w:rsid w:val="73347B5F"/>
    <w:rsid w:val="7342775D"/>
    <w:rsid w:val="73481D95"/>
    <w:rsid w:val="734A5E7A"/>
    <w:rsid w:val="734F1EC8"/>
    <w:rsid w:val="73635BA9"/>
    <w:rsid w:val="73687DA8"/>
    <w:rsid w:val="73703ABC"/>
    <w:rsid w:val="737B6A63"/>
    <w:rsid w:val="737F04E9"/>
    <w:rsid w:val="73857D92"/>
    <w:rsid w:val="738B6298"/>
    <w:rsid w:val="738C10F0"/>
    <w:rsid w:val="739D5CC6"/>
    <w:rsid w:val="739F0360"/>
    <w:rsid w:val="739F2D59"/>
    <w:rsid w:val="73A462CF"/>
    <w:rsid w:val="73AF3B84"/>
    <w:rsid w:val="73B75866"/>
    <w:rsid w:val="73BE17DB"/>
    <w:rsid w:val="73C51D42"/>
    <w:rsid w:val="73CD17BB"/>
    <w:rsid w:val="73D3412B"/>
    <w:rsid w:val="73D53539"/>
    <w:rsid w:val="73F22712"/>
    <w:rsid w:val="73F86DF8"/>
    <w:rsid w:val="73FB76FE"/>
    <w:rsid w:val="740D1F00"/>
    <w:rsid w:val="74153872"/>
    <w:rsid w:val="74413C34"/>
    <w:rsid w:val="74433BE0"/>
    <w:rsid w:val="744645FB"/>
    <w:rsid w:val="744D1AD4"/>
    <w:rsid w:val="7461683A"/>
    <w:rsid w:val="747300BB"/>
    <w:rsid w:val="74732FC4"/>
    <w:rsid w:val="74740C71"/>
    <w:rsid w:val="74832EFC"/>
    <w:rsid w:val="748A1C92"/>
    <w:rsid w:val="749211CA"/>
    <w:rsid w:val="74945EB6"/>
    <w:rsid w:val="74B22D16"/>
    <w:rsid w:val="74C719FE"/>
    <w:rsid w:val="74CA3F1B"/>
    <w:rsid w:val="74CD36FC"/>
    <w:rsid w:val="74D11FB7"/>
    <w:rsid w:val="74FA66C2"/>
    <w:rsid w:val="750002D5"/>
    <w:rsid w:val="750031D7"/>
    <w:rsid w:val="750A5A42"/>
    <w:rsid w:val="750C36BE"/>
    <w:rsid w:val="75102D61"/>
    <w:rsid w:val="75125C42"/>
    <w:rsid w:val="751A3258"/>
    <w:rsid w:val="751F7456"/>
    <w:rsid w:val="752548B2"/>
    <w:rsid w:val="75345DB9"/>
    <w:rsid w:val="75347B16"/>
    <w:rsid w:val="753742C7"/>
    <w:rsid w:val="75397D91"/>
    <w:rsid w:val="753A6734"/>
    <w:rsid w:val="7549398A"/>
    <w:rsid w:val="754B7CAB"/>
    <w:rsid w:val="756878F2"/>
    <w:rsid w:val="756F52B8"/>
    <w:rsid w:val="75783825"/>
    <w:rsid w:val="7580400C"/>
    <w:rsid w:val="75840313"/>
    <w:rsid w:val="7591758C"/>
    <w:rsid w:val="759559D4"/>
    <w:rsid w:val="759A0497"/>
    <w:rsid w:val="759C7787"/>
    <w:rsid w:val="75A559DA"/>
    <w:rsid w:val="75B25940"/>
    <w:rsid w:val="75C466D5"/>
    <w:rsid w:val="75C61C16"/>
    <w:rsid w:val="75D237DF"/>
    <w:rsid w:val="75D36EC8"/>
    <w:rsid w:val="75D51DD5"/>
    <w:rsid w:val="75DC0338"/>
    <w:rsid w:val="75DD677C"/>
    <w:rsid w:val="75E56A9F"/>
    <w:rsid w:val="75EA2CDA"/>
    <w:rsid w:val="75EC7F87"/>
    <w:rsid w:val="762659B9"/>
    <w:rsid w:val="762D25E5"/>
    <w:rsid w:val="76303EEA"/>
    <w:rsid w:val="763B2E4C"/>
    <w:rsid w:val="763C1A11"/>
    <w:rsid w:val="764453DE"/>
    <w:rsid w:val="76596938"/>
    <w:rsid w:val="765E1ABF"/>
    <w:rsid w:val="766A41AE"/>
    <w:rsid w:val="766D096C"/>
    <w:rsid w:val="766D4E54"/>
    <w:rsid w:val="766E3A58"/>
    <w:rsid w:val="767551A2"/>
    <w:rsid w:val="767712A5"/>
    <w:rsid w:val="76803D90"/>
    <w:rsid w:val="76884265"/>
    <w:rsid w:val="7696264F"/>
    <w:rsid w:val="769D5AA2"/>
    <w:rsid w:val="76A021E3"/>
    <w:rsid w:val="76A6532F"/>
    <w:rsid w:val="76A95B55"/>
    <w:rsid w:val="76AE7F2E"/>
    <w:rsid w:val="76D66C71"/>
    <w:rsid w:val="76D855FF"/>
    <w:rsid w:val="770E0A0E"/>
    <w:rsid w:val="771B62AF"/>
    <w:rsid w:val="771D01B4"/>
    <w:rsid w:val="771D06EB"/>
    <w:rsid w:val="772760F6"/>
    <w:rsid w:val="77284AC3"/>
    <w:rsid w:val="772A51C5"/>
    <w:rsid w:val="773871B5"/>
    <w:rsid w:val="774D7497"/>
    <w:rsid w:val="775E73F4"/>
    <w:rsid w:val="77646422"/>
    <w:rsid w:val="7777677F"/>
    <w:rsid w:val="77817F8C"/>
    <w:rsid w:val="7786666A"/>
    <w:rsid w:val="778A3157"/>
    <w:rsid w:val="778E3A74"/>
    <w:rsid w:val="779C48D5"/>
    <w:rsid w:val="77B57BBA"/>
    <w:rsid w:val="77D33096"/>
    <w:rsid w:val="77D54CD7"/>
    <w:rsid w:val="77DB1FE8"/>
    <w:rsid w:val="77E044DC"/>
    <w:rsid w:val="78031192"/>
    <w:rsid w:val="781231F4"/>
    <w:rsid w:val="781F6E84"/>
    <w:rsid w:val="78387C38"/>
    <w:rsid w:val="7839286D"/>
    <w:rsid w:val="78420163"/>
    <w:rsid w:val="784C6D04"/>
    <w:rsid w:val="785A050F"/>
    <w:rsid w:val="785B2E49"/>
    <w:rsid w:val="78614916"/>
    <w:rsid w:val="786457B5"/>
    <w:rsid w:val="78841333"/>
    <w:rsid w:val="78915722"/>
    <w:rsid w:val="78946426"/>
    <w:rsid w:val="78A52E31"/>
    <w:rsid w:val="78A64B02"/>
    <w:rsid w:val="78A97D21"/>
    <w:rsid w:val="78AC0AAB"/>
    <w:rsid w:val="78AC0DEA"/>
    <w:rsid w:val="78B558EF"/>
    <w:rsid w:val="78C13FB5"/>
    <w:rsid w:val="78CB4650"/>
    <w:rsid w:val="78CB7A64"/>
    <w:rsid w:val="78CD701F"/>
    <w:rsid w:val="78CD782A"/>
    <w:rsid w:val="78DA2796"/>
    <w:rsid w:val="78DC7E55"/>
    <w:rsid w:val="78DF5228"/>
    <w:rsid w:val="78E76EBA"/>
    <w:rsid w:val="79040530"/>
    <w:rsid w:val="790B6A84"/>
    <w:rsid w:val="790C115F"/>
    <w:rsid w:val="790F10B1"/>
    <w:rsid w:val="791F203A"/>
    <w:rsid w:val="792C0E8C"/>
    <w:rsid w:val="79307726"/>
    <w:rsid w:val="79313FEF"/>
    <w:rsid w:val="793B6B53"/>
    <w:rsid w:val="793C7854"/>
    <w:rsid w:val="79411FF1"/>
    <w:rsid w:val="7942249F"/>
    <w:rsid w:val="794C2493"/>
    <w:rsid w:val="7967428D"/>
    <w:rsid w:val="79771589"/>
    <w:rsid w:val="79787EAE"/>
    <w:rsid w:val="797F424B"/>
    <w:rsid w:val="79846E58"/>
    <w:rsid w:val="798877FA"/>
    <w:rsid w:val="798B4A17"/>
    <w:rsid w:val="79A32C9D"/>
    <w:rsid w:val="79AC7EE8"/>
    <w:rsid w:val="79B2170E"/>
    <w:rsid w:val="79B54B7A"/>
    <w:rsid w:val="79B571C5"/>
    <w:rsid w:val="79B97B86"/>
    <w:rsid w:val="79BF46EE"/>
    <w:rsid w:val="79BF4F82"/>
    <w:rsid w:val="79CA7F96"/>
    <w:rsid w:val="79DA3990"/>
    <w:rsid w:val="79DF22A0"/>
    <w:rsid w:val="79EE55B8"/>
    <w:rsid w:val="79FA7850"/>
    <w:rsid w:val="7A0D658D"/>
    <w:rsid w:val="7A197315"/>
    <w:rsid w:val="7A204DE3"/>
    <w:rsid w:val="7A24701D"/>
    <w:rsid w:val="7A2716B4"/>
    <w:rsid w:val="7A2B42ED"/>
    <w:rsid w:val="7A2E5E95"/>
    <w:rsid w:val="7A4C25E1"/>
    <w:rsid w:val="7A5040B8"/>
    <w:rsid w:val="7A51232A"/>
    <w:rsid w:val="7A5F508D"/>
    <w:rsid w:val="7A5F6CB6"/>
    <w:rsid w:val="7A615C6E"/>
    <w:rsid w:val="7A84142F"/>
    <w:rsid w:val="7A841FB1"/>
    <w:rsid w:val="7A855EAF"/>
    <w:rsid w:val="7A8A5126"/>
    <w:rsid w:val="7A9C0905"/>
    <w:rsid w:val="7A9E67A8"/>
    <w:rsid w:val="7ABC454E"/>
    <w:rsid w:val="7AC564EA"/>
    <w:rsid w:val="7AE2044A"/>
    <w:rsid w:val="7AE81A82"/>
    <w:rsid w:val="7AE90DFC"/>
    <w:rsid w:val="7AF72D33"/>
    <w:rsid w:val="7AFD7496"/>
    <w:rsid w:val="7B0500BD"/>
    <w:rsid w:val="7B064184"/>
    <w:rsid w:val="7B086329"/>
    <w:rsid w:val="7B0929D0"/>
    <w:rsid w:val="7B134805"/>
    <w:rsid w:val="7B1F13E2"/>
    <w:rsid w:val="7B1F78CC"/>
    <w:rsid w:val="7B251FAF"/>
    <w:rsid w:val="7B264F15"/>
    <w:rsid w:val="7B2F1D68"/>
    <w:rsid w:val="7B3676A3"/>
    <w:rsid w:val="7B367E41"/>
    <w:rsid w:val="7B3A4E3A"/>
    <w:rsid w:val="7B3F34D3"/>
    <w:rsid w:val="7B48564F"/>
    <w:rsid w:val="7B49526A"/>
    <w:rsid w:val="7B4E5A94"/>
    <w:rsid w:val="7B64034D"/>
    <w:rsid w:val="7B742585"/>
    <w:rsid w:val="7B871416"/>
    <w:rsid w:val="7B8F3FCA"/>
    <w:rsid w:val="7B90002C"/>
    <w:rsid w:val="7B917253"/>
    <w:rsid w:val="7B955DA8"/>
    <w:rsid w:val="7B98738F"/>
    <w:rsid w:val="7B9B4B6F"/>
    <w:rsid w:val="7B9D40BE"/>
    <w:rsid w:val="7BA96128"/>
    <w:rsid w:val="7BBB64D8"/>
    <w:rsid w:val="7BBD3882"/>
    <w:rsid w:val="7BBF5A32"/>
    <w:rsid w:val="7BDB653C"/>
    <w:rsid w:val="7BE13B00"/>
    <w:rsid w:val="7BE3398D"/>
    <w:rsid w:val="7BE62F0D"/>
    <w:rsid w:val="7BF04415"/>
    <w:rsid w:val="7BF7001B"/>
    <w:rsid w:val="7BF803F7"/>
    <w:rsid w:val="7C0C1803"/>
    <w:rsid w:val="7C1B3D18"/>
    <w:rsid w:val="7C2711E7"/>
    <w:rsid w:val="7C2D0A17"/>
    <w:rsid w:val="7C301C83"/>
    <w:rsid w:val="7C364B84"/>
    <w:rsid w:val="7C4431B3"/>
    <w:rsid w:val="7C4E4B62"/>
    <w:rsid w:val="7C5B5769"/>
    <w:rsid w:val="7C5D5747"/>
    <w:rsid w:val="7C616526"/>
    <w:rsid w:val="7C7A58A8"/>
    <w:rsid w:val="7C906CF6"/>
    <w:rsid w:val="7C935C54"/>
    <w:rsid w:val="7CA55AA3"/>
    <w:rsid w:val="7CB22661"/>
    <w:rsid w:val="7CD66B40"/>
    <w:rsid w:val="7CEB5A6C"/>
    <w:rsid w:val="7CFA711B"/>
    <w:rsid w:val="7CFB3092"/>
    <w:rsid w:val="7CFC0C4B"/>
    <w:rsid w:val="7CFC19FC"/>
    <w:rsid w:val="7D081816"/>
    <w:rsid w:val="7D092292"/>
    <w:rsid w:val="7D264C7D"/>
    <w:rsid w:val="7D2B1E71"/>
    <w:rsid w:val="7D2F648D"/>
    <w:rsid w:val="7D3C563E"/>
    <w:rsid w:val="7D3E5A64"/>
    <w:rsid w:val="7D507B8D"/>
    <w:rsid w:val="7D576A5E"/>
    <w:rsid w:val="7D5F75A5"/>
    <w:rsid w:val="7D693AFF"/>
    <w:rsid w:val="7D6D15D8"/>
    <w:rsid w:val="7D6E01A2"/>
    <w:rsid w:val="7D752B11"/>
    <w:rsid w:val="7D77688B"/>
    <w:rsid w:val="7D88207C"/>
    <w:rsid w:val="7D8C4C24"/>
    <w:rsid w:val="7D9A613E"/>
    <w:rsid w:val="7DA219A2"/>
    <w:rsid w:val="7DA22AD2"/>
    <w:rsid w:val="7DA411C7"/>
    <w:rsid w:val="7DB77224"/>
    <w:rsid w:val="7DC62295"/>
    <w:rsid w:val="7DD46485"/>
    <w:rsid w:val="7DD95E92"/>
    <w:rsid w:val="7DF010C6"/>
    <w:rsid w:val="7DF360DB"/>
    <w:rsid w:val="7DFC61B7"/>
    <w:rsid w:val="7DFF2F91"/>
    <w:rsid w:val="7E00080A"/>
    <w:rsid w:val="7E0966A7"/>
    <w:rsid w:val="7E1B1F99"/>
    <w:rsid w:val="7E1B6CB7"/>
    <w:rsid w:val="7E297EFD"/>
    <w:rsid w:val="7E3C38F9"/>
    <w:rsid w:val="7E5C4F89"/>
    <w:rsid w:val="7E8C5CB9"/>
    <w:rsid w:val="7E910F5E"/>
    <w:rsid w:val="7E964FF1"/>
    <w:rsid w:val="7E9E6030"/>
    <w:rsid w:val="7EAC4323"/>
    <w:rsid w:val="7EB06A04"/>
    <w:rsid w:val="7EB42401"/>
    <w:rsid w:val="7EBE0BF9"/>
    <w:rsid w:val="7EC4669A"/>
    <w:rsid w:val="7EC77A9F"/>
    <w:rsid w:val="7ED94115"/>
    <w:rsid w:val="7EDF2E30"/>
    <w:rsid w:val="7EE670B8"/>
    <w:rsid w:val="7EE869AD"/>
    <w:rsid w:val="7EEB3DAF"/>
    <w:rsid w:val="7EED53F2"/>
    <w:rsid w:val="7EFD0D36"/>
    <w:rsid w:val="7EFF0989"/>
    <w:rsid w:val="7F063A6E"/>
    <w:rsid w:val="7F0C5ACD"/>
    <w:rsid w:val="7F120B10"/>
    <w:rsid w:val="7F133401"/>
    <w:rsid w:val="7F1607DD"/>
    <w:rsid w:val="7F177858"/>
    <w:rsid w:val="7F1D1DF6"/>
    <w:rsid w:val="7F211A5D"/>
    <w:rsid w:val="7F283904"/>
    <w:rsid w:val="7F4855EF"/>
    <w:rsid w:val="7F502586"/>
    <w:rsid w:val="7F7006B8"/>
    <w:rsid w:val="7F723C30"/>
    <w:rsid w:val="7F79779B"/>
    <w:rsid w:val="7F8356D2"/>
    <w:rsid w:val="7F90039C"/>
    <w:rsid w:val="7F9F7DD4"/>
    <w:rsid w:val="7FC85234"/>
    <w:rsid w:val="7FC94296"/>
    <w:rsid w:val="7FC968F6"/>
    <w:rsid w:val="7FDE4534"/>
    <w:rsid w:val="7FEC4D1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0"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0"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iPriority="99" w:name="Body Text"/>
    <w:lsdException w:qFormat="1"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qFormat="1" w:uiPriority="0" w:semiHidden="0"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qFormat="1" w:uiPriority="99" w:name="Document Map"/>
    <w:lsdException w:qFormat="1" w:unhideWhenUsed="0" w:uiPriority="0"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qFormat="1"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5">
    <w:name w:val="heading 1"/>
    <w:basedOn w:val="1"/>
    <w:next w:val="1"/>
    <w:link w:val="44"/>
    <w:qFormat/>
    <w:uiPriority w:val="9"/>
    <w:pPr>
      <w:keepNext/>
      <w:keepLines/>
      <w:spacing w:before="340" w:after="330" w:line="578" w:lineRule="auto"/>
      <w:outlineLvl w:val="0"/>
    </w:pPr>
    <w:rPr>
      <w:b/>
      <w:bCs/>
      <w:kern w:val="44"/>
      <w:sz w:val="44"/>
      <w:szCs w:val="44"/>
    </w:rPr>
  </w:style>
  <w:style w:type="paragraph" w:styleId="6">
    <w:name w:val="heading 2"/>
    <w:basedOn w:val="1"/>
    <w:next w:val="1"/>
    <w:link w:val="56"/>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7">
    <w:name w:val="heading 3"/>
    <w:basedOn w:val="1"/>
    <w:next w:val="1"/>
    <w:link w:val="73"/>
    <w:semiHidden/>
    <w:unhideWhenUsed/>
    <w:qFormat/>
    <w:uiPriority w:val="9"/>
    <w:pPr>
      <w:keepNext/>
      <w:keepLines/>
      <w:spacing w:before="260" w:after="260" w:line="416" w:lineRule="auto"/>
      <w:outlineLvl w:val="2"/>
    </w:pPr>
    <w:rPr>
      <w:b/>
      <w:bCs/>
      <w:sz w:val="32"/>
      <w:szCs w:val="32"/>
    </w:rPr>
  </w:style>
  <w:style w:type="paragraph" w:styleId="8">
    <w:name w:val="heading 4"/>
    <w:basedOn w:val="1"/>
    <w:next w:val="1"/>
    <w:link w:val="83"/>
    <w:semiHidden/>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30">
    <w:name w:val="Default Paragraph Font"/>
    <w:semiHidden/>
    <w:unhideWhenUsed/>
    <w:qFormat/>
    <w:uiPriority w:val="1"/>
  </w:style>
  <w:style w:type="table" w:default="1" w:styleId="28">
    <w:name w:val="Normal Table"/>
    <w:semiHidden/>
    <w:unhideWhenUsed/>
    <w:qFormat/>
    <w:uiPriority w:val="99"/>
    <w:tblPr>
      <w:tblCellMar>
        <w:top w:w="0" w:type="dxa"/>
        <w:left w:w="108" w:type="dxa"/>
        <w:bottom w:w="0" w:type="dxa"/>
        <w:right w:w="108" w:type="dxa"/>
      </w:tblCellMar>
    </w:tblPr>
  </w:style>
  <w:style w:type="paragraph" w:customStyle="1" w:styleId="2">
    <w:name w:val="Default"/>
    <w:basedOn w:val="3"/>
    <w:next w:val="4"/>
    <w:unhideWhenUsed/>
    <w:qFormat/>
    <w:uiPriority w:val="0"/>
    <w:pPr>
      <w:widowControl w:val="0"/>
      <w:autoSpaceDE w:val="0"/>
      <w:autoSpaceDN w:val="0"/>
      <w:adjustRightInd w:val="0"/>
    </w:pPr>
    <w:rPr>
      <w:rFonts w:hint="eastAsia" w:eastAsia="Times New Roman" w:asciiTheme="minorHAnsi" w:hAnsiTheme="minorHAnsi" w:cstheme="minorBidi"/>
      <w:color w:val="000000"/>
      <w:sz w:val="24"/>
      <w:szCs w:val="22"/>
      <w:lang w:val="en-US" w:eastAsia="zh-CN" w:bidi="ar-SA"/>
    </w:rPr>
  </w:style>
  <w:style w:type="paragraph" w:customStyle="1" w:styleId="3">
    <w:name w:val="纯文本1"/>
    <w:basedOn w:val="1"/>
    <w:qFormat/>
    <w:uiPriority w:val="0"/>
    <w:pPr>
      <w:widowControl w:val="0"/>
      <w:adjustRightInd/>
      <w:snapToGrid/>
      <w:spacing w:after="0"/>
      <w:jc w:val="both"/>
    </w:pPr>
    <w:rPr>
      <w:rFonts w:ascii="宋体" w:hAnsi="Courier New" w:eastAsia="宋体" w:cs="Times New Roman"/>
      <w:kern w:val="2"/>
      <w:sz w:val="21"/>
      <w:szCs w:val="20"/>
    </w:rPr>
  </w:style>
  <w:style w:type="paragraph" w:styleId="4">
    <w:name w:val="List"/>
    <w:basedOn w:val="1"/>
    <w:qFormat/>
    <w:uiPriority w:val="0"/>
    <w:pPr>
      <w:spacing w:line="360" w:lineRule="auto"/>
      <w:ind w:left="200" w:hanging="200" w:hangingChars="200"/>
    </w:pPr>
    <w:rPr>
      <w:rFonts w:eastAsia="仿宋_GB2312"/>
      <w:sz w:val="24"/>
    </w:rPr>
  </w:style>
  <w:style w:type="paragraph" w:styleId="9">
    <w:name w:val="Normal Indent"/>
    <w:basedOn w:val="1"/>
    <w:next w:val="8"/>
    <w:link w:val="62"/>
    <w:qFormat/>
    <w:uiPriority w:val="0"/>
    <w:pPr>
      <w:spacing w:line="360" w:lineRule="auto"/>
      <w:ind w:firstLine="420"/>
    </w:pPr>
    <w:rPr>
      <w:rFonts w:ascii="仿宋_GB2312" w:hAnsi="Arial Black" w:eastAsia="仿宋_GB2312"/>
      <w:sz w:val="28"/>
    </w:rPr>
  </w:style>
  <w:style w:type="paragraph" w:styleId="10">
    <w:name w:val="caption"/>
    <w:basedOn w:val="1"/>
    <w:next w:val="1"/>
    <w:semiHidden/>
    <w:unhideWhenUsed/>
    <w:qFormat/>
    <w:uiPriority w:val="35"/>
    <w:rPr>
      <w:rFonts w:eastAsia="黑体" w:asciiTheme="majorHAnsi" w:hAnsiTheme="majorHAnsi" w:cstheme="majorBidi"/>
      <w:sz w:val="20"/>
      <w:szCs w:val="20"/>
    </w:rPr>
  </w:style>
  <w:style w:type="paragraph" w:styleId="11">
    <w:name w:val="Document Map"/>
    <w:basedOn w:val="1"/>
    <w:link w:val="46"/>
    <w:semiHidden/>
    <w:unhideWhenUsed/>
    <w:qFormat/>
    <w:uiPriority w:val="99"/>
    <w:rPr>
      <w:rFonts w:ascii="宋体" w:eastAsia="宋体"/>
      <w:sz w:val="18"/>
      <w:szCs w:val="18"/>
    </w:rPr>
  </w:style>
  <w:style w:type="paragraph" w:styleId="12">
    <w:name w:val="annotation text"/>
    <w:basedOn w:val="1"/>
    <w:link w:val="47"/>
    <w:unhideWhenUsed/>
    <w:qFormat/>
    <w:uiPriority w:val="0"/>
    <w:pPr>
      <w:jc w:val="left"/>
    </w:pPr>
  </w:style>
  <w:style w:type="paragraph" w:styleId="13">
    <w:name w:val="Body Text"/>
    <w:basedOn w:val="1"/>
    <w:next w:val="14"/>
    <w:link w:val="51"/>
    <w:semiHidden/>
    <w:unhideWhenUsed/>
    <w:qFormat/>
    <w:uiPriority w:val="99"/>
    <w:pPr>
      <w:spacing w:after="120"/>
    </w:pPr>
  </w:style>
  <w:style w:type="paragraph" w:customStyle="1" w:styleId="14">
    <w:name w:val="xl27"/>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新宋体-18030" w:hAnsi="新宋体-18030" w:eastAsia="新宋体-18030" w:cs="新宋体-18030"/>
      <w:kern w:val="0"/>
    </w:rPr>
  </w:style>
  <w:style w:type="paragraph" w:styleId="15">
    <w:name w:val="Body Text Indent"/>
    <w:basedOn w:val="1"/>
    <w:link w:val="52"/>
    <w:semiHidden/>
    <w:unhideWhenUsed/>
    <w:qFormat/>
    <w:uiPriority w:val="99"/>
    <w:pPr>
      <w:spacing w:after="120"/>
      <w:ind w:left="420" w:leftChars="200"/>
    </w:pPr>
  </w:style>
  <w:style w:type="paragraph" w:styleId="16">
    <w:name w:val="toc 3"/>
    <w:basedOn w:val="1"/>
    <w:next w:val="1"/>
    <w:unhideWhenUsed/>
    <w:qFormat/>
    <w:uiPriority w:val="39"/>
    <w:pPr>
      <w:ind w:left="840" w:leftChars="400"/>
    </w:pPr>
  </w:style>
  <w:style w:type="paragraph" w:styleId="17">
    <w:name w:val="Plain Text"/>
    <w:basedOn w:val="1"/>
    <w:qFormat/>
    <w:uiPriority w:val="0"/>
    <w:rPr>
      <w:rFonts w:hAnsi="Courier New" w:cs="Times New Roman"/>
      <w:szCs w:val="20"/>
    </w:rPr>
  </w:style>
  <w:style w:type="paragraph" w:styleId="18">
    <w:name w:val="Date"/>
    <w:basedOn w:val="1"/>
    <w:next w:val="1"/>
    <w:link w:val="49"/>
    <w:semiHidden/>
    <w:unhideWhenUsed/>
    <w:qFormat/>
    <w:uiPriority w:val="99"/>
    <w:pPr>
      <w:ind w:left="100" w:leftChars="2500"/>
    </w:pPr>
  </w:style>
  <w:style w:type="paragraph" w:styleId="19">
    <w:name w:val="Balloon Text"/>
    <w:basedOn w:val="1"/>
    <w:link w:val="40"/>
    <w:semiHidden/>
    <w:unhideWhenUsed/>
    <w:qFormat/>
    <w:uiPriority w:val="99"/>
    <w:rPr>
      <w:sz w:val="18"/>
      <w:szCs w:val="18"/>
    </w:rPr>
  </w:style>
  <w:style w:type="paragraph" w:styleId="20">
    <w:name w:val="footer"/>
    <w:basedOn w:val="1"/>
    <w:link w:val="43"/>
    <w:unhideWhenUsed/>
    <w:qFormat/>
    <w:uiPriority w:val="99"/>
    <w:pPr>
      <w:tabs>
        <w:tab w:val="center" w:pos="4153"/>
        <w:tab w:val="right" w:pos="8306"/>
      </w:tabs>
      <w:snapToGrid w:val="0"/>
      <w:jc w:val="left"/>
    </w:pPr>
    <w:rPr>
      <w:sz w:val="18"/>
      <w:szCs w:val="18"/>
    </w:rPr>
  </w:style>
  <w:style w:type="paragraph" w:styleId="21">
    <w:name w:val="header"/>
    <w:basedOn w:val="1"/>
    <w:link w:val="42"/>
    <w:unhideWhenUsed/>
    <w:qFormat/>
    <w:uiPriority w:val="99"/>
    <w:pPr>
      <w:pBdr>
        <w:bottom w:val="single" w:color="auto" w:sz="6" w:space="1"/>
      </w:pBdr>
      <w:tabs>
        <w:tab w:val="center" w:pos="4153"/>
        <w:tab w:val="right" w:pos="8306"/>
      </w:tabs>
      <w:snapToGrid w:val="0"/>
      <w:jc w:val="center"/>
    </w:pPr>
    <w:rPr>
      <w:sz w:val="18"/>
      <w:szCs w:val="18"/>
    </w:rPr>
  </w:style>
  <w:style w:type="paragraph" w:styleId="22">
    <w:name w:val="toc 1"/>
    <w:basedOn w:val="1"/>
    <w:next w:val="1"/>
    <w:unhideWhenUsed/>
    <w:qFormat/>
    <w:uiPriority w:val="39"/>
  </w:style>
  <w:style w:type="paragraph" w:styleId="23">
    <w:name w:val="toc 2"/>
    <w:basedOn w:val="1"/>
    <w:next w:val="1"/>
    <w:unhideWhenUsed/>
    <w:qFormat/>
    <w:uiPriority w:val="39"/>
    <w:pPr>
      <w:ind w:left="420" w:leftChars="200"/>
    </w:pPr>
  </w:style>
  <w:style w:type="paragraph" w:styleId="24">
    <w:name w:val="Normal (Web)"/>
    <w:basedOn w:val="1"/>
    <w:unhideWhenUsed/>
    <w:qFormat/>
    <w:uiPriority w:val="99"/>
    <w:pPr>
      <w:spacing w:line="360" w:lineRule="auto"/>
      <w:ind w:firstLine="480" w:firstLineChars="200"/>
    </w:pPr>
    <w:rPr>
      <w:rFonts w:ascii="Times New Roman" w:hAnsi="Times New Roman" w:eastAsia="宋体" w:cs="Times New Roman"/>
      <w:sz w:val="24"/>
      <w:szCs w:val="24"/>
    </w:rPr>
  </w:style>
  <w:style w:type="paragraph" w:styleId="25">
    <w:name w:val="Title"/>
    <w:basedOn w:val="1"/>
    <w:next w:val="8"/>
    <w:link w:val="82"/>
    <w:qFormat/>
    <w:uiPriority w:val="0"/>
    <w:pPr>
      <w:spacing w:before="240" w:after="60"/>
      <w:jc w:val="left"/>
      <w:outlineLvl w:val="0"/>
    </w:pPr>
    <w:rPr>
      <w:rFonts w:ascii="Arial" w:hAnsi="Arial" w:eastAsia="宋体" w:cs="Times New Roman"/>
      <w:b/>
      <w:sz w:val="32"/>
      <w:szCs w:val="24"/>
    </w:rPr>
  </w:style>
  <w:style w:type="paragraph" w:styleId="26">
    <w:name w:val="annotation subject"/>
    <w:basedOn w:val="12"/>
    <w:next w:val="12"/>
    <w:link w:val="48"/>
    <w:semiHidden/>
    <w:unhideWhenUsed/>
    <w:qFormat/>
    <w:uiPriority w:val="99"/>
    <w:rPr>
      <w:b/>
      <w:bCs/>
    </w:rPr>
  </w:style>
  <w:style w:type="paragraph" w:styleId="27">
    <w:name w:val="Body Text First Indent"/>
    <w:basedOn w:val="13"/>
    <w:next w:val="1"/>
    <w:link w:val="59"/>
    <w:unhideWhenUsed/>
    <w:qFormat/>
    <w:uiPriority w:val="0"/>
    <w:pPr>
      <w:ind w:firstLine="420" w:firstLineChars="100"/>
    </w:pPr>
    <w:rPr>
      <w:rFonts w:ascii="Calibri" w:hAnsi="Calibri" w:eastAsia="宋体" w:cs="Times New Roman"/>
    </w:rPr>
  </w:style>
  <w:style w:type="table" w:styleId="29">
    <w:name w:val="Table Grid"/>
    <w:basedOn w:val="2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1">
    <w:name w:val="Strong"/>
    <w:basedOn w:val="30"/>
    <w:qFormat/>
    <w:uiPriority w:val="22"/>
    <w:rPr>
      <w:b/>
    </w:rPr>
  </w:style>
  <w:style w:type="character" w:styleId="32">
    <w:name w:val="FollowedHyperlink"/>
    <w:basedOn w:val="30"/>
    <w:semiHidden/>
    <w:unhideWhenUsed/>
    <w:qFormat/>
    <w:uiPriority w:val="99"/>
    <w:rPr>
      <w:color w:val="333333"/>
      <w:u w:val="none"/>
    </w:rPr>
  </w:style>
  <w:style w:type="character" w:styleId="33">
    <w:name w:val="Hyperlink"/>
    <w:basedOn w:val="30"/>
    <w:unhideWhenUsed/>
    <w:qFormat/>
    <w:uiPriority w:val="99"/>
    <w:rPr>
      <w:color w:val="0000FF" w:themeColor="hyperlink"/>
      <w:u w:val="single"/>
      <w14:textFill>
        <w14:solidFill>
          <w14:schemeClr w14:val="hlink"/>
        </w14:solidFill>
      </w14:textFill>
    </w:rPr>
  </w:style>
  <w:style w:type="character" w:styleId="34">
    <w:name w:val="HTML Code"/>
    <w:basedOn w:val="30"/>
    <w:semiHidden/>
    <w:unhideWhenUsed/>
    <w:qFormat/>
    <w:uiPriority w:val="99"/>
    <w:rPr>
      <w:rFonts w:ascii="Courier New" w:hAnsi="Courier New"/>
      <w:sz w:val="20"/>
    </w:rPr>
  </w:style>
  <w:style w:type="character" w:styleId="35">
    <w:name w:val="annotation reference"/>
    <w:basedOn w:val="30"/>
    <w:unhideWhenUsed/>
    <w:qFormat/>
    <w:uiPriority w:val="0"/>
    <w:rPr>
      <w:sz w:val="21"/>
      <w:szCs w:val="21"/>
    </w:rPr>
  </w:style>
  <w:style w:type="paragraph" w:customStyle="1" w:styleId="36">
    <w:name w:val="正文1"/>
    <w:link w:val="74"/>
    <w:qFormat/>
    <w:uiPriority w:val="0"/>
    <w:pPr>
      <w:jc w:val="both"/>
    </w:pPr>
    <w:rPr>
      <w:rFonts w:ascii="Calibri" w:hAnsi="Calibri" w:eastAsia="宋体" w:cs="宋体"/>
      <w:kern w:val="2"/>
      <w:sz w:val="21"/>
      <w:szCs w:val="21"/>
      <w:lang w:val="en-US" w:eastAsia="zh-CN" w:bidi="ar-SA"/>
    </w:rPr>
  </w:style>
  <w:style w:type="paragraph" w:customStyle="1" w:styleId="37">
    <w:name w:val="Table Paragraph"/>
    <w:basedOn w:val="1"/>
    <w:next w:val="13"/>
    <w:qFormat/>
    <w:uiPriority w:val="1"/>
    <w:pPr>
      <w:autoSpaceDE w:val="0"/>
      <w:autoSpaceDN w:val="0"/>
      <w:jc w:val="center"/>
    </w:pPr>
    <w:rPr>
      <w:rFonts w:ascii="Times New Roman" w:hAnsi="Times New Roman" w:eastAsia="Times New Roman" w:cs="Times New Roman"/>
      <w:kern w:val="0"/>
      <w:sz w:val="22"/>
      <w:lang w:eastAsia="en-US"/>
    </w:rPr>
  </w:style>
  <w:style w:type="paragraph" w:customStyle="1" w:styleId="38">
    <w:name w:val="表头"/>
    <w:next w:val="1"/>
    <w:qFormat/>
    <w:uiPriority w:val="0"/>
    <w:pPr>
      <w:spacing w:before="120" w:beforeLines="50" w:line="360" w:lineRule="auto"/>
      <w:jc w:val="center"/>
    </w:pPr>
    <w:rPr>
      <w:rFonts w:ascii="Times New Roman" w:hAnsi="Times New Roman" w:eastAsia="宋体" w:cs="宋体"/>
      <w:b/>
      <w:color w:val="000000"/>
      <w:sz w:val="24"/>
      <w:lang w:val="en-US" w:eastAsia="zh-CN" w:bidi="ar-SA"/>
    </w:rPr>
  </w:style>
  <w:style w:type="paragraph" w:customStyle="1" w:styleId="39">
    <w:name w:val="表格内容"/>
    <w:basedOn w:val="1"/>
    <w:link w:val="63"/>
    <w:qFormat/>
    <w:uiPriority w:val="0"/>
    <w:pPr>
      <w:overflowPunct w:val="0"/>
      <w:adjustRightInd w:val="0"/>
      <w:spacing w:before="40" w:after="60" w:line="200" w:lineRule="atLeast"/>
      <w:ind w:firstLine="480" w:firstLineChars="200"/>
      <w:textAlignment w:val="baseline"/>
    </w:pPr>
    <w:rPr>
      <w:rFonts w:ascii="Arial" w:hAnsi="Arial" w:eastAsia="仿宋_GB2312" w:cs="Times New Roman"/>
      <w:kern w:val="0"/>
      <w:sz w:val="24"/>
      <w:szCs w:val="24"/>
    </w:rPr>
  </w:style>
  <w:style w:type="character" w:customStyle="1" w:styleId="40">
    <w:name w:val="批注框文本 字符"/>
    <w:basedOn w:val="30"/>
    <w:link w:val="19"/>
    <w:semiHidden/>
    <w:qFormat/>
    <w:uiPriority w:val="99"/>
    <w:rPr>
      <w:sz w:val="18"/>
      <w:szCs w:val="18"/>
    </w:rPr>
  </w:style>
  <w:style w:type="paragraph" w:customStyle="1" w:styleId="41">
    <w:name w:val="样式 题注 + (西文) Times New Roman (中文) 宋体 五号 加粗 首行缩进:  2 字符"/>
    <w:basedOn w:val="10"/>
    <w:qFormat/>
    <w:uiPriority w:val="0"/>
    <w:pPr>
      <w:spacing w:line="360" w:lineRule="auto"/>
      <w:ind w:firstLine="422" w:firstLineChars="200"/>
      <w:jc w:val="center"/>
    </w:pPr>
    <w:rPr>
      <w:rFonts w:ascii="Times New Roman" w:hAnsi="Arial" w:eastAsia="宋体" w:cs="Times New Roman"/>
      <w:b/>
      <w:sz w:val="21"/>
      <w:szCs w:val="24"/>
    </w:rPr>
  </w:style>
  <w:style w:type="character" w:customStyle="1" w:styleId="42">
    <w:name w:val="页眉 字符"/>
    <w:basedOn w:val="30"/>
    <w:link w:val="21"/>
    <w:qFormat/>
    <w:uiPriority w:val="99"/>
    <w:rPr>
      <w:sz w:val="18"/>
      <w:szCs w:val="18"/>
    </w:rPr>
  </w:style>
  <w:style w:type="character" w:customStyle="1" w:styleId="43">
    <w:name w:val="页脚 字符"/>
    <w:basedOn w:val="30"/>
    <w:link w:val="20"/>
    <w:qFormat/>
    <w:uiPriority w:val="99"/>
    <w:rPr>
      <w:sz w:val="18"/>
      <w:szCs w:val="18"/>
    </w:rPr>
  </w:style>
  <w:style w:type="character" w:customStyle="1" w:styleId="44">
    <w:name w:val="标题 1 字符"/>
    <w:basedOn w:val="30"/>
    <w:link w:val="5"/>
    <w:qFormat/>
    <w:uiPriority w:val="9"/>
    <w:rPr>
      <w:b/>
      <w:bCs/>
      <w:kern w:val="44"/>
      <w:sz w:val="44"/>
      <w:szCs w:val="44"/>
    </w:rPr>
  </w:style>
  <w:style w:type="paragraph" w:customStyle="1" w:styleId="45">
    <w:name w:val="TOC 标题1"/>
    <w:basedOn w:val="5"/>
    <w:next w:val="1"/>
    <w:semiHidden/>
    <w:unhideWhenUsed/>
    <w:qFormat/>
    <w:uiPriority w:val="39"/>
    <w:pPr>
      <w:widowControl/>
      <w:spacing w:before="480" w:after="0" w:line="276" w:lineRule="auto"/>
      <w:jc w:val="left"/>
      <w:outlineLvl w:val="9"/>
    </w:pPr>
    <w:rPr>
      <w:rFonts w:asciiTheme="majorHAnsi" w:hAnsiTheme="majorHAnsi" w:eastAsiaTheme="majorEastAsia" w:cstheme="majorBidi"/>
      <w:color w:val="376092" w:themeColor="accent1" w:themeShade="BF"/>
      <w:kern w:val="0"/>
      <w:sz w:val="28"/>
      <w:szCs w:val="28"/>
    </w:rPr>
  </w:style>
  <w:style w:type="character" w:customStyle="1" w:styleId="46">
    <w:name w:val="文档结构图 字符"/>
    <w:basedOn w:val="30"/>
    <w:link w:val="11"/>
    <w:semiHidden/>
    <w:qFormat/>
    <w:uiPriority w:val="99"/>
    <w:rPr>
      <w:rFonts w:ascii="宋体" w:eastAsia="宋体"/>
      <w:sz w:val="18"/>
      <w:szCs w:val="18"/>
    </w:rPr>
  </w:style>
  <w:style w:type="character" w:customStyle="1" w:styleId="47">
    <w:name w:val="批注文字 字符"/>
    <w:basedOn w:val="30"/>
    <w:link w:val="12"/>
    <w:qFormat/>
    <w:uiPriority w:val="99"/>
  </w:style>
  <w:style w:type="character" w:customStyle="1" w:styleId="48">
    <w:name w:val="批注主题 字符"/>
    <w:basedOn w:val="47"/>
    <w:link w:val="26"/>
    <w:semiHidden/>
    <w:qFormat/>
    <w:uiPriority w:val="99"/>
    <w:rPr>
      <w:b/>
      <w:bCs/>
    </w:rPr>
  </w:style>
  <w:style w:type="character" w:customStyle="1" w:styleId="49">
    <w:name w:val="日期 字符"/>
    <w:basedOn w:val="30"/>
    <w:link w:val="18"/>
    <w:semiHidden/>
    <w:qFormat/>
    <w:uiPriority w:val="99"/>
    <w:rPr>
      <w:kern w:val="2"/>
      <w:sz w:val="21"/>
      <w:szCs w:val="22"/>
    </w:rPr>
  </w:style>
  <w:style w:type="paragraph" w:customStyle="1" w:styleId="50">
    <w:name w:val="报告书表格文本"/>
    <w:basedOn w:val="13"/>
    <w:qFormat/>
    <w:uiPriority w:val="0"/>
    <w:pPr>
      <w:spacing w:after="0" w:line="320" w:lineRule="exact"/>
      <w:jc w:val="center"/>
      <w:textAlignment w:val="center"/>
    </w:pPr>
    <w:rPr>
      <w:rFonts w:ascii="Times New Roman" w:hAnsi="Times New Roman" w:eastAsia="宋体" w:cs="宋体"/>
      <w:kern w:val="0"/>
      <w:szCs w:val="21"/>
    </w:rPr>
  </w:style>
  <w:style w:type="character" w:customStyle="1" w:styleId="51">
    <w:name w:val="正文文本 字符"/>
    <w:basedOn w:val="30"/>
    <w:link w:val="13"/>
    <w:semiHidden/>
    <w:qFormat/>
    <w:uiPriority w:val="99"/>
    <w:rPr>
      <w:kern w:val="2"/>
      <w:sz w:val="21"/>
      <w:szCs w:val="22"/>
    </w:rPr>
  </w:style>
  <w:style w:type="character" w:customStyle="1" w:styleId="52">
    <w:name w:val="正文文本缩进 字符"/>
    <w:basedOn w:val="30"/>
    <w:link w:val="15"/>
    <w:semiHidden/>
    <w:qFormat/>
    <w:uiPriority w:val="99"/>
    <w:rPr>
      <w:kern w:val="2"/>
      <w:sz w:val="21"/>
      <w:szCs w:val="22"/>
    </w:rPr>
  </w:style>
  <w:style w:type="character" w:customStyle="1" w:styleId="53">
    <w:name w:val="表文字 Char"/>
    <w:link w:val="54"/>
    <w:qFormat/>
    <w:uiPriority w:val="0"/>
    <w:rPr>
      <w:sz w:val="24"/>
      <w:szCs w:val="24"/>
    </w:rPr>
  </w:style>
  <w:style w:type="paragraph" w:customStyle="1" w:styleId="54">
    <w:name w:val="表文字"/>
    <w:basedOn w:val="1"/>
    <w:link w:val="53"/>
    <w:qFormat/>
    <w:uiPriority w:val="0"/>
    <w:pPr>
      <w:overflowPunct w:val="0"/>
      <w:autoSpaceDE w:val="0"/>
      <w:autoSpaceDN w:val="0"/>
      <w:adjustRightInd w:val="0"/>
      <w:spacing w:line="240" w:lineRule="atLeast"/>
      <w:jc w:val="center"/>
      <w:textAlignment w:val="baseline"/>
    </w:pPr>
    <w:rPr>
      <w:kern w:val="0"/>
      <w:sz w:val="24"/>
      <w:szCs w:val="24"/>
    </w:rPr>
  </w:style>
  <w:style w:type="character" w:customStyle="1" w:styleId="55">
    <w:name w:val="font31"/>
    <w:basedOn w:val="30"/>
    <w:qFormat/>
    <w:uiPriority w:val="0"/>
    <w:rPr>
      <w:rFonts w:ascii="Times New Roman" w:hAnsi="Times New Roman" w:cs="Times New Roman"/>
      <w:color w:val="000000"/>
      <w:sz w:val="20"/>
      <w:szCs w:val="20"/>
      <w:u w:val="none"/>
      <w:lang w:bidi="ar-SA"/>
    </w:rPr>
  </w:style>
  <w:style w:type="character" w:customStyle="1" w:styleId="56">
    <w:name w:val="标题 2 字符"/>
    <w:basedOn w:val="30"/>
    <w:link w:val="6"/>
    <w:qFormat/>
    <w:uiPriority w:val="9"/>
    <w:rPr>
      <w:rFonts w:asciiTheme="majorHAnsi" w:hAnsiTheme="majorHAnsi" w:eastAsiaTheme="majorEastAsia" w:cstheme="majorBidi"/>
      <w:b/>
      <w:bCs/>
      <w:kern w:val="2"/>
      <w:sz w:val="32"/>
      <w:szCs w:val="32"/>
    </w:rPr>
  </w:style>
  <w:style w:type="paragraph" w:customStyle="1" w:styleId="57">
    <w:name w:val="列出段落1"/>
    <w:basedOn w:val="1"/>
    <w:qFormat/>
    <w:uiPriority w:val="34"/>
    <w:pPr>
      <w:ind w:firstLine="420" w:firstLineChars="200"/>
    </w:pPr>
  </w:style>
  <w:style w:type="paragraph" w:customStyle="1" w:styleId="58">
    <w:name w:val="Char"/>
    <w:basedOn w:val="1"/>
    <w:qFormat/>
    <w:uiPriority w:val="0"/>
    <w:pPr>
      <w:adjustRightInd w:val="0"/>
      <w:spacing w:line="360" w:lineRule="atLeast"/>
      <w:textAlignment w:val="baseline"/>
    </w:pPr>
    <w:rPr>
      <w:rFonts w:ascii="Times New Roman" w:hAnsi="Times New Roman" w:eastAsia="宋体" w:cs="Times New Roman"/>
      <w:szCs w:val="24"/>
    </w:rPr>
  </w:style>
  <w:style w:type="character" w:customStyle="1" w:styleId="59">
    <w:name w:val="正文文本首行缩进 字符"/>
    <w:basedOn w:val="51"/>
    <w:link w:val="27"/>
    <w:qFormat/>
    <w:uiPriority w:val="0"/>
    <w:rPr>
      <w:rFonts w:ascii="Calibri" w:hAnsi="Calibri" w:eastAsia="宋体" w:cs="Times New Roman"/>
      <w:kern w:val="2"/>
      <w:sz w:val="21"/>
      <w:szCs w:val="22"/>
    </w:rPr>
  </w:style>
  <w:style w:type="paragraph" w:customStyle="1" w:styleId="60">
    <w:name w:val="正文2"/>
    <w:qFormat/>
    <w:uiPriority w:val="0"/>
    <w:pPr>
      <w:jc w:val="both"/>
    </w:pPr>
    <w:rPr>
      <w:rFonts w:ascii="Times New Roman" w:hAnsi="Times New Roman" w:eastAsia="宋体" w:cs="Times New Roman"/>
      <w:kern w:val="2"/>
      <w:sz w:val="21"/>
      <w:szCs w:val="21"/>
      <w:lang w:val="en-US" w:eastAsia="zh-CN" w:bidi="ar-SA"/>
    </w:rPr>
  </w:style>
  <w:style w:type="paragraph" w:customStyle="1" w:styleId="61">
    <w:name w:val="表格格式"/>
    <w:basedOn w:val="1"/>
    <w:qFormat/>
    <w:uiPriority w:val="0"/>
    <w:pPr>
      <w:widowControl/>
      <w:spacing w:line="360" w:lineRule="exact"/>
      <w:jc w:val="center"/>
    </w:pPr>
    <w:rPr>
      <w:rFonts w:ascii="Times New Roman" w:hAnsi="Times New Roman" w:eastAsia="宋体" w:cs="Times New Roman"/>
      <w:kern w:val="0"/>
      <w:szCs w:val="24"/>
    </w:rPr>
  </w:style>
  <w:style w:type="character" w:customStyle="1" w:styleId="62">
    <w:name w:val="正文缩进 字符"/>
    <w:link w:val="9"/>
    <w:qFormat/>
    <w:uiPriority w:val="0"/>
    <w:rPr>
      <w:rFonts w:ascii="仿宋_GB2312" w:hAnsi="Arial Black" w:eastAsia="仿宋_GB2312"/>
      <w:kern w:val="2"/>
      <w:sz w:val="28"/>
      <w:szCs w:val="22"/>
    </w:rPr>
  </w:style>
  <w:style w:type="character" w:customStyle="1" w:styleId="63">
    <w:name w:val="表格内容 Char"/>
    <w:basedOn w:val="30"/>
    <w:link w:val="39"/>
    <w:qFormat/>
    <w:uiPriority w:val="0"/>
    <w:rPr>
      <w:rFonts w:ascii="Arial" w:hAnsi="Arial" w:eastAsia="仿宋_GB2312" w:cs="Times New Roman"/>
      <w:sz w:val="24"/>
      <w:szCs w:val="24"/>
    </w:rPr>
  </w:style>
  <w:style w:type="character" w:customStyle="1" w:styleId="64">
    <w:name w:val="active"/>
    <w:basedOn w:val="30"/>
    <w:qFormat/>
    <w:uiPriority w:val="0"/>
    <w:rPr>
      <w:color w:val="333333"/>
    </w:rPr>
  </w:style>
  <w:style w:type="character" w:customStyle="1" w:styleId="65">
    <w:name w:val="hover"/>
    <w:basedOn w:val="30"/>
    <w:qFormat/>
    <w:uiPriority w:val="0"/>
    <w:rPr>
      <w:color w:val="2F6EA2"/>
    </w:rPr>
  </w:style>
  <w:style w:type="character" w:customStyle="1" w:styleId="66">
    <w:name w:val="calendar-head__prev-range-btn"/>
    <w:basedOn w:val="30"/>
    <w:qFormat/>
    <w:uiPriority w:val="0"/>
    <w:rPr>
      <w:vanish/>
    </w:rPr>
  </w:style>
  <w:style w:type="character" w:customStyle="1" w:styleId="67">
    <w:name w:val="calendar-head__next-range-btn"/>
    <w:basedOn w:val="30"/>
    <w:qFormat/>
    <w:uiPriority w:val="0"/>
    <w:rPr>
      <w:vanish/>
    </w:rPr>
  </w:style>
  <w:style w:type="character" w:customStyle="1" w:styleId="68">
    <w:name w:val="calendar-head__text-display"/>
    <w:basedOn w:val="30"/>
    <w:qFormat/>
    <w:uiPriority w:val="0"/>
    <w:rPr>
      <w:vanish/>
    </w:rPr>
  </w:style>
  <w:style w:type="character" w:customStyle="1" w:styleId="69">
    <w:name w:val="calendar-head__year-range"/>
    <w:basedOn w:val="30"/>
    <w:qFormat/>
    <w:uiPriority w:val="0"/>
    <w:rPr>
      <w:vanish/>
    </w:rPr>
  </w:style>
  <w:style w:type="character" w:customStyle="1" w:styleId="70">
    <w:name w:val="calendar-head__next-month-btn"/>
    <w:basedOn w:val="30"/>
    <w:qFormat/>
    <w:uiPriority w:val="0"/>
  </w:style>
  <w:style w:type="character" w:customStyle="1" w:styleId="71">
    <w:name w:val="calendar-head__next-year-btn"/>
    <w:basedOn w:val="30"/>
    <w:qFormat/>
    <w:uiPriority w:val="0"/>
  </w:style>
  <w:style w:type="character" w:customStyle="1" w:styleId="72">
    <w:name w:val="active2"/>
    <w:basedOn w:val="30"/>
    <w:qFormat/>
    <w:uiPriority w:val="0"/>
    <w:rPr>
      <w:color w:val="333333"/>
    </w:rPr>
  </w:style>
  <w:style w:type="character" w:customStyle="1" w:styleId="73">
    <w:name w:val="标题 3 字符"/>
    <w:basedOn w:val="30"/>
    <w:link w:val="7"/>
    <w:semiHidden/>
    <w:qFormat/>
    <w:uiPriority w:val="9"/>
    <w:rPr>
      <w:rFonts w:asciiTheme="minorHAnsi" w:hAnsiTheme="minorHAnsi" w:eastAsiaTheme="minorEastAsia" w:cstheme="minorBidi"/>
      <w:b/>
      <w:bCs/>
      <w:kern w:val="2"/>
      <w:sz w:val="32"/>
      <w:szCs w:val="32"/>
    </w:rPr>
  </w:style>
  <w:style w:type="character" w:customStyle="1" w:styleId="74">
    <w:name w:val="正文1 Char1"/>
    <w:link w:val="36"/>
    <w:qFormat/>
    <w:uiPriority w:val="0"/>
    <w:rPr>
      <w:rFonts w:ascii="Calibri" w:hAnsi="Calibri" w:cs="宋体"/>
      <w:kern w:val="2"/>
      <w:sz w:val="21"/>
      <w:szCs w:val="21"/>
    </w:rPr>
  </w:style>
  <w:style w:type="character" w:customStyle="1" w:styleId="75">
    <w:name w:val="未处理的提及1"/>
    <w:basedOn w:val="30"/>
    <w:semiHidden/>
    <w:unhideWhenUsed/>
    <w:qFormat/>
    <w:uiPriority w:val="99"/>
    <w:rPr>
      <w:color w:val="605E5C"/>
      <w:shd w:val="clear" w:color="auto" w:fill="E1DFDD"/>
    </w:rPr>
  </w:style>
  <w:style w:type="paragraph" w:customStyle="1" w:styleId="76">
    <w:name w:val="正文文字"/>
    <w:basedOn w:val="1"/>
    <w:qFormat/>
    <w:uiPriority w:val="0"/>
    <w:pPr>
      <w:spacing w:line="360" w:lineRule="auto"/>
      <w:ind w:firstLine="200" w:firstLineChars="200"/>
    </w:pPr>
    <w:rPr>
      <w:rFonts w:eastAsia="宋体"/>
      <w:szCs w:val="20"/>
    </w:rPr>
  </w:style>
  <w:style w:type="paragraph" w:customStyle="1" w:styleId="77">
    <w:name w:val="样式9"/>
    <w:basedOn w:val="1"/>
    <w:qFormat/>
    <w:uiPriority w:val="0"/>
    <w:pPr>
      <w:adjustRightInd w:val="0"/>
      <w:snapToGrid w:val="0"/>
      <w:spacing w:line="460" w:lineRule="exact"/>
      <w:ind w:firstLine="520" w:firstLineChars="200"/>
    </w:pPr>
    <w:rPr>
      <w:rFonts w:ascii="Calibri" w:hAnsi="Calibri" w:eastAsia="宋体" w:cs="Times New Roman"/>
      <w:sz w:val="26"/>
      <w:szCs w:val="26"/>
    </w:rPr>
  </w:style>
  <w:style w:type="paragraph" w:customStyle="1" w:styleId="78">
    <w:name w:val="正文01"/>
    <w:basedOn w:val="1"/>
    <w:qFormat/>
    <w:uiPriority w:val="0"/>
    <w:pPr>
      <w:adjustRightInd w:val="0"/>
      <w:snapToGrid w:val="0"/>
      <w:spacing w:before="60" w:after="100" w:afterAutospacing="1" w:line="460" w:lineRule="exact"/>
      <w:ind w:firstLine="200" w:firstLineChars="200"/>
    </w:pPr>
    <w:rPr>
      <w:rFonts w:ascii="宋体" w:hAnsi="宋体" w:eastAsia="宋体" w:cs="宋体"/>
      <w:kern w:val="0"/>
      <w:sz w:val="24"/>
      <w:szCs w:val="24"/>
    </w:rPr>
  </w:style>
  <w:style w:type="paragraph" w:customStyle="1" w:styleId="79">
    <w:name w:val="表字居中"/>
    <w:basedOn w:val="54"/>
    <w:next w:val="13"/>
    <w:qFormat/>
    <w:uiPriority w:val="0"/>
    <w:pPr>
      <w:spacing w:line="240" w:lineRule="auto"/>
    </w:pPr>
    <w:rPr>
      <w:rFonts w:ascii="Times New Roman" w:hAnsi="Times New Roman" w:eastAsia="宋体" w:cs="宋体"/>
      <w:szCs w:val="21"/>
    </w:rPr>
  </w:style>
  <w:style w:type="paragraph" w:customStyle="1" w:styleId="80">
    <w:name w:val="表 图 内容"/>
    <w:basedOn w:val="1"/>
    <w:qFormat/>
    <w:uiPriority w:val="0"/>
    <w:pPr>
      <w:jc w:val="center"/>
    </w:pPr>
    <w:rPr>
      <w:rFonts w:ascii="Calibri" w:hAnsi="Calibri" w:eastAsia="宋体" w:cs="Times New Roman"/>
      <w:color w:val="000000"/>
      <w:szCs w:val="24"/>
    </w:rPr>
  </w:style>
  <w:style w:type="paragraph" w:customStyle="1" w:styleId="81">
    <w:name w:val="表图 内容 五号"/>
    <w:basedOn w:val="1"/>
    <w:qFormat/>
    <w:uiPriority w:val="0"/>
    <w:pPr>
      <w:jc w:val="center"/>
    </w:pPr>
    <w:rPr>
      <w:rFonts w:ascii="Calibri" w:hAnsi="Calibri" w:eastAsia="宋体" w:cs="Times New Roman"/>
      <w:color w:val="000000"/>
      <w:szCs w:val="18"/>
    </w:rPr>
  </w:style>
  <w:style w:type="character" w:customStyle="1" w:styleId="82">
    <w:name w:val="标题 字符"/>
    <w:basedOn w:val="30"/>
    <w:link w:val="25"/>
    <w:qFormat/>
    <w:uiPriority w:val="0"/>
    <w:rPr>
      <w:rFonts w:ascii="Arial" w:hAnsi="Arial"/>
      <w:b/>
      <w:kern w:val="2"/>
      <w:sz w:val="32"/>
      <w:szCs w:val="24"/>
    </w:rPr>
  </w:style>
  <w:style w:type="character" w:customStyle="1" w:styleId="83">
    <w:name w:val="标题 4 字符"/>
    <w:basedOn w:val="30"/>
    <w:link w:val="8"/>
    <w:semiHidden/>
    <w:qFormat/>
    <w:uiPriority w:val="9"/>
    <w:rPr>
      <w:rFonts w:asciiTheme="majorHAnsi" w:hAnsiTheme="majorHAnsi" w:eastAsiaTheme="majorEastAsia" w:cstheme="majorBidi"/>
      <w:b/>
      <w:bCs/>
      <w:kern w:val="2"/>
      <w:sz w:val="28"/>
      <w:szCs w:val="28"/>
    </w:rPr>
  </w:style>
  <w:style w:type="paragraph" w:customStyle="1" w:styleId="84">
    <w:name w:val="修订1"/>
    <w:hidden/>
    <w:semiHidden/>
    <w:qFormat/>
    <w:uiPriority w:val="99"/>
    <w:rPr>
      <w:rFonts w:asciiTheme="minorHAnsi" w:hAnsiTheme="minorHAnsi" w:eastAsiaTheme="minorEastAsia" w:cstheme="minorBidi"/>
      <w:kern w:val="2"/>
      <w:sz w:val="21"/>
      <w:szCs w:val="22"/>
      <w:lang w:val="en-US" w:eastAsia="zh-CN" w:bidi="ar-SA"/>
    </w:rPr>
  </w:style>
  <w:style w:type="paragraph" w:customStyle="1" w:styleId="85">
    <w:name w:val="段落"/>
    <w:basedOn w:val="1"/>
    <w:qFormat/>
    <w:uiPriority w:val="0"/>
    <w:pPr>
      <w:tabs>
        <w:tab w:val="left" w:pos="900"/>
      </w:tabs>
      <w:spacing w:line="312" w:lineRule="auto"/>
      <w:ind w:right="-67" w:rightChars="-28" w:firstLine="600" w:firstLineChars="250"/>
      <w:jc w:val="left"/>
    </w:pPr>
    <w:rPr>
      <w:rFonts w:cs="Times New Roman"/>
      <w:color w:val="000000"/>
      <w:kern w:val="24"/>
      <w:szCs w:val="20"/>
    </w:rPr>
  </w:style>
  <w:style w:type="paragraph" w:customStyle="1" w:styleId="86">
    <w:name w:val="Revision"/>
    <w:hidden/>
    <w:semiHidden/>
    <w:qFormat/>
    <w:uiPriority w:val="99"/>
    <w:rPr>
      <w:rFonts w:asciiTheme="minorHAnsi" w:hAnsiTheme="minorHAnsi" w:eastAsiaTheme="minorEastAsia" w:cstheme="minorBidi"/>
      <w:kern w:val="2"/>
      <w:sz w:val="21"/>
      <w:szCs w:val="22"/>
      <w:lang w:val="en-US" w:eastAsia="zh-CN" w:bidi="ar-SA"/>
    </w:rPr>
  </w:style>
  <w:style w:type="paragraph" w:customStyle="1" w:styleId="87">
    <w:name w:val="0正文"/>
    <w:qFormat/>
    <w:uiPriority w:val="0"/>
    <w:pPr>
      <w:widowControl w:val="0"/>
      <w:spacing w:line="360" w:lineRule="auto"/>
      <w:ind w:firstLine="720" w:firstLineChars="200"/>
    </w:pPr>
    <w:rPr>
      <w:rFonts w:ascii="Times New Roman" w:hAnsi="Times New Roman" w:eastAsia="宋体" w:cs="Times New Roman"/>
      <w:sz w:val="24"/>
      <w:szCs w:val="22"/>
      <w:lang w:val="en-US" w:eastAsia="zh-CN" w:bidi="ar-SA"/>
    </w:rPr>
  </w:style>
  <w:style w:type="paragraph" w:customStyle="1" w:styleId="88">
    <w:name w:val="表标题"/>
    <w:basedOn w:val="1"/>
    <w:qFormat/>
    <w:uiPriority w:val="0"/>
    <w:pPr>
      <w:jc w:val="center"/>
    </w:pPr>
    <w:rPr>
      <w:rFonts w:ascii="Times New Roman" w:hAnsi="Times New Roman" w:eastAsia="宋体"/>
      <w:b/>
      <w:sz w:val="21"/>
    </w:rPr>
  </w:style>
</w:styles>
</file>

<file path=word/_rels/document.xml.rels><?xml version="1.0" encoding="UTF-8" standalone="yes"?>
<Relationships xmlns="http://schemas.openxmlformats.org/package/2006/relationships"><Relationship Id="rId98" Type="http://schemas.openxmlformats.org/officeDocument/2006/relationships/fontTable" Target="fontTable.xml"/><Relationship Id="rId97" Type="http://schemas.openxmlformats.org/officeDocument/2006/relationships/customXml" Target="../customXml/item2.xml"/><Relationship Id="rId96" Type="http://schemas.openxmlformats.org/officeDocument/2006/relationships/numbering" Target="numbering.xml"/><Relationship Id="rId95" Type="http://schemas.openxmlformats.org/officeDocument/2006/relationships/customXml" Target="../customXml/item1.xml"/><Relationship Id="rId94" Type="http://schemas.openxmlformats.org/officeDocument/2006/relationships/image" Target="media/image81.png"/><Relationship Id="rId93" Type="http://schemas.openxmlformats.org/officeDocument/2006/relationships/image" Target="media/image80.png"/><Relationship Id="rId92" Type="http://schemas.openxmlformats.org/officeDocument/2006/relationships/image" Target="media/image79.png"/><Relationship Id="rId91" Type="http://schemas.openxmlformats.org/officeDocument/2006/relationships/image" Target="media/image78.png"/><Relationship Id="rId90" Type="http://schemas.openxmlformats.org/officeDocument/2006/relationships/image" Target="media/image77.jpeg"/><Relationship Id="rId9" Type="http://schemas.openxmlformats.org/officeDocument/2006/relationships/oleObject" Target="embeddings/oleObject2.bin"/><Relationship Id="rId89" Type="http://schemas.openxmlformats.org/officeDocument/2006/relationships/image" Target="media/image76.jpeg"/><Relationship Id="rId88" Type="http://schemas.openxmlformats.org/officeDocument/2006/relationships/image" Target="media/image75.jpeg"/><Relationship Id="rId87" Type="http://schemas.openxmlformats.org/officeDocument/2006/relationships/image" Target="media/image74.png"/><Relationship Id="rId86" Type="http://schemas.openxmlformats.org/officeDocument/2006/relationships/image" Target="media/image73.png"/><Relationship Id="rId85" Type="http://schemas.openxmlformats.org/officeDocument/2006/relationships/image" Target="media/image72.png"/><Relationship Id="rId84" Type="http://schemas.openxmlformats.org/officeDocument/2006/relationships/image" Target="media/image71.png"/><Relationship Id="rId83" Type="http://schemas.openxmlformats.org/officeDocument/2006/relationships/image" Target="media/image70.png"/><Relationship Id="rId82" Type="http://schemas.openxmlformats.org/officeDocument/2006/relationships/image" Target="media/image69.png"/><Relationship Id="rId81" Type="http://schemas.openxmlformats.org/officeDocument/2006/relationships/image" Target="media/image68.png"/><Relationship Id="rId80" Type="http://schemas.openxmlformats.org/officeDocument/2006/relationships/image" Target="media/image67.png"/><Relationship Id="rId8" Type="http://schemas.openxmlformats.org/officeDocument/2006/relationships/image" Target="media/image2.wmf"/><Relationship Id="rId79" Type="http://schemas.openxmlformats.org/officeDocument/2006/relationships/image" Target="media/image66.png"/><Relationship Id="rId78" Type="http://schemas.openxmlformats.org/officeDocument/2006/relationships/image" Target="media/image65.png"/><Relationship Id="rId77" Type="http://schemas.openxmlformats.org/officeDocument/2006/relationships/image" Target="media/image64.png"/><Relationship Id="rId76" Type="http://schemas.openxmlformats.org/officeDocument/2006/relationships/image" Target="media/image63.jpeg"/><Relationship Id="rId75" Type="http://schemas.openxmlformats.org/officeDocument/2006/relationships/image" Target="media/image62.emf"/><Relationship Id="rId74" Type="http://schemas.openxmlformats.org/officeDocument/2006/relationships/image" Target="media/image61.png"/><Relationship Id="rId73" Type="http://schemas.openxmlformats.org/officeDocument/2006/relationships/image" Target="media/image60.png"/><Relationship Id="rId72" Type="http://schemas.openxmlformats.org/officeDocument/2006/relationships/image" Target="media/image59.jpeg"/><Relationship Id="rId71" Type="http://schemas.openxmlformats.org/officeDocument/2006/relationships/image" Target="media/image58.jpeg"/><Relationship Id="rId70" Type="http://schemas.openxmlformats.org/officeDocument/2006/relationships/image" Target="media/image57.png"/><Relationship Id="rId7" Type="http://schemas.openxmlformats.org/officeDocument/2006/relationships/oleObject" Target="embeddings/oleObject1.bin"/><Relationship Id="rId69" Type="http://schemas.openxmlformats.org/officeDocument/2006/relationships/image" Target="media/image56.jpeg"/><Relationship Id="rId68" Type="http://schemas.openxmlformats.org/officeDocument/2006/relationships/image" Target="media/image55.jpeg"/><Relationship Id="rId67" Type="http://schemas.openxmlformats.org/officeDocument/2006/relationships/image" Target="media/image54.jpeg"/><Relationship Id="rId66" Type="http://schemas.openxmlformats.org/officeDocument/2006/relationships/image" Target="media/image53.jpeg"/><Relationship Id="rId65" Type="http://schemas.openxmlformats.org/officeDocument/2006/relationships/image" Target="media/image52.jpeg"/><Relationship Id="rId64" Type="http://schemas.openxmlformats.org/officeDocument/2006/relationships/image" Target="media/image51.jpeg"/><Relationship Id="rId63" Type="http://schemas.openxmlformats.org/officeDocument/2006/relationships/image" Target="media/image50.jpeg"/><Relationship Id="rId62" Type="http://schemas.openxmlformats.org/officeDocument/2006/relationships/image" Target="media/image49.png"/><Relationship Id="rId61" Type="http://schemas.openxmlformats.org/officeDocument/2006/relationships/image" Target="media/image48.png"/><Relationship Id="rId60" Type="http://schemas.openxmlformats.org/officeDocument/2006/relationships/image" Target="media/image47.png"/><Relationship Id="rId6" Type="http://schemas.openxmlformats.org/officeDocument/2006/relationships/image" Target="media/image1.jpeg"/><Relationship Id="rId59" Type="http://schemas.openxmlformats.org/officeDocument/2006/relationships/image" Target="media/image46.jpeg"/><Relationship Id="rId58" Type="http://schemas.openxmlformats.org/officeDocument/2006/relationships/image" Target="media/image45.jpeg"/><Relationship Id="rId57" Type="http://schemas.openxmlformats.org/officeDocument/2006/relationships/image" Target="media/image44.jpeg"/><Relationship Id="rId56" Type="http://schemas.openxmlformats.org/officeDocument/2006/relationships/image" Target="media/image43.jpeg"/><Relationship Id="rId55" Type="http://schemas.openxmlformats.org/officeDocument/2006/relationships/image" Target="media/image42.jpeg"/><Relationship Id="rId54" Type="http://schemas.openxmlformats.org/officeDocument/2006/relationships/image" Target="media/image41.jpeg"/><Relationship Id="rId53" Type="http://schemas.openxmlformats.org/officeDocument/2006/relationships/image" Target="media/image40.jpeg"/><Relationship Id="rId52" Type="http://schemas.openxmlformats.org/officeDocument/2006/relationships/image" Target="media/image39.jpeg"/><Relationship Id="rId51" Type="http://schemas.openxmlformats.org/officeDocument/2006/relationships/image" Target="media/image38.jpeg"/><Relationship Id="rId50" Type="http://schemas.openxmlformats.org/officeDocument/2006/relationships/image" Target="media/image37.jpeg"/><Relationship Id="rId5" Type="http://schemas.openxmlformats.org/officeDocument/2006/relationships/theme" Target="theme/theme1.xml"/><Relationship Id="rId49" Type="http://schemas.openxmlformats.org/officeDocument/2006/relationships/image" Target="media/image36.jpeg"/><Relationship Id="rId48" Type="http://schemas.openxmlformats.org/officeDocument/2006/relationships/image" Target="media/image35.jpeg"/><Relationship Id="rId47" Type="http://schemas.openxmlformats.org/officeDocument/2006/relationships/image" Target="media/image34.jpeg"/><Relationship Id="rId46" Type="http://schemas.openxmlformats.org/officeDocument/2006/relationships/image" Target="media/image33.jpeg"/><Relationship Id="rId45" Type="http://schemas.openxmlformats.org/officeDocument/2006/relationships/image" Target="media/image32.jpeg"/><Relationship Id="rId44" Type="http://schemas.openxmlformats.org/officeDocument/2006/relationships/image" Target="media/image31.jpeg"/><Relationship Id="rId43" Type="http://schemas.openxmlformats.org/officeDocument/2006/relationships/image" Target="media/image30.jpeg"/><Relationship Id="rId42" Type="http://schemas.openxmlformats.org/officeDocument/2006/relationships/image" Target="media/image29.jpeg"/><Relationship Id="rId41" Type="http://schemas.openxmlformats.org/officeDocument/2006/relationships/image" Target="media/image28.png"/><Relationship Id="rId40" Type="http://schemas.openxmlformats.org/officeDocument/2006/relationships/image" Target="media/image27.png"/><Relationship Id="rId4" Type="http://schemas.openxmlformats.org/officeDocument/2006/relationships/footer" Target="footer2.xml"/><Relationship Id="rId39" Type="http://schemas.openxmlformats.org/officeDocument/2006/relationships/image" Target="media/image26.png"/><Relationship Id="rId38" Type="http://schemas.openxmlformats.org/officeDocument/2006/relationships/image" Target="media/image25.png"/><Relationship Id="rId37" Type="http://schemas.openxmlformats.org/officeDocument/2006/relationships/image" Target="media/image24.png"/><Relationship Id="rId36" Type="http://schemas.openxmlformats.org/officeDocument/2006/relationships/image" Target="media/image23.png"/><Relationship Id="rId35" Type="http://schemas.openxmlformats.org/officeDocument/2006/relationships/image" Target="media/image22.png"/><Relationship Id="rId34" Type="http://schemas.openxmlformats.org/officeDocument/2006/relationships/image" Target="media/image21.png"/><Relationship Id="rId33" Type="http://schemas.openxmlformats.org/officeDocument/2006/relationships/image" Target="media/image20.png"/><Relationship Id="rId32" Type="http://schemas.openxmlformats.org/officeDocument/2006/relationships/image" Target="media/image19.jpeg"/><Relationship Id="rId31" Type="http://schemas.openxmlformats.org/officeDocument/2006/relationships/image" Target="media/image18.jpeg"/><Relationship Id="rId30" Type="http://schemas.openxmlformats.org/officeDocument/2006/relationships/image" Target="media/image17.jpeg"/><Relationship Id="rId3" Type="http://schemas.openxmlformats.org/officeDocument/2006/relationships/footer" Target="footer1.xml"/><Relationship Id="rId29" Type="http://schemas.openxmlformats.org/officeDocument/2006/relationships/image" Target="media/image16.png"/><Relationship Id="rId28" Type="http://schemas.openxmlformats.org/officeDocument/2006/relationships/image" Target="media/image15.png"/><Relationship Id="rId27" Type="http://schemas.openxmlformats.org/officeDocument/2006/relationships/image" Target="media/image14.png"/><Relationship Id="rId26" Type="http://schemas.openxmlformats.org/officeDocument/2006/relationships/image" Target="media/image13.png"/><Relationship Id="rId25" Type="http://schemas.openxmlformats.org/officeDocument/2006/relationships/image" Target="media/image12.emf"/><Relationship Id="rId24" Type="http://schemas.openxmlformats.org/officeDocument/2006/relationships/oleObject" Target="embeddings/oleObject8.bin"/><Relationship Id="rId23" Type="http://schemas.openxmlformats.org/officeDocument/2006/relationships/image" Target="media/image11.jpeg"/><Relationship Id="rId22" Type="http://schemas.openxmlformats.org/officeDocument/2006/relationships/image" Target="media/image10.emf"/><Relationship Id="rId21" Type="http://schemas.openxmlformats.org/officeDocument/2006/relationships/oleObject" Target="embeddings/oleObject7.bin"/><Relationship Id="rId20" Type="http://schemas.openxmlformats.org/officeDocument/2006/relationships/image" Target="media/image9.emf"/><Relationship Id="rId2" Type="http://schemas.openxmlformats.org/officeDocument/2006/relationships/settings" Target="settings.xml"/><Relationship Id="rId19" Type="http://schemas.openxmlformats.org/officeDocument/2006/relationships/oleObject" Target="embeddings/oleObject6.bin"/><Relationship Id="rId18" Type="http://schemas.openxmlformats.org/officeDocument/2006/relationships/image" Target="media/image8.jpeg"/><Relationship Id="rId17" Type="http://schemas.openxmlformats.org/officeDocument/2006/relationships/oleObject" Target="embeddings/oleObject5.bin"/><Relationship Id="rId16" Type="http://schemas.openxmlformats.org/officeDocument/2006/relationships/image" Target="media/image7.emf"/><Relationship Id="rId15" Type="http://schemas.openxmlformats.org/officeDocument/2006/relationships/oleObject" Target="embeddings/oleObject4.bin"/><Relationship Id="rId14" Type="http://schemas.openxmlformats.org/officeDocument/2006/relationships/image" Target="media/image6.emf"/><Relationship Id="rId13" Type="http://schemas.openxmlformats.org/officeDocument/2006/relationships/oleObject" Target="embeddings/oleObject3.bin"/><Relationship Id="rId12" Type="http://schemas.openxmlformats.org/officeDocument/2006/relationships/image" Target="media/image5.jpeg"/><Relationship Id="rId11" Type="http://schemas.openxmlformats.org/officeDocument/2006/relationships/image" Target="media/image4.emf"/><Relationship Id="rId10" Type="http://schemas.openxmlformats.org/officeDocument/2006/relationships/image" Target="media/image3.emf"/><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40FF9F4-3485-40F9-81E0-9401748903CE}">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125</Pages>
  <Words>36500</Words>
  <Characters>45591</Characters>
  <Lines>349</Lines>
  <Paragraphs>98</Paragraphs>
  <TotalTime>15</TotalTime>
  <ScaleCrop>false</ScaleCrop>
  <LinksUpToDate>false</LinksUpToDate>
  <CharactersWithSpaces>46213</CharactersWithSpaces>
  <Application>WPS Office_11.1.0.12980_F1E327BC-269C-435d-A152-05C5408002CA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2021-12-27T02:38:00Z</dcterms:created>
  <dc:creator>Administrator</dc:creator>
  <cp:lastModifiedBy>Administrator</cp:lastModifiedBy>
  <cp:lastPrinted>2022-09-08T01:59:00Z</cp:lastPrinted>
  <dcterms:modified xsi:type="dcterms:W3CDTF">2022-12-30T00:46:06Z</dcterms:modified>
  <cp:revision>34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C5348ED524E643109AAAC94E2727FEFD</vt:lpwstr>
  </property>
</Properties>
</file>